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D39DF" w:rsidRPr="00E877AA" w:rsidRDefault="001D2F58" w:rsidP="00166E77">
      <w:pPr>
        <w:spacing w:after="0"/>
        <w:jc w:val="center"/>
        <w:rPr>
          <w:rFonts w:ascii="Arial" w:hAnsi="Arial" w:cs="Arial"/>
          <w:b/>
        </w:rPr>
      </w:pPr>
      <w:r w:rsidRPr="00E877AA">
        <w:rPr>
          <w:rFonts w:ascii="Arial" w:hAnsi="Arial" w:cs="Arial"/>
          <w:b/>
          <w:noProof/>
          <w:lang w:eastAsia="cs-CZ"/>
        </w:rPr>
        <w:drawing>
          <wp:inline distT="0" distB="0" distL="0" distR="0" wp14:anchorId="15E3BAF4" wp14:editId="5C87DC7C">
            <wp:extent cx="5120005" cy="1043305"/>
            <wp:effectExtent l="0" t="0" r="4445" b="4445"/>
            <wp:docPr id="1" name="Obrázek 1" descr="C:\Users\97240\Desktop\KFA\VZORY ODPOVĚDÍ,logo\logo\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97240\Desktop\KFA\VZORY ODPOVĚDÍ,logo\logo\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20005" cy="1043305"/>
                    </a:xfrm>
                    <a:prstGeom prst="rect">
                      <a:avLst/>
                    </a:prstGeom>
                    <a:noFill/>
                    <a:ln>
                      <a:noFill/>
                    </a:ln>
                  </pic:spPr>
                </pic:pic>
              </a:graphicData>
            </a:graphic>
          </wp:inline>
        </w:drawing>
      </w:r>
    </w:p>
    <w:p w:rsidR="006D39DF" w:rsidRPr="00E877AA" w:rsidRDefault="006D39DF" w:rsidP="00166E77">
      <w:pPr>
        <w:spacing w:after="0"/>
        <w:jc w:val="center"/>
        <w:rPr>
          <w:rFonts w:ascii="Arial" w:hAnsi="Arial" w:cs="Arial"/>
          <w:b/>
        </w:rPr>
      </w:pPr>
    </w:p>
    <w:p w:rsidR="006D39DF" w:rsidRPr="00E877AA" w:rsidRDefault="006D39DF" w:rsidP="00166E77">
      <w:pPr>
        <w:spacing w:after="0"/>
        <w:jc w:val="center"/>
        <w:rPr>
          <w:rFonts w:ascii="Arial" w:hAnsi="Arial" w:cs="Arial"/>
          <w:b/>
        </w:rPr>
      </w:pPr>
    </w:p>
    <w:p w:rsidR="006D39DF" w:rsidRPr="00E877AA" w:rsidRDefault="006D39DF" w:rsidP="00166E77">
      <w:pPr>
        <w:tabs>
          <w:tab w:val="left" w:pos="3285"/>
        </w:tabs>
        <w:spacing w:after="0"/>
        <w:jc w:val="center"/>
        <w:rPr>
          <w:rFonts w:ascii="Arial" w:hAnsi="Arial" w:cs="Arial"/>
          <w:b/>
        </w:rPr>
      </w:pPr>
    </w:p>
    <w:p w:rsidR="006D39DF" w:rsidRPr="00E877AA" w:rsidRDefault="006D39DF" w:rsidP="00166E77">
      <w:pPr>
        <w:spacing w:after="0"/>
        <w:jc w:val="center"/>
        <w:rPr>
          <w:rFonts w:ascii="Arial" w:hAnsi="Arial" w:cs="Arial"/>
          <w:b/>
        </w:rPr>
      </w:pPr>
    </w:p>
    <w:p w:rsidR="00132566" w:rsidRPr="00E877AA" w:rsidRDefault="00132566" w:rsidP="00166E77">
      <w:pPr>
        <w:spacing w:after="0"/>
        <w:jc w:val="center"/>
        <w:rPr>
          <w:rFonts w:ascii="Arial" w:hAnsi="Arial" w:cs="Arial"/>
          <w:b/>
        </w:rPr>
      </w:pPr>
    </w:p>
    <w:p w:rsidR="00132566" w:rsidRPr="00E877AA" w:rsidRDefault="00132566" w:rsidP="00166E77">
      <w:pPr>
        <w:spacing w:after="0"/>
        <w:jc w:val="center"/>
        <w:rPr>
          <w:rFonts w:ascii="Arial" w:hAnsi="Arial" w:cs="Arial"/>
          <w:b/>
        </w:rPr>
      </w:pPr>
    </w:p>
    <w:p w:rsidR="002205D9" w:rsidRPr="00E877AA" w:rsidRDefault="002205D9" w:rsidP="00166E77">
      <w:pPr>
        <w:spacing w:after="0"/>
        <w:jc w:val="center"/>
        <w:rPr>
          <w:rFonts w:ascii="Arial" w:hAnsi="Arial" w:cs="Arial"/>
          <w:b/>
        </w:rPr>
      </w:pPr>
    </w:p>
    <w:p w:rsidR="002205D9" w:rsidRPr="00E877AA" w:rsidRDefault="002205D9" w:rsidP="00166E77">
      <w:pPr>
        <w:spacing w:after="0"/>
        <w:jc w:val="center"/>
        <w:rPr>
          <w:rFonts w:ascii="Arial" w:hAnsi="Arial" w:cs="Arial"/>
          <w:b/>
        </w:rPr>
      </w:pPr>
    </w:p>
    <w:p w:rsidR="002205D9" w:rsidRPr="00E877AA" w:rsidRDefault="002205D9" w:rsidP="00166E77">
      <w:pPr>
        <w:spacing w:after="0"/>
        <w:jc w:val="center"/>
        <w:rPr>
          <w:rFonts w:ascii="Arial" w:hAnsi="Arial" w:cs="Arial"/>
          <w:b/>
        </w:rPr>
      </w:pPr>
    </w:p>
    <w:p w:rsidR="0001637C" w:rsidRPr="00E877AA" w:rsidRDefault="0001637C" w:rsidP="00166E77">
      <w:pPr>
        <w:spacing w:after="0"/>
        <w:jc w:val="center"/>
        <w:rPr>
          <w:rFonts w:ascii="Arial" w:hAnsi="Arial" w:cs="Arial"/>
          <w:b/>
        </w:rPr>
      </w:pPr>
    </w:p>
    <w:p w:rsidR="0001637C" w:rsidRPr="00E877AA" w:rsidRDefault="0001637C" w:rsidP="00166E77">
      <w:pPr>
        <w:spacing w:after="0"/>
        <w:jc w:val="center"/>
        <w:rPr>
          <w:rFonts w:ascii="Arial" w:hAnsi="Arial" w:cs="Arial"/>
          <w:b/>
        </w:rPr>
      </w:pPr>
    </w:p>
    <w:p w:rsidR="0001637C" w:rsidRPr="00E877AA" w:rsidRDefault="0001637C" w:rsidP="00166E77">
      <w:pPr>
        <w:spacing w:after="0"/>
        <w:jc w:val="center"/>
        <w:rPr>
          <w:rFonts w:ascii="Arial" w:hAnsi="Arial" w:cs="Arial"/>
          <w:b/>
        </w:rPr>
      </w:pPr>
    </w:p>
    <w:p w:rsidR="0001637C" w:rsidRPr="00E877AA" w:rsidRDefault="0001637C" w:rsidP="00166E77">
      <w:pPr>
        <w:spacing w:after="0"/>
        <w:jc w:val="center"/>
        <w:rPr>
          <w:rFonts w:ascii="Arial" w:hAnsi="Arial" w:cs="Arial"/>
          <w:b/>
        </w:rPr>
      </w:pPr>
    </w:p>
    <w:p w:rsidR="0001637C" w:rsidRPr="00E877AA" w:rsidRDefault="0001637C" w:rsidP="00166E77">
      <w:pPr>
        <w:spacing w:after="0"/>
        <w:jc w:val="center"/>
        <w:rPr>
          <w:rFonts w:ascii="Arial" w:hAnsi="Arial" w:cs="Arial"/>
          <w:b/>
        </w:rPr>
      </w:pPr>
    </w:p>
    <w:p w:rsidR="0001637C" w:rsidRPr="00E877AA" w:rsidRDefault="0001637C" w:rsidP="00166E77">
      <w:pPr>
        <w:spacing w:after="0"/>
        <w:jc w:val="center"/>
        <w:rPr>
          <w:rFonts w:ascii="Arial" w:hAnsi="Arial" w:cs="Arial"/>
          <w:b/>
        </w:rPr>
      </w:pPr>
    </w:p>
    <w:p w:rsidR="004204A8" w:rsidRPr="00E877AA" w:rsidRDefault="004204A8" w:rsidP="00166E77">
      <w:pPr>
        <w:spacing w:after="0"/>
        <w:rPr>
          <w:rFonts w:ascii="Arial" w:hAnsi="Arial" w:cs="Arial"/>
          <w:b/>
          <w:color w:val="17365D"/>
        </w:rPr>
      </w:pPr>
    </w:p>
    <w:p w:rsidR="00890BAA" w:rsidRPr="00E877AA" w:rsidRDefault="00890BAA" w:rsidP="00166E77">
      <w:pPr>
        <w:spacing w:after="0"/>
        <w:jc w:val="center"/>
        <w:rPr>
          <w:rFonts w:ascii="Arial" w:hAnsi="Arial" w:cs="Arial"/>
          <w:b/>
          <w:color w:val="17365D"/>
        </w:rPr>
      </w:pPr>
    </w:p>
    <w:p w:rsidR="00890BAA" w:rsidRPr="00E877AA" w:rsidRDefault="00890BAA" w:rsidP="00166E77">
      <w:pPr>
        <w:spacing w:after="0"/>
        <w:jc w:val="center"/>
        <w:rPr>
          <w:rFonts w:ascii="Arial" w:hAnsi="Arial" w:cs="Arial"/>
          <w:b/>
          <w:color w:val="17365D"/>
        </w:rPr>
      </w:pPr>
    </w:p>
    <w:p w:rsidR="008544E3" w:rsidRPr="00E877AA" w:rsidRDefault="008544E3" w:rsidP="00166E77">
      <w:pPr>
        <w:spacing w:after="0"/>
        <w:jc w:val="center"/>
        <w:rPr>
          <w:rFonts w:ascii="Arial" w:hAnsi="Arial" w:cs="Arial"/>
          <w:b/>
          <w:color w:val="17365D"/>
          <w:sz w:val="36"/>
          <w:szCs w:val="36"/>
        </w:rPr>
      </w:pPr>
      <w:r w:rsidRPr="00E877AA">
        <w:rPr>
          <w:rFonts w:ascii="Arial" w:hAnsi="Arial" w:cs="Arial"/>
          <w:b/>
          <w:color w:val="17365D"/>
          <w:sz w:val="36"/>
          <w:szCs w:val="36"/>
        </w:rPr>
        <w:t xml:space="preserve">ZPRÁVA O ČINNOSTI FINANČNÍHO ARBITRA </w:t>
      </w:r>
    </w:p>
    <w:p w:rsidR="008544E3" w:rsidRPr="00E877AA" w:rsidRDefault="008544E3" w:rsidP="00166E77">
      <w:pPr>
        <w:spacing w:after="0"/>
        <w:jc w:val="center"/>
        <w:rPr>
          <w:rFonts w:ascii="Arial" w:hAnsi="Arial" w:cs="Arial"/>
          <w:b/>
          <w:color w:val="17365D"/>
          <w:sz w:val="36"/>
          <w:szCs w:val="36"/>
        </w:rPr>
      </w:pPr>
      <w:r w:rsidRPr="00E877AA">
        <w:rPr>
          <w:rFonts w:ascii="Arial" w:hAnsi="Arial" w:cs="Arial"/>
          <w:b/>
          <w:color w:val="17365D"/>
          <w:sz w:val="36"/>
          <w:szCs w:val="36"/>
        </w:rPr>
        <w:t>ZA ROK 201</w:t>
      </w:r>
      <w:r w:rsidR="0006063F" w:rsidRPr="00E877AA">
        <w:rPr>
          <w:rFonts w:ascii="Arial" w:hAnsi="Arial" w:cs="Arial"/>
          <w:b/>
          <w:color w:val="17365D"/>
          <w:sz w:val="36"/>
          <w:szCs w:val="36"/>
        </w:rPr>
        <w:t>8</w:t>
      </w:r>
      <w:r w:rsidRPr="00E877AA">
        <w:rPr>
          <w:rFonts w:ascii="Arial" w:hAnsi="Arial" w:cs="Arial"/>
          <w:b/>
          <w:color w:val="17365D"/>
          <w:sz w:val="36"/>
          <w:szCs w:val="36"/>
        </w:rPr>
        <w:t xml:space="preserve"> </w:t>
      </w:r>
    </w:p>
    <w:p w:rsidR="00274477" w:rsidRPr="00E877AA" w:rsidRDefault="00274477" w:rsidP="00166E77">
      <w:pPr>
        <w:spacing w:after="0"/>
        <w:jc w:val="center"/>
        <w:rPr>
          <w:rFonts w:ascii="Arial" w:hAnsi="Arial" w:cs="Arial"/>
          <w:b/>
        </w:rPr>
      </w:pPr>
    </w:p>
    <w:p w:rsidR="00D06AFE" w:rsidRPr="00E877AA" w:rsidRDefault="00D06AFE" w:rsidP="00166E77">
      <w:pPr>
        <w:spacing w:after="0"/>
        <w:jc w:val="center"/>
        <w:rPr>
          <w:rFonts w:ascii="Arial" w:hAnsi="Arial" w:cs="Arial"/>
          <w:b/>
        </w:rPr>
      </w:pPr>
      <w:r w:rsidRPr="00E877AA">
        <w:rPr>
          <w:rFonts w:ascii="Arial" w:hAnsi="Arial" w:cs="Arial"/>
          <w:b/>
        </w:rPr>
        <w:t xml:space="preserve">(předkládaná podle § 5 odst. 3 zákona č. 229/2002 Sb., </w:t>
      </w:r>
    </w:p>
    <w:p w:rsidR="008544E3" w:rsidRPr="00E877AA" w:rsidRDefault="00D06AFE" w:rsidP="00166E77">
      <w:pPr>
        <w:spacing w:after="0"/>
        <w:jc w:val="center"/>
        <w:rPr>
          <w:rFonts w:ascii="Arial" w:hAnsi="Arial" w:cs="Arial"/>
          <w:b/>
        </w:rPr>
      </w:pPr>
      <w:r w:rsidRPr="00E877AA">
        <w:rPr>
          <w:rFonts w:ascii="Arial" w:hAnsi="Arial" w:cs="Arial"/>
          <w:b/>
        </w:rPr>
        <w:t xml:space="preserve">o finančním arbitrovi, ve znění pozdějších předpisů) </w:t>
      </w:r>
    </w:p>
    <w:p w:rsidR="008544E3" w:rsidRPr="00E877AA" w:rsidRDefault="008544E3" w:rsidP="00166E77">
      <w:pPr>
        <w:spacing w:after="0"/>
        <w:jc w:val="center"/>
        <w:rPr>
          <w:rFonts w:ascii="Arial" w:hAnsi="Arial" w:cs="Arial"/>
          <w:b/>
          <w:sz w:val="18"/>
          <w:szCs w:val="18"/>
        </w:rPr>
      </w:pPr>
    </w:p>
    <w:p w:rsidR="008544E3" w:rsidRPr="00E877AA" w:rsidRDefault="008544E3" w:rsidP="00166E77">
      <w:pPr>
        <w:spacing w:after="0"/>
        <w:jc w:val="center"/>
        <w:rPr>
          <w:rFonts w:ascii="Arial" w:hAnsi="Arial" w:cs="Arial"/>
          <w:b/>
        </w:rPr>
      </w:pPr>
    </w:p>
    <w:p w:rsidR="006D39DF" w:rsidRPr="00E877AA" w:rsidRDefault="006D39DF" w:rsidP="00166E77">
      <w:pPr>
        <w:spacing w:after="0"/>
        <w:jc w:val="center"/>
        <w:rPr>
          <w:rFonts w:ascii="Arial" w:hAnsi="Arial" w:cs="Arial"/>
          <w:b/>
        </w:rPr>
      </w:pPr>
    </w:p>
    <w:p w:rsidR="008544E3" w:rsidRPr="00E877AA" w:rsidRDefault="008544E3" w:rsidP="00166E77">
      <w:pPr>
        <w:spacing w:after="0"/>
        <w:jc w:val="center"/>
        <w:rPr>
          <w:rFonts w:ascii="Arial" w:hAnsi="Arial" w:cs="Arial"/>
          <w:b/>
        </w:rPr>
      </w:pPr>
    </w:p>
    <w:p w:rsidR="008544E3" w:rsidRPr="00E877AA" w:rsidRDefault="008544E3" w:rsidP="00166E77">
      <w:pPr>
        <w:spacing w:after="0"/>
        <w:jc w:val="center"/>
        <w:rPr>
          <w:rFonts w:ascii="Arial" w:hAnsi="Arial" w:cs="Arial"/>
          <w:b/>
        </w:rPr>
      </w:pPr>
    </w:p>
    <w:p w:rsidR="008544E3" w:rsidRPr="00E877AA" w:rsidRDefault="008544E3" w:rsidP="00166E77">
      <w:pPr>
        <w:spacing w:after="0"/>
        <w:jc w:val="center"/>
        <w:rPr>
          <w:rFonts w:ascii="Arial" w:hAnsi="Arial" w:cs="Arial"/>
          <w:b/>
        </w:rPr>
      </w:pPr>
    </w:p>
    <w:p w:rsidR="008544E3" w:rsidRPr="00E877AA" w:rsidRDefault="008544E3" w:rsidP="00166E77">
      <w:pPr>
        <w:spacing w:after="0"/>
        <w:jc w:val="center"/>
        <w:rPr>
          <w:rFonts w:ascii="Arial" w:hAnsi="Arial" w:cs="Arial"/>
          <w:b/>
        </w:rPr>
      </w:pPr>
    </w:p>
    <w:p w:rsidR="008544E3" w:rsidRPr="00E877AA" w:rsidRDefault="008544E3" w:rsidP="00166E77">
      <w:pPr>
        <w:spacing w:after="0"/>
        <w:jc w:val="center"/>
        <w:rPr>
          <w:rFonts w:ascii="Arial" w:hAnsi="Arial" w:cs="Arial"/>
          <w:b/>
        </w:rPr>
      </w:pPr>
    </w:p>
    <w:p w:rsidR="006D39DF" w:rsidRPr="00E877AA" w:rsidRDefault="006D39DF" w:rsidP="00166E77">
      <w:pPr>
        <w:spacing w:after="0"/>
        <w:rPr>
          <w:rFonts w:ascii="Arial" w:hAnsi="Arial" w:cs="Arial"/>
          <w:b/>
        </w:rPr>
      </w:pPr>
    </w:p>
    <w:p w:rsidR="00A54961" w:rsidRPr="00E877AA" w:rsidRDefault="00A54961" w:rsidP="00166E77">
      <w:pPr>
        <w:spacing w:after="0"/>
        <w:jc w:val="center"/>
        <w:rPr>
          <w:rFonts w:ascii="Arial" w:hAnsi="Arial" w:cs="Arial"/>
          <w:b/>
          <w:color w:val="1F497D"/>
        </w:rPr>
      </w:pPr>
    </w:p>
    <w:p w:rsidR="0001637C" w:rsidRPr="00E877AA" w:rsidRDefault="0001637C" w:rsidP="00166E77">
      <w:pPr>
        <w:spacing w:after="0"/>
        <w:jc w:val="center"/>
        <w:rPr>
          <w:rFonts w:ascii="Arial" w:hAnsi="Arial" w:cs="Arial"/>
          <w:b/>
          <w:color w:val="1F497D"/>
        </w:rPr>
      </w:pPr>
    </w:p>
    <w:p w:rsidR="0001637C" w:rsidRPr="00E877AA" w:rsidRDefault="0001637C" w:rsidP="00166E77">
      <w:pPr>
        <w:spacing w:after="0"/>
        <w:jc w:val="center"/>
        <w:rPr>
          <w:rFonts w:ascii="Arial" w:hAnsi="Arial" w:cs="Arial"/>
          <w:b/>
          <w:color w:val="1F497D"/>
        </w:rPr>
      </w:pPr>
    </w:p>
    <w:p w:rsidR="0001637C" w:rsidRPr="00E877AA" w:rsidRDefault="0001637C" w:rsidP="00166E77">
      <w:pPr>
        <w:spacing w:after="0"/>
        <w:jc w:val="center"/>
        <w:rPr>
          <w:rFonts w:ascii="Arial" w:hAnsi="Arial" w:cs="Arial"/>
          <w:b/>
          <w:color w:val="1F497D"/>
        </w:rPr>
      </w:pPr>
    </w:p>
    <w:p w:rsidR="00A54961" w:rsidRPr="00E877AA" w:rsidRDefault="00A54961" w:rsidP="00166E77">
      <w:pPr>
        <w:spacing w:after="0"/>
        <w:jc w:val="center"/>
        <w:rPr>
          <w:rFonts w:ascii="Arial" w:hAnsi="Arial" w:cs="Arial"/>
          <w:b/>
          <w:color w:val="1F497D"/>
        </w:rPr>
      </w:pPr>
    </w:p>
    <w:p w:rsidR="00890BAA" w:rsidRPr="00E877AA" w:rsidRDefault="00890BAA" w:rsidP="00166E77">
      <w:pPr>
        <w:spacing w:after="0"/>
        <w:jc w:val="center"/>
        <w:rPr>
          <w:rFonts w:ascii="Arial" w:hAnsi="Arial" w:cs="Arial"/>
          <w:b/>
          <w:color w:val="1F497D"/>
        </w:rPr>
      </w:pPr>
    </w:p>
    <w:p w:rsidR="00890BAA" w:rsidRPr="00E877AA" w:rsidRDefault="00890BAA" w:rsidP="00166E77">
      <w:pPr>
        <w:spacing w:after="0"/>
        <w:jc w:val="center"/>
        <w:rPr>
          <w:rFonts w:ascii="Arial" w:hAnsi="Arial" w:cs="Arial"/>
          <w:b/>
          <w:color w:val="1F497D"/>
        </w:rPr>
      </w:pPr>
    </w:p>
    <w:p w:rsidR="00AB44F2" w:rsidRPr="00E877AA" w:rsidRDefault="00962D71" w:rsidP="00166E77">
      <w:pPr>
        <w:spacing w:after="0"/>
        <w:jc w:val="center"/>
        <w:rPr>
          <w:rFonts w:ascii="Arial" w:hAnsi="Arial" w:cs="Arial"/>
          <w:b/>
          <w:color w:val="1F497D"/>
        </w:rPr>
      </w:pPr>
      <w:r w:rsidRPr="00E877AA">
        <w:rPr>
          <w:rFonts w:ascii="Arial" w:hAnsi="Arial" w:cs="Arial"/>
          <w:b/>
          <w:color w:val="1F497D"/>
        </w:rPr>
        <w:t>b</w:t>
      </w:r>
      <w:r w:rsidR="003C72DB" w:rsidRPr="00E877AA">
        <w:rPr>
          <w:rFonts w:ascii="Arial" w:hAnsi="Arial" w:cs="Arial"/>
          <w:b/>
          <w:color w:val="1F497D"/>
        </w:rPr>
        <w:t>řezen 201</w:t>
      </w:r>
      <w:r w:rsidR="0006063F" w:rsidRPr="00E877AA">
        <w:rPr>
          <w:rFonts w:ascii="Arial" w:hAnsi="Arial" w:cs="Arial"/>
          <w:b/>
          <w:color w:val="1F497D"/>
        </w:rPr>
        <w:t>9</w:t>
      </w:r>
    </w:p>
    <w:p w:rsidR="006D39DF" w:rsidRPr="00E877AA" w:rsidRDefault="00AB44F2" w:rsidP="00166E77">
      <w:pPr>
        <w:spacing w:after="0"/>
        <w:rPr>
          <w:rFonts w:ascii="Arial" w:hAnsi="Arial" w:cs="Arial"/>
          <w:b/>
          <w:color w:val="1F497D"/>
          <w:sz w:val="24"/>
          <w:szCs w:val="24"/>
        </w:rPr>
      </w:pPr>
      <w:r w:rsidRPr="00E877AA">
        <w:rPr>
          <w:rFonts w:ascii="Arial" w:hAnsi="Arial" w:cs="Arial"/>
          <w:b/>
          <w:color w:val="1F497D"/>
        </w:rPr>
        <w:br w:type="page"/>
      </w:r>
      <w:r w:rsidR="006D39DF" w:rsidRPr="00E877AA">
        <w:rPr>
          <w:rFonts w:ascii="Arial" w:hAnsi="Arial" w:cs="Arial"/>
          <w:b/>
          <w:color w:val="1F497D"/>
          <w:sz w:val="24"/>
          <w:szCs w:val="24"/>
        </w:rPr>
        <w:lastRenderedPageBreak/>
        <w:t>OBSAH:</w:t>
      </w:r>
    </w:p>
    <w:p w:rsidR="00D23B80" w:rsidRPr="00E877AA" w:rsidRDefault="00D23B80" w:rsidP="00166E77">
      <w:pPr>
        <w:autoSpaceDE w:val="0"/>
        <w:autoSpaceDN w:val="0"/>
        <w:adjustRightInd w:val="0"/>
        <w:spacing w:after="0"/>
        <w:jc w:val="both"/>
        <w:rPr>
          <w:rFonts w:ascii="Arial" w:hAnsi="Arial" w:cs="Arial"/>
          <w:b/>
        </w:rPr>
      </w:pPr>
    </w:p>
    <w:p w:rsidR="00287D4C" w:rsidRDefault="00C16A37" w:rsidP="004D59B5">
      <w:pPr>
        <w:pStyle w:val="Obsah1"/>
        <w:rPr>
          <w:rFonts w:asciiTheme="minorHAnsi" w:eastAsiaTheme="minorEastAsia" w:hAnsiTheme="minorHAnsi" w:cstheme="minorBidi"/>
          <w:lang w:eastAsia="cs-CZ"/>
        </w:rPr>
      </w:pPr>
      <w:r w:rsidRPr="00E877AA">
        <w:rPr>
          <w:color w:val="1F497D"/>
        </w:rPr>
        <w:fldChar w:fldCharType="begin"/>
      </w:r>
      <w:r w:rsidRPr="00E877AA">
        <w:rPr>
          <w:color w:val="1F497D"/>
        </w:rPr>
        <w:instrText xml:space="preserve"> TOC \o "1-1" \h \z \u </w:instrText>
      </w:r>
      <w:r w:rsidRPr="00E877AA">
        <w:rPr>
          <w:color w:val="1F497D"/>
        </w:rPr>
        <w:fldChar w:fldCharType="separate"/>
      </w:r>
      <w:hyperlink w:anchor="_Toc4591457" w:history="1">
        <w:r w:rsidR="00287D4C" w:rsidRPr="00CB5BE0">
          <w:rPr>
            <w:rStyle w:val="Hypertextovodkaz"/>
          </w:rPr>
          <w:t>I.</w:t>
        </w:r>
        <w:r w:rsidR="00287D4C">
          <w:rPr>
            <w:rFonts w:asciiTheme="minorHAnsi" w:eastAsiaTheme="minorEastAsia" w:hAnsiTheme="minorHAnsi" w:cstheme="minorBidi"/>
            <w:lang w:eastAsia="cs-CZ"/>
          </w:rPr>
          <w:tab/>
        </w:r>
        <w:r w:rsidR="00287D4C" w:rsidRPr="00CB5BE0">
          <w:rPr>
            <w:rStyle w:val="Hypertextovodkaz"/>
          </w:rPr>
          <w:t>ÚVODNÍ SLOVO</w:t>
        </w:r>
        <w:r w:rsidR="00287D4C">
          <w:rPr>
            <w:webHidden/>
          </w:rPr>
          <w:tab/>
        </w:r>
        <w:r w:rsidR="00287D4C">
          <w:rPr>
            <w:webHidden/>
          </w:rPr>
          <w:fldChar w:fldCharType="begin"/>
        </w:r>
        <w:r w:rsidR="00287D4C">
          <w:rPr>
            <w:webHidden/>
          </w:rPr>
          <w:instrText xml:space="preserve"> PAGEREF _Toc4591457 \h </w:instrText>
        </w:r>
        <w:r w:rsidR="00287D4C">
          <w:rPr>
            <w:webHidden/>
          </w:rPr>
        </w:r>
        <w:r w:rsidR="00287D4C">
          <w:rPr>
            <w:webHidden/>
          </w:rPr>
          <w:fldChar w:fldCharType="separate"/>
        </w:r>
        <w:r w:rsidR="00287D4C">
          <w:rPr>
            <w:webHidden/>
          </w:rPr>
          <w:t>3</w:t>
        </w:r>
        <w:r w:rsidR="00287D4C">
          <w:rPr>
            <w:webHidden/>
          </w:rPr>
          <w:fldChar w:fldCharType="end"/>
        </w:r>
      </w:hyperlink>
    </w:p>
    <w:p w:rsidR="00287D4C" w:rsidRDefault="004D59B5" w:rsidP="004D59B5">
      <w:pPr>
        <w:pStyle w:val="Obsah1"/>
        <w:rPr>
          <w:rFonts w:asciiTheme="minorHAnsi" w:eastAsiaTheme="minorEastAsia" w:hAnsiTheme="minorHAnsi" w:cstheme="minorBidi"/>
          <w:lang w:eastAsia="cs-CZ"/>
        </w:rPr>
      </w:pPr>
      <w:hyperlink w:anchor="_Toc4591458" w:history="1">
        <w:r w:rsidR="00287D4C" w:rsidRPr="00CB5BE0">
          <w:rPr>
            <w:rStyle w:val="Hypertextovodkaz"/>
          </w:rPr>
          <w:t>II.</w:t>
        </w:r>
        <w:r w:rsidR="00287D4C">
          <w:rPr>
            <w:rFonts w:asciiTheme="minorHAnsi" w:eastAsiaTheme="minorEastAsia" w:hAnsiTheme="minorHAnsi" w:cstheme="minorBidi"/>
            <w:lang w:eastAsia="cs-CZ"/>
          </w:rPr>
          <w:tab/>
        </w:r>
        <w:r w:rsidR="00287D4C" w:rsidRPr="00CB5BE0">
          <w:rPr>
            <w:rStyle w:val="Hypertextovodkaz"/>
          </w:rPr>
          <w:t>PŮSOBNOST FINANČNÍHO ARBITRA</w:t>
        </w:r>
        <w:r w:rsidR="00287D4C">
          <w:rPr>
            <w:webHidden/>
          </w:rPr>
          <w:tab/>
        </w:r>
        <w:r w:rsidR="00287D4C">
          <w:rPr>
            <w:webHidden/>
          </w:rPr>
          <w:fldChar w:fldCharType="begin"/>
        </w:r>
        <w:r w:rsidR="00287D4C">
          <w:rPr>
            <w:webHidden/>
          </w:rPr>
          <w:instrText xml:space="preserve"> PAGEREF _Toc4591458 \h </w:instrText>
        </w:r>
        <w:r w:rsidR="00287D4C">
          <w:rPr>
            <w:webHidden/>
          </w:rPr>
        </w:r>
        <w:r w:rsidR="00287D4C">
          <w:rPr>
            <w:webHidden/>
          </w:rPr>
          <w:fldChar w:fldCharType="separate"/>
        </w:r>
        <w:r w:rsidR="00287D4C">
          <w:rPr>
            <w:webHidden/>
          </w:rPr>
          <w:t>6</w:t>
        </w:r>
        <w:r w:rsidR="00287D4C">
          <w:rPr>
            <w:webHidden/>
          </w:rPr>
          <w:fldChar w:fldCharType="end"/>
        </w:r>
      </w:hyperlink>
    </w:p>
    <w:p w:rsidR="00287D4C" w:rsidRDefault="004D59B5" w:rsidP="004D59B5">
      <w:pPr>
        <w:pStyle w:val="Obsah1"/>
        <w:rPr>
          <w:rFonts w:asciiTheme="minorHAnsi" w:eastAsiaTheme="minorEastAsia" w:hAnsiTheme="minorHAnsi" w:cstheme="minorBidi"/>
          <w:lang w:eastAsia="cs-CZ"/>
        </w:rPr>
      </w:pPr>
      <w:hyperlink w:anchor="_Toc4591459" w:history="1">
        <w:r w:rsidR="00287D4C" w:rsidRPr="00CB5BE0">
          <w:rPr>
            <w:rStyle w:val="Hypertextovodkaz"/>
          </w:rPr>
          <w:t>III.</w:t>
        </w:r>
        <w:r w:rsidR="00287D4C">
          <w:rPr>
            <w:rFonts w:asciiTheme="minorHAnsi" w:eastAsiaTheme="minorEastAsia" w:hAnsiTheme="minorHAnsi" w:cstheme="minorBidi"/>
            <w:lang w:eastAsia="cs-CZ"/>
          </w:rPr>
          <w:tab/>
        </w:r>
        <w:r w:rsidR="00287D4C" w:rsidRPr="00CB5BE0">
          <w:rPr>
            <w:rStyle w:val="Hypertextovodkaz"/>
          </w:rPr>
          <w:t>FINANČNÍ ARBITR, ZÁSTUPCE FINANČNÍHO ARBITRA - KANCELÁŘ FINANČNÍHO ARBITRA – ORGANIZAČNÍ ZAJIŠTĚNÍ ČINNOSTI FINANČNÍHO ARBITRA</w:t>
        </w:r>
        <w:r w:rsidR="00287D4C">
          <w:rPr>
            <w:webHidden/>
          </w:rPr>
          <w:tab/>
        </w:r>
        <w:bookmarkStart w:id="0" w:name="_GoBack"/>
        <w:bookmarkEnd w:id="0"/>
        <w:r w:rsidR="00287D4C">
          <w:rPr>
            <w:webHidden/>
          </w:rPr>
          <w:fldChar w:fldCharType="begin"/>
        </w:r>
        <w:r w:rsidR="00287D4C">
          <w:rPr>
            <w:webHidden/>
          </w:rPr>
          <w:instrText xml:space="preserve"> PAGEREF _Toc4591459 \h </w:instrText>
        </w:r>
        <w:r w:rsidR="00287D4C">
          <w:rPr>
            <w:webHidden/>
          </w:rPr>
        </w:r>
        <w:r w:rsidR="00287D4C">
          <w:rPr>
            <w:webHidden/>
          </w:rPr>
          <w:fldChar w:fldCharType="separate"/>
        </w:r>
        <w:r w:rsidR="00287D4C">
          <w:rPr>
            <w:webHidden/>
          </w:rPr>
          <w:t>10</w:t>
        </w:r>
        <w:r w:rsidR="00287D4C">
          <w:rPr>
            <w:webHidden/>
          </w:rPr>
          <w:fldChar w:fldCharType="end"/>
        </w:r>
      </w:hyperlink>
    </w:p>
    <w:p w:rsidR="00287D4C" w:rsidRDefault="004D59B5" w:rsidP="004D59B5">
      <w:pPr>
        <w:pStyle w:val="Obsah1"/>
        <w:rPr>
          <w:rFonts w:asciiTheme="minorHAnsi" w:eastAsiaTheme="minorEastAsia" w:hAnsiTheme="minorHAnsi" w:cstheme="minorBidi"/>
          <w:lang w:eastAsia="cs-CZ"/>
        </w:rPr>
      </w:pPr>
      <w:hyperlink w:anchor="_Toc4591460" w:history="1">
        <w:r w:rsidR="00287D4C" w:rsidRPr="00CB5BE0">
          <w:rPr>
            <w:rStyle w:val="Hypertextovodkaz"/>
          </w:rPr>
          <w:t>IV.</w:t>
        </w:r>
        <w:r w:rsidR="00287D4C">
          <w:rPr>
            <w:rFonts w:asciiTheme="minorHAnsi" w:eastAsiaTheme="minorEastAsia" w:hAnsiTheme="minorHAnsi" w:cstheme="minorBidi"/>
            <w:lang w:eastAsia="cs-CZ"/>
          </w:rPr>
          <w:tab/>
        </w:r>
        <w:r w:rsidR="00287D4C" w:rsidRPr="00CB5BE0">
          <w:rPr>
            <w:rStyle w:val="Hypertextovodkaz"/>
          </w:rPr>
          <w:t>VÝSLEDKY ROZHODOVACÍ ČINNOSTI FINANČNÍHO ARBITRA</w:t>
        </w:r>
        <w:r w:rsidR="00287D4C">
          <w:rPr>
            <w:webHidden/>
          </w:rPr>
          <w:tab/>
        </w:r>
        <w:r w:rsidR="00287D4C">
          <w:rPr>
            <w:webHidden/>
          </w:rPr>
          <w:fldChar w:fldCharType="begin"/>
        </w:r>
        <w:r w:rsidR="00287D4C">
          <w:rPr>
            <w:webHidden/>
          </w:rPr>
          <w:instrText xml:space="preserve"> PAGEREF _Toc4591460 \h </w:instrText>
        </w:r>
        <w:r w:rsidR="00287D4C">
          <w:rPr>
            <w:webHidden/>
          </w:rPr>
        </w:r>
        <w:r w:rsidR="00287D4C">
          <w:rPr>
            <w:webHidden/>
          </w:rPr>
          <w:fldChar w:fldCharType="separate"/>
        </w:r>
        <w:r w:rsidR="00287D4C">
          <w:rPr>
            <w:webHidden/>
          </w:rPr>
          <w:t>12</w:t>
        </w:r>
        <w:r w:rsidR="00287D4C">
          <w:rPr>
            <w:webHidden/>
          </w:rPr>
          <w:fldChar w:fldCharType="end"/>
        </w:r>
      </w:hyperlink>
    </w:p>
    <w:p w:rsidR="00287D4C" w:rsidRDefault="004D59B5" w:rsidP="004D59B5">
      <w:pPr>
        <w:pStyle w:val="Obsah1"/>
        <w:rPr>
          <w:rFonts w:asciiTheme="minorHAnsi" w:eastAsiaTheme="minorEastAsia" w:hAnsiTheme="minorHAnsi" w:cstheme="minorBidi"/>
          <w:lang w:eastAsia="cs-CZ"/>
        </w:rPr>
      </w:pPr>
      <w:hyperlink w:anchor="_Toc4591461" w:history="1">
        <w:r w:rsidR="00287D4C" w:rsidRPr="00CB5BE0">
          <w:rPr>
            <w:rStyle w:val="Hypertextovodkaz"/>
          </w:rPr>
          <w:t>V.</w:t>
        </w:r>
        <w:r w:rsidR="00287D4C">
          <w:rPr>
            <w:rFonts w:asciiTheme="minorHAnsi" w:eastAsiaTheme="minorEastAsia" w:hAnsiTheme="minorHAnsi" w:cstheme="minorBidi"/>
            <w:lang w:eastAsia="cs-CZ"/>
          </w:rPr>
          <w:tab/>
        </w:r>
        <w:r w:rsidR="00287D4C" w:rsidRPr="00CB5BE0">
          <w:rPr>
            <w:rStyle w:val="Hypertextovodkaz"/>
          </w:rPr>
          <w:t>NÁKLADY NA ZAJIŠTĚNÍ ČINNOSTI FINANČNÍHO ARBITRA</w:t>
        </w:r>
        <w:r w:rsidR="00287D4C">
          <w:rPr>
            <w:webHidden/>
          </w:rPr>
          <w:tab/>
        </w:r>
        <w:r w:rsidR="00287D4C">
          <w:rPr>
            <w:webHidden/>
          </w:rPr>
          <w:fldChar w:fldCharType="begin"/>
        </w:r>
        <w:r w:rsidR="00287D4C">
          <w:rPr>
            <w:webHidden/>
          </w:rPr>
          <w:instrText xml:space="preserve"> PAGEREF _Toc4591461 \h </w:instrText>
        </w:r>
        <w:r w:rsidR="00287D4C">
          <w:rPr>
            <w:webHidden/>
          </w:rPr>
        </w:r>
        <w:r w:rsidR="00287D4C">
          <w:rPr>
            <w:webHidden/>
          </w:rPr>
          <w:fldChar w:fldCharType="separate"/>
        </w:r>
        <w:r w:rsidR="00287D4C">
          <w:rPr>
            <w:webHidden/>
          </w:rPr>
          <w:t>18</w:t>
        </w:r>
        <w:r w:rsidR="00287D4C">
          <w:rPr>
            <w:webHidden/>
          </w:rPr>
          <w:fldChar w:fldCharType="end"/>
        </w:r>
      </w:hyperlink>
    </w:p>
    <w:p w:rsidR="00287D4C" w:rsidRDefault="004D59B5" w:rsidP="004D59B5">
      <w:pPr>
        <w:pStyle w:val="Obsah1"/>
        <w:rPr>
          <w:rFonts w:asciiTheme="minorHAnsi" w:eastAsiaTheme="minorEastAsia" w:hAnsiTheme="minorHAnsi" w:cstheme="minorBidi"/>
          <w:lang w:eastAsia="cs-CZ"/>
        </w:rPr>
      </w:pPr>
      <w:hyperlink w:anchor="_Toc4591462" w:history="1">
        <w:r w:rsidR="00287D4C" w:rsidRPr="00CB5BE0">
          <w:rPr>
            <w:rStyle w:val="Hypertextovodkaz"/>
          </w:rPr>
          <w:t>VI.</w:t>
        </w:r>
        <w:r w:rsidR="00287D4C">
          <w:rPr>
            <w:rFonts w:asciiTheme="minorHAnsi" w:eastAsiaTheme="minorEastAsia" w:hAnsiTheme="minorHAnsi" w:cstheme="minorBidi"/>
            <w:lang w:eastAsia="cs-CZ"/>
          </w:rPr>
          <w:tab/>
        </w:r>
        <w:r w:rsidR="00287D4C" w:rsidRPr="00CB5BE0">
          <w:rPr>
            <w:rStyle w:val="Hypertextovodkaz"/>
          </w:rPr>
          <w:t>INFORMAČNÍ POVINNOSTI FINANČNÍHO ARBITRA, VZTAHY S VEŘEJNOSTÍ</w:t>
        </w:r>
        <w:r w:rsidR="00287D4C">
          <w:rPr>
            <w:webHidden/>
          </w:rPr>
          <w:tab/>
        </w:r>
        <w:r w:rsidR="00287D4C">
          <w:rPr>
            <w:webHidden/>
          </w:rPr>
          <w:fldChar w:fldCharType="begin"/>
        </w:r>
        <w:r w:rsidR="00287D4C">
          <w:rPr>
            <w:webHidden/>
          </w:rPr>
          <w:instrText xml:space="preserve"> PAGEREF _Toc4591462 \h </w:instrText>
        </w:r>
        <w:r w:rsidR="00287D4C">
          <w:rPr>
            <w:webHidden/>
          </w:rPr>
        </w:r>
        <w:r w:rsidR="00287D4C">
          <w:rPr>
            <w:webHidden/>
          </w:rPr>
          <w:fldChar w:fldCharType="separate"/>
        </w:r>
        <w:r w:rsidR="00287D4C">
          <w:rPr>
            <w:webHidden/>
          </w:rPr>
          <w:t>22</w:t>
        </w:r>
        <w:r w:rsidR="00287D4C">
          <w:rPr>
            <w:webHidden/>
          </w:rPr>
          <w:fldChar w:fldCharType="end"/>
        </w:r>
      </w:hyperlink>
    </w:p>
    <w:p w:rsidR="00287D4C" w:rsidRDefault="004D59B5" w:rsidP="004D59B5">
      <w:pPr>
        <w:pStyle w:val="Obsah1"/>
        <w:rPr>
          <w:rFonts w:asciiTheme="minorHAnsi" w:eastAsiaTheme="minorEastAsia" w:hAnsiTheme="minorHAnsi" w:cstheme="minorBidi"/>
          <w:lang w:eastAsia="cs-CZ"/>
        </w:rPr>
      </w:pPr>
      <w:hyperlink w:anchor="_Toc4591463" w:history="1">
        <w:r w:rsidR="00287D4C" w:rsidRPr="00CB5BE0">
          <w:rPr>
            <w:rStyle w:val="Hypertextovodkaz"/>
          </w:rPr>
          <w:t>VII.</w:t>
        </w:r>
        <w:r w:rsidR="00287D4C">
          <w:rPr>
            <w:rFonts w:asciiTheme="minorHAnsi" w:eastAsiaTheme="minorEastAsia" w:hAnsiTheme="minorHAnsi" w:cstheme="minorBidi"/>
            <w:lang w:eastAsia="cs-CZ"/>
          </w:rPr>
          <w:tab/>
        </w:r>
        <w:r w:rsidR="00287D4C" w:rsidRPr="00CB5BE0">
          <w:rPr>
            <w:rStyle w:val="Hypertextovodkaz"/>
          </w:rPr>
          <w:t>MEZINÁRODNÍ SPOLUPRÁCE, FINANČNÍ VZDĚLÁVÁNÍ</w:t>
        </w:r>
        <w:r w:rsidR="00287D4C">
          <w:rPr>
            <w:webHidden/>
          </w:rPr>
          <w:tab/>
        </w:r>
        <w:r w:rsidR="00287D4C">
          <w:rPr>
            <w:webHidden/>
          </w:rPr>
          <w:fldChar w:fldCharType="begin"/>
        </w:r>
        <w:r w:rsidR="00287D4C">
          <w:rPr>
            <w:webHidden/>
          </w:rPr>
          <w:instrText xml:space="preserve"> PAGEREF _Toc4591463 \h </w:instrText>
        </w:r>
        <w:r w:rsidR="00287D4C">
          <w:rPr>
            <w:webHidden/>
          </w:rPr>
        </w:r>
        <w:r w:rsidR="00287D4C">
          <w:rPr>
            <w:webHidden/>
          </w:rPr>
          <w:fldChar w:fldCharType="separate"/>
        </w:r>
        <w:r w:rsidR="00287D4C">
          <w:rPr>
            <w:webHidden/>
          </w:rPr>
          <w:t>26</w:t>
        </w:r>
        <w:r w:rsidR="00287D4C">
          <w:rPr>
            <w:webHidden/>
          </w:rPr>
          <w:fldChar w:fldCharType="end"/>
        </w:r>
      </w:hyperlink>
    </w:p>
    <w:p w:rsidR="00287D4C" w:rsidRDefault="004D59B5" w:rsidP="004D59B5">
      <w:pPr>
        <w:pStyle w:val="Obsah1"/>
        <w:rPr>
          <w:rFonts w:asciiTheme="minorHAnsi" w:eastAsiaTheme="minorEastAsia" w:hAnsiTheme="minorHAnsi" w:cstheme="minorBidi"/>
          <w:lang w:eastAsia="cs-CZ"/>
        </w:rPr>
      </w:pPr>
      <w:hyperlink w:anchor="_Toc4591464" w:history="1">
        <w:r w:rsidR="00287D4C" w:rsidRPr="00CB5BE0">
          <w:rPr>
            <w:rStyle w:val="Hypertextovodkaz"/>
          </w:rPr>
          <w:t>VIII.</w:t>
        </w:r>
        <w:r w:rsidR="00287D4C">
          <w:rPr>
            <w:rFonts w:asciiTheme="minorHAnsi" w:eastAsiaTheme="minorEastAsia" w:hAnsiTheme="minorHAnsi" w:cstheme="minorBidi"/>
            <w:lang w:eastAsia="cs-CZ"/>
          </w:rPr>
          <w:tab/>
        </w:r>
        <w:r w:rsidR="00287D4C" w:rsidRPr="00CB5BE0">
          <w:rPr>
            <w:rStyle w:val="Hypertextovodkaz"/>
          </w:rPr>
          <w:t>VÝHLEDY DO BUDOUCNOSTI</w:t>
        </w:r>
        <w:r w:rsidR="00287D4C">
          <w:rPr>
            <w:webHidden/>
          </w:rPr>
          <w:tab/>
        </w:r>
        <w:r w:rsidR="00287D4C">
          <w:rPr>
            <w:webHidden/>
          </w:rPr>
          <w:fldChar w:fldCharType="begin"/>
        </w:r>
        <w:r w:rsidR="00287D4C">
          <w:rPr>
            <w:webHidden/>
          </w:rPr>
          <w:instrText xml:space="preserve"> PAGEREF _Toc4591464 \h </w:instrText>
        </w:r>
        <w:r w:rsidR="00287D4C">
          <w:rPr>
            <w:webHidden/>
          </w:rPr>
        </w:r>
        <w:r w:rsidR="00287D4C">
          <w:rPr>
            <w:webHidden/>
          </w:rPr>
          <w:fldChar w:fldCharType="separate"/>
        </w:r>
        <w:r w:rsidR="00287D4C">
          <w:rPr>
            <w:webHidden/>
          </w:rPr>
          <w:t>29</w:t>
        </w:r>
        <w:r w:rsidR="00287D4C">
          <w:rPr>
            <w:webHidden/>
          </w:rPr>
          <w:fldChar w:fldCharType="end"/>
        </w:r>
      </w:hyperlink>
    </w:p>
    <w:p w:rsidR="00287D4C" w:rsidRDefault="004D59B5" w:rsidP="004D59B5">
      <w:pPr>
        <w:pStyle w:val="Obsah1"/>
        <w:rPr>
          <w:rFonts w:asciiTheme="minorHAnsi" w:eastAsiaTheme="minorEastAsia" w:hAnsiTheme="minorHAnsi" w:cstheme="minorBidi"/>
          <w:lang w:eastAsia="cs-CZ"/>
        </w:rPr>
      </w:pPr>
      <w:hyperlink w:anchor="_Toc4591465" w:history="1">
        <w:r w:rsidR="00287D4C" w:rsidRPr="00CB5BE0">
          <w:rPr>
            <w:rStyle w:val="Hypertextovodkaz"/>
          </w:rPr>
          <w:t>Příloha č. 1 – Přehled rozhodnutí uveřejněných v roce 2018 ve Sbírce rozhodnutí</w:t>
        </w:r>
        <w:r w:rsidR="00287D4C">
          <w:rPr>
            <w:webHidden/>
          </w:rPr>
          <w:tab/>
        </w:r>
        <w:r w:rsidR="00287D4C">
          <w:rPr>
            <w:webHidden/>
          </w:rPr>
          <w:fldChar w:fldCharType="begin"/>
        </w:r>
        <w:r w:rsidR="00287D4C">
          <w:rPr>
            <w:webHidden/>
          </w:rPr>
          <w:instrText xml:space="preserve"> PAGEREF _Toc4591465 \h </w:instrText>
        </w:r>
        <w:r w:rsidR="00287D4C">
          <w:rPr>
            <w:webHidden/>
          </w:rPr>
        </w:r>
        <w:r w:rsidR="00287D4C">
          <w:rPr>
            <w:webHidden/>
          </w:rPr>
          <w:fldChar w:fldCharType="separate"/>
        </w:r>
        <w:r w:rsidR="00287D4C">
          <w:rPr>
            <w:webHidden/>
          </w:rPr>
          <w:t>30</w:t>
        </w:r>
        <w:r w:rsidR="00287D4C">
          <w:rPr>
            <w:webHidden/>
          </w:rPr>
          <w:fldChar w:fldCharType="end"/>
        </w:r>
      </w:hyperlink>
    </w:p>
    <w:p w:rsidR="007562E6" w:rsidRPr="00E877AA" w:rsidRDefault="00C16A37" w:rsidP="00166E77">
      <w:pPr>
        <w:spacing w:after="0"/>
        <w:jc w:val="both"/>
        <w:rPr>
          <w:rFonts w:ascii="Arial" w:hAnsi="Arial" w:cs="Arial"/>
          <w:b/>
          <w:color w:val="1F497D"/>
        </w:rPr>
      </w:pPr>
      <w:r w:rsidRPr="00E877AA">
        <w:rPr>
          <w:rFonts w:ascii="Arial" w:hAnsi="Arial" w:cs="Arial"/>
          <w:b/>
          <w:color w:val="1F497D"/>
        </w:rPr>
        <w:fldChar w:fldCharType="end"/>
      </w:r>
    </w:p>
    <w:p w:rsidR="00A156A4" w:rsidRPr="00E877AA" w:rsidRDefault="00A156A4" w:rsidP="00166E77">
      <w:pPr>
        <w:pStyle w:val="Nadpis1"/>
        <w:rPr>
          <w:rFonts w:ascii="Arial" w:hAnsi="Arial" w:cs="Arial"/>
          <w:szCs w:val="24"/>
        </w:rPr>
      </w:pPr>
      <w:bookmarkStart w:id="1" w:name="_Toc4591457"/>
      <w:r w:rsidRPr="00E877AA">
        <w:rPr>
          <w:rFonts w:ascii="Arial" w:hAnsi="Arial" w:cs="Arial"/>
          <w:szCs w:val="24"/>
        </w:rPr>
        <w:lastRenderedPageBreak/>
        <w:t>ÚVODNÍ SLOVO</w:t>
      </w:r>
      <w:bookmarkEnd w:id="1"/>
      <w:r w:rsidRPr="00E877AA">
        <w:rPr>
          <w:rFonts w:ascii="Arial" w:hAnsi="Arial" w:cs="Arial"/>
          <w:szCs w:val="24"/>
        </w:rPr>
        <w:t xml:space="preserve"> </w:t>
      </w:r>
    </w:p>
    <w:p w:rsidR="00A156A4" w:rsidRPr="00E877AA" w:rsidRDefault="001979EF" w:rsidP="00166E77">
      <w:pPr>
        <w:pStyle w:val="Bntextzprvy"/>
        <w:rPr>
          <w:rFonts w:cs="Arial"/>
          <w:szCs w:val="22"/>
        </w:rPr>
      </w:pPr>
      <w:r w:rsidRPr="00E877AA">
        <w:rPr>
          <w:rFonts w:cs="Arial"/>
          <w:szCs w:val="22"/>
        </w:rPr>
        <w:t>Z</w:t>
      </w:r>
      <w:r w:rsidR="00A156A4" w:rsidRPr="00E877AA">
        <w:rPr>
          <w:rFonts w:cs="Arial"/>
          <w:szCs w:val="22"/>
        </w:rPr>
        <w:t>práva o činnosti finančního arbitra za rok 201</w:t>
      </w:r>
      <w:r w:rsidR="00450BFA" w:rsidRPr="00E877AA">
        <w:rPr>
          <w:rFonts w:cs="Arial"/>
          <w:szCs w:val="22"/>
        </w:rPr>
        <w:t>8</w:t>
      </w:r>
      <w:r w:rsidR="00A156A4" w:rsidRPr="00E877AA">
        <w:rPr>
          <w:rFonts w:cs="Arial"/>
          <w:szCs w:val="22"/>
        </w:rPr>
        <w:t xml:space="preserve"> </w:t>
      </w:r>
      <w:r w:rsidR="00D06AFE" w:rsidRPr="00E877AA">
        <w:rPr>
          <w:rFonts w:cs="Arial"/>
          <w:szCs w:val="22"/>
        </w:rPr>
        <w:t xml:space="preserve">předkládaná Vládě České republiky </w:t>
      </w:r>
      <w:r w:rsidR="00A156A4" w:rsidRPr="00E877AA">
        <w:rPr>
          <w:rFonts w:cs="Arial"/>
          <w:szCs w:val="22"/>
        </w:rPr>
        <w:t xml:space="preserve">obsahuje základní informace </w:t>
      </w:r>
      <w:r w:rsidR="00BD1B5D" w:rsidRPr="00E877AA">
        <w:rPr>
          <w:rFonts w:cs="Arial"/>
          <w:szCs w:val="22"/>
        </w:rPr>
        <w:t>o finančním arbitrovi</w:t>
      </w:r>
      <w:r w:rsidR="00A156A4" w:rsidRPr="00E877AA">
        <w:rPr>
          <w:rFonts w:cs="Arial"/>
          <w:szCs w:val="22"/>
        </w:rPr>
        <w:t xml:space="preserve"> jako o orgánu mimosoudního řešení některých </w:t>
      </w:r>
      <w:r w:rsidR="00CA4487" w:rsidRPr="00E877AA">
        <w:rPr>
          <w:rFonts w:cs="Arial"/>
          <w:szCs w:val="22"/>
        </w:rPr>
        <w:t xml:space="preserve">spotřebitelských </w:t>
      </w:r>
      <w:r w:rsidR="00A156A4" w:rsidRPr="00E877AA">
        <w:rPr>
          <w:rFonts w:cs="Arial"/>
          <w:szCs w:val="22"/>
        </w:rPr>
        <w:t>sporů na finančním trhu, o</w:t>
      </w:r>
      <w:r w:rsidR="00CA4487" w:rsidRPr="00E877AA">
        <w:rPr>
          <w:rFonts w:cs="Arial"/>
          <w:szCs w:val="22"/>
        </w:rPr>
        <w:t> </w:t>
      </w:r>
      <w:r w:rsidR="00A156A4" w:rsidRPr="00E877AA">
        <w:rPr>
          <w:rFonts w:cs="Arial"/>
          <w:szCs w:val="22"/>
        </w:rPr>
        <w:t>výsledcích činnosti finančního arbitra a informace o</w:t>
      </w:r>
      <w:r w:rsidR="00D06AFE" w:rsidRPr="00E877AA">
        <w:rPr>
          <w:rFonts w:cs="Arial"/>
          <w:szCs w:val="22"/>
        </w:rPr>
        <w:t> </w:t>
      </w:r>
      <w:r w:rsidR="00A156A4" w:rsidRPr="00E877AA">
        <w:rPr>
          <w:rFonts w:cs="Arial"/>
          <w:szCs w:val="22"/>
        </w:rPr>
        <w:t xml:space="preserve">nákladech na činnost finančního arbitra a </w:t>
      </w:r>
      <w:r w:rsidR="00BD1B5D" w:rsidRPr="00E877AA">
        <w:rPr>
          <w:rFonts w:cs="Arial"/>
          <w:szCs w:val="22"/>
        </w:rPr>
        <w:t xml:space="preserve">Kanceláře </w:t>
      </w:r>
      <w:r w:rsidR="00A156A4" w:rsidRPr="00E877AA">
        <w:rPr>
          <w:rFonts w:cs="Arial"/>
          <w:szCs w:val="22"/>
        </w:rPr>
        <w:t>finančního a</w:t>
      </w:r>
      <w:r w:rsidR="00171367" w:rsidRPr="00E877AA">
        <w:rPr>
          <w:rFonts w:cs="Arial"/>
          <w:szCs w:val="22"/>
        </w:rPr>
        <w:t>rbitra za sledované období.</w:t>
      </w:r>
    </w:p>
    <w:p w:rsidR="00272438" w:rsidRPr="00E877AA" w:rsidRDefault="00A156A4" w:rsidP="00166E77">
      <w:pPr>
        <w:pStyle w:val="Bntextzprvy"/>
        <w:rPr>
          <w:rFonts w:cs="Arial"/>
          <w:szCs w:val="22"/>
        </w:rPr>
      </w:pPr>
      <w:r w:rsidRPr="00E877AA">
        <w:rPr>
          <w:rFonts w:cs="Arial"/>
          <w:szCs w:val="22"/>
        </w:rPr>
        <w:t xml:space="preserve">Z finančního arbitra se od jeho vzniku v roce 2003, kdy byl jako orgán mimosoudního řešení sporů příslušný rozhodovat pouze některé spory spotřebitelů nebo podnikatelů z platebního styku, postupně stává mimosoudní orgán řešení sporů pouze spotřebitelů s finančními institucemi napříč téměř celým finančním trhem. </w:t>
      </w:r>
      <w:r w:rsidR="003339D5" w:rsidRPr="00E877AA">
        <w:rPr>
          <w:rFonts w:cs="Arial"/>
          <w:szCs w:val="22"/>
        </w:rPr>
        <w:t>V</w:t>
      </w:r>
      <w:r w:rsidR="009445C6" w:rsidRPr="00E877AA">
        <w:rPr>
          <w:rFonts w:cs="Arial"/>
          <w:szCs w:val="22"/>
        </w:rPr>
        <w:t xml:space="preserve"> roce </w:t>
      </w:r>
      <w:r w:rsidR="001B7A14" w:rsidRPr="00E877AA">
        <w:rPr>
          <w:rFonts w:cs="Arial"/>
          <w:szCs w:val="22"/>
        </w:rPr>
        <w:t>201</w:t>
      </w:r>
      <w:r w:rsidR="00450BFA" w:rsidRPr="00E877AA">
        <w:rPr>
          <w:rFonts w:cs="Arial"/>
          <w:szCs w:val="22"/>
        </w:rPr>
        <w:t>8</w:t>
      </w:r>
      <w:r w:rsidR="001B7A14" w:rsidRPr="00E877AA">
        <w:rPr>
          <w:rFonts w:cs="Arial"/>
          <w:szCs w:val="22"/>
        </w:rPr>
        <w:t xml:space="preserve"> </w:t>
      </w:r>
      <w:r w:rsidR="009445C6" w:rsidRPr="00E877AA">
        <w:rPr>
          <w:rFonts w:cs="Arial"/>
          <w:szCs w:val="22"/>
        </w:rPr>
        <w:t>došlo k dalšímu rozšíření působnosti finančního arbitra, a to o spory</w:t>
      </w:r>
      <w:r w:rsidR="00450BFA" w:rsidRPr="00E877AA">
        <w:rPr>
          <w:rFonts w:cs="Arial"/>
          <w:szCs w:val="22"/>
        </w:rPr>
        <w:t xml:space="preserve"> vzniklé při poskytování investičních služeb na území České republiky zahraniční osobou, která má povolení orgánu dohledu jiného členského státu Evropské unie</w:t>
      </w:r>
      <w:r w:rsidR="00171367" w:rsidRPr="00E877AA">
        <w:rPr>
          <w:rFonts w:cs="Arial"/>
          <w:szCs w:val="22"/>
        </w:rPr>
        <w:t>.</w:t>
      </w:r>
    </w:p>
    <w:p w:rsidR="00BD1B5D" w:rsidRPr="00E877AA" w:rsidRDefault="00BD1B5D" w:rsidP="00166E77">
      <w:pPr>
        <w:pStyle w:val="Bntextzprvy"/>
        <w:rPr>
          <w:rFonts w:cs="Arial"/>
          <w:szCs w:val="22"/>
        </w:rPr>
      </w:pPr>
      <w:r w:rsidRPr="00E877AA">
        <w:rPr>
          <w:rFonts w:cs="Arial"/>
          <w:szCs w:val="22"/>
        </w:rPr>
        <w:t xml:space="preserve">Do působnosti finančního arbitra tedy </w:t>
      </w:r>
      <w:r w:rsidR="00D06AFE" w:rsidRPr="00E877AA">
        <w:rPr>
          <w:rFonts w:cs="Arial"/>
          <w:szCs w:val="22"/>
        </w:rPr>
        <w:t xml:space="preserve">aktuálně </w:t>
      </w:r>
      <w:r w:rsidRPr="00E877AA">
        <w:rPr>
          <w:rFonts w:cs="Arial"/>
          <w:szCs w:val="22"/>
        </w:rPr>
        <w:t>spad</w:t>
      </w:r>
      <w:r w:rsidR="00D06AFE" w:rsidRPr="00E877AA">
        <w:rPr>
          <w:rFonts w:cs="Arial"/>
          <w:szCs w:val="22"/>
        </w:rPr>
        <w:t xml:space="preserve">á mimosoudní řešení spotřebitelských sporů </w:t>
      </w:r>
      <w:r w:rsidRPr="00E877AA">
        <w:rPr>
          <w:rFonts w:cs="Arial"/>
          <w:szCs w:val="22"/>
        </w:rPr>
        <w:t>z platebního styku</w:t>
      </w:r>
      <w:r w:rsidR="00602B22" w:rsidRPr="00E877AA">
        <w:rPr>
          <w:rFonts w:cs="Arial"/>
          <w:szCs w:val="22"/>
        </w:rPr>
        <w:t>, neplatebních účtů a vkladních knížek</w:t>
      </w:r>
      <w:r w:rsidRPr="00E877AA">
        <w:rPr>
          <w:rFonts w:cs="Arial"/>
          <w:szCs w:val="22"/>
        </w:rPr>
        <w:t xml:space="preserve">, </w:t>
      </w:r>
      <w:r w:rsidR="00602B22" w:rsidRPr="00E877AA">
        <w:rPr>
          <w:rFonts w:cs="Arial"/>
          <w:szCs w:val="22"/>
        </w:rPr>
        <w:t xml:space="preserve">elektronických peněz, </w:t>
      </w:r>
      <w:r w:rsidR="009445C6" w:rsidRPr="00E877AA">
        <w:rPr>
          <w:rFonts w:cs="Arial"/>
          <w:szCs w:val="22"/>
        </w:rPr>
        <w:t xml:space="preserve">úvěrů, včetně </w:t>
      </w:r>
      <w:r w:rsidRPr="00E877AA">
        <w:rPr>
          <w:rFonts w:cs="Arial"/>
          <w:szCs w:val="22"/>
        </w:rPr>
        <w:t xml:space="preserve">hypoték a </w:t>
      </w:r>
      <w:r w:rsidR="009445C6" w:rsidRPr="00E877AA">
        <w:rPr>
          <w:rFonts w:cs="Arial"/>
          <w:szCs w:val="22"/>
        </w:rPr>
        <w:t>úvěrů ze</w:t>
      </w:r>
      <w:r w:rsidRPr="00E877AA">
        <w:rPr>
          <w:rFonts w:cs="Arial"/>
          <w:szCs w:val="22"/>
        </w:rPr>
        <w:t xml:space="preserve"> stavebního spoření,</w:t>
      </w:r>
      <w:r w:rsidR="009445C6" w:rsidRPr="00E877AA">
        <w:rPr>
          <w:rFonts w:cs="Arial"/>
          <w:szCs w:val="22"/>
        </w:rPr>
        <w:t xml:space="preserve"> ze stavebního spoření,</w:t>
      </w:r>
      <w:r w:rsidRPr="00E877AA">
        <w:rPr>
          <w:rFonts w:cs="Arial"/>
          <w:szCs w:val="22"/>
        </w:rPr>
        <w:t xml:space="preserve"> z</w:t>
      </w:r>
      <w:r w:rsidR="009445C6" w:rsidRPr="00E877AA">
        <w:rPr>
          <w:rFonts w:cs="Arial"/>
          <w:szCs w:val="22"/>
        </w:rPr>
        <w:t> kolektivního investování a investičních služeb, ze směnárenských obchodů a životního pojištění</w:t>
      </w:r>
      <w:r w:rsidRPr="00E877AA">
        <w:rPr>
          <w:rFonts w:cs="Arial"/>
          <w:szCs w:val="22"/>
        </w:rPr>
        <w:t>. Finanční arbitr je tedy příslušný řešit spory spotřebitelů s poskytovateli a zprostředkovateli platebních služeb, vyd</w:t>
      </w:r>
      <w:r w:rsidR="009445C6" w:rsidRPr="00E877AA">
        <w:rPr>
          <w:rFonts w:cs="Arial"/>
          <w:szCs w:val="22"/>
        </w:rPr>
        <w:t xml:space="preserve">avateli </w:t>
      </w:r>
      <w:r w:rsidRPr="00E877AA">
        <w:rPr>
          <w:rFonts w:cs="Arial"/>
          <w:szCs w:val="22"/>
        </w:rPr>
        <w:t xml:space="preserve">elektronických peněz, </w:t>
      </w:r>
      <w:r w:rsidR="009445C6" w:rsidRPr="00E877AA">
        <w:rPr>
          <w:rFonts w:cs="Arial"/>
          <w:szCs w:val="22"/>
        </w:rPr>
        <w:t xml:space="preserve">poskytovateli a zprostředkovateli </w:t>
      </w:r>
      <w:r w:rsidRPr="00E877AA">
        <w:rPr>
          <w:rFonts w:cs="Arial"/>
          <w:szCs w:val="22"/>
        </w:rPr>
        <w:t xml:space="preserve">spotřebitelského úvěru nebo jiného úvěru, zápůjčky či obdobné finanční služby, </w:t>
      </w:r>
      <w:r w:rsidR="009445C6" w:rsidRPr="00E877AA">
        <w:rPr>
          <w:rFonts w:cs="Arial"/>
          <w:szCs w:val="22"/>
        </w:rPr>
        <w:t>stavebními spořitelnami, investičními společnostmi a fondy, obchodníky s cennými papíry,</w:t>
      </w:r>
      <w:r w:rsidR="009F2D25" w:rsidRPr="00E877AA">
        <w:rPr>
          <w:rFonts w:cs="Arial"/>
          <w:szCs w:val="22"/>
        </w:rPr>
        <w:t xml:space="preserve"> investičními zprostředkovateli,</w:t>
      </w:r>
      <w:r w:rsidR="009445C6" w:rsidRPr="00E877AA">
        <w:rPr>
          <w:rFonts w:cs="Arial"/>
          <w:szCs w:val="22"/>
        </w:rPr>
        <w:t xml:space="preserve"> životními pojišťovnami a směnárníky</w:t>
      </w:r>
      <w:r w:rsidRPr="00E877AA">
        <w:rPr>
          <w:rFonts w:cs="Arial"/>
          <w:szCs w:val="22"/>
        </w:rPr>
        <w:t>.</w:t>
      </w:r>
    </w:p>
    <w:p w:rsidR="00BD1B5D" w:rsidRPr="00E877AA" w:rsidRDefault="00BD1B5D" w:rsidP="00166E77">
      <w:pPr>
        <w:pStyle w:val="Bntextzprvy"/>
        <w:rPr>
          <w:rFonts w:cs="Arial"/>
          <w:szCs w:val="22"/>
        </w:rPr>
      </w:pPr>
      <w:r w:rsidRPr="00E877AA">
        <w:rPr>
          <w:rFonts w:cs="Arial"/>
          <w:szCs w:val="22"/>
        </w:rPr>
        <w:t xml:space="preserve">V působnosti finančního arbitra </w:t>
      </w:r>
      <w:r w:rsidR="007A5B89" w:rsidRPr="00E877AA">
        <w:rPr>
          <w:rFonts w:cs="Arial"/>
          <w:szCs w:val="22"/>
        </w:rPr>
        <w:t xml:space="preserve">nejsou spory </w:t>
      </w:r>
      <w:r w:rsidRPr="00E877AA">
        <w:rPr>
          <w:rFonts w:cs="Arial"/>
          <w:szCs w:val="22"/>
        </w:rPr>
        <w:t>z finančních služeb</w:t>
      </w:r>
      <w:r w:rsidR="009F2D25" w:rsidRPr="00E877AA">
        <w:rPr>
          <w:rFonts w:cs="Arial"/>
          <w:szCs w:val="22"/>
        </w:rPr>
        <w:t>,</w:t>
      </w:r>
      <w:r w:rsidRPr="00E877AA">
        <w:rPr>
          <w:rFonts w:cs="Arial"/>
          <w:szCs w:val="22"/>
        </w:rPr>
        <w:t xml:space="preserve"> </w:t>
      </w:r>
      <w:r w:rsidR="007A5B89" w:rsidRPr="00E877AA">
        <w:rPr>
          <w:rFonts w:cs="Arial"/>
          <w:szCs w:val="22"/>
        </w:rPr>
        <w:t xml:space="preserve">jako jsou </w:t>
      </w:r>
      <w:r w:rsidRPr="00E877AA">
        <w:rPr>
          <w:rFonts w:cs="Arial"/>
          <w:szCs w:val="22"/>
        </w:rPr>
        <w:t>penzijní připojištění</w:t>
      </w:r>
      <w:r w:rsidR="00B47568" w:rsidRPr="00E877AA">
        <w:rPr>
          <w:rFonts w:cs="Arial"/>
          <w:szCs w:val="22"/>
        </w:rPr>
        <w:t>, doplňkové penzijní spoření</w:t>
      </w:r>
      <w:r w:rsidR="007A5B89" w:rsidRPr="00E877AA">
        <w:rPr>
          <w:rFonts w:cs="Arial"/>
          <w:szCs w:val="22"/>
        </w:rPr>
        <w:t>,</w:t>
      </w:r>
      <w:r w:rsidR="00171367" w:rsidRPr="00E877AA">
        <w:rPr>
          <w:rFonts w:cs="Arial"/>
          <w:szCs w:val="22"/>
        </w:rPr>
        <w:t xml:space="preserve"> neživotní pojištění</w:t>
      </w:r>
      <w:r w:rsidR="007A5B89" w:rsidRPr="00E877AA">
        <w:rPr>
          <w:rFonts w:cs="Arial"/>
          <w:szCs w:val="22"/>
        </w:rPr>
        <w:t>, a spory akcionářů a držitelů dluhopisů</w:t>
      </w:r>
      <w:r w:rsidR="00171367" w:rsidRPr="00E877AA">
        <w:rPr>
          <w:rFonts w:cs="Arial"/>
          <w:szCs w:val="22"/>
        </w:rPr>
        <w:t>.</w:t>
      </w:r>
    </w:p>
    <w:p w:rsidR="003339D5" w:rsidRPr="00E877AA" w:rsidRDefault="00A156A4" w:rsidP="00166E77">
      <w:pPr>
        <w:pStyle w:val="Bntextzprvy"/>
        <w:rPr>
          <w:rFonts w:cs="Arial"/>
          <w:szCs w:val="22"/>
        </w:rPr>
      </w:pPr>
      <w:r w:rsidRPr="00E877AA">
        <w:rPr>
          <w:rFonts w:cs="Arial"/>
          <w:szCs w:val="22"/>
        </w:rPr>
        <w:t>Finanční arbitr v</w:t>
      </w:r>
      <w:r w:rsidR="00D06AFE" w:rsidRPr="00E877AA">
        <w:rPr>
          <w:rFonts w:cs="Arial"/>
          <w:szCs w:val="22"/>
        </w:rPr>
        <w:t> </w:t>
      </w:r>
      <w:r w:rsidR="009445C6" w:rsidRPr="00E877AA">
        <w:rPr>
          <w:rFonts w:cs="Arial"/>
          <w:szCs w:val="22"/>
        </w:rPr>
        <w:t>roce</w:t>
      </w:r>
      <w:r w:rsidR="00D06AFE" w:rsidRPr="00E877AA">
        <w:rPr>
          <w:rFonts w:cs="Arial"/>
          <w:szCs w:val="22"/>
        </w:rPr>
        <w:t xml:space="preserve"> 201</w:t>
      </w:r>
      <w:r w:rsidR="00C7238A" w:rsidRPr="00E877AA">
        <w:rPr>
          <w:rFonts w:cs="Arial"/>
          <w:szCs w:val="22"/>
        </w:rPr>
        <w:t>8</w:t>
      </w:r>
      <w:r w:rsidR="009445C6" w:rsidRPr="00E877AA">
        <w:rPr>
          <w:rFonts w:cs="Arial"/>
          <w:szCs w:val="22"/>
        </w:rPr>
        <w:t xml:space="preserve"> přijal 1</w:t>
      </w:r>
      <w:r w:rsidR="00AD006B" w:rsidRPr="00E877AA">
        <w:rPr>
          <w:rFonts w:cs="Arial"/>
          <w:szCs w:val="22"/>
        </w:rPr>
        <w:t>.</w:t>
      </w:r>
      <w:r w:rsidR="009445C6" w:rsidRPr="00E877AA">
        <w:rPr>
          <w:rFonts w:cs="Arial"/>
          <w:szCs w:val="22"/>
        </w:rPr>
        <w:t>3</w:t>
      </w:r>
      <w:r w:rsidR="00C7238A" w:rsidRPr="00E877AA">
        <w:rPr>
          <w:rFonts w:cs="Arial"/>
          <w:szCs w:val="22"/>
        </w:rPr>
        <w:t>99</w:t>
      </w:r>
      <w:r w:rsidRPr="00E877AA">
        <w:rPr>
          <w:rFonts w:cs="Arial"/>
          <w:szCs w:val="22"/>
        </w:rPr>
        <w:t xml:space="preserve"> návrhů na zahájení řízení</w:t>
      </w:r>
      <w:r w:rsidR="00E319F5" w:rsidRPr="00E877AA">
        <w:rPr>
          <w:rFonts w:cs="Arial"/>
          <w:szCs w:val="22"/>
        </w:rPr>
        <w:t xml:space="preserve">, projednával celkem </w:t>
      </w:r>
      <w:r w:rsidR="003A70D4" w:rsidRPr="00E877AA">
        <w:rPr>
          <w:rFonts w:cs="Arial"/>
          <w:szCs w:val="22"/>
        </w:rPr>
        <w:t>3</w:t>
      </w:r>
      <w:r w:rsidR="00D06AFE" w:rsidRPr="00E877AA">
        <w:rPr>
          <w:rFonts w:cs="Arial"/>
          <w:szCs w:val="22"/>
        </w:rPr>
        <w:t>.</w:t>
      </w:r>
      <w:r w:rsidR="00C7238A" w:rsidRPr="00E877AA">
        <w:rPr>
          <w:rFonts w:cs="Arial"/>
          <w:szCs w:val="22"/>
        </w:rPr>
        <w:t>619</w:t>
      </w:r>
      <w:r w:rsidR="00E319F5" w:rsidRPr="00E877AA">
        <w:rPr>
          <w:rFonts w:cs="Arial"/>
          <w:szCs w:val="22"/>
        </w:rPr>
        <w:t xml:space="preserve"> sporů </w:t>
      </w:r>
      <w:r w:rsidR="004B06D3" w:rsidRPr="00E877AA">
        <w:rPr>
          <w:rFonts w:cs="Arial"/>
          <w:szCs w:val="22"/>
        </w:rPr>
        <w:t xml:space="preserve">(běžících nebo přerušených řízení) </w:t>
      </w:r>
      <w:r w:rsidRPr="00E877AA">
        <w:rPr>
          <w:rFonts w:cs="Arial"/>
          <w:szCs w:val="22"/>
        </w:rPr>
        <w:t xml:space="preserve">a počet vyřízených dotazů veřejnosti </w:t>
      </w:r>
      <w:r w:rsidR="00E319F5" w:rsidRPr="00E877AA">
        <w:rPr>
          <w:rFonts w:cs="Arial"/>
          <w:szCs w:val="22"/>
        </w:rPr>
        <w:t xml:space="preserve">přesáhl </w:t>
      </w:r>
      <w:r w:rsidR="00C7238A" w:rsidRPr="00E877AA">
        <w:rPr>
          <w:rFonts w:cs="Arial"/>
          <w:szCs w:val="22"/>
        </w:rPr>
        <w:t>5</w:t>
      </w:r>
      <w:r w:rsidRPr="00E877AA">
        <w:rPr>
          <w:rFonts w:cs="Arial"/>
          <w:szCs w:val="22"/>
        </w:rPr>
        <w:t xml:space="preserve"> tisíc</w:t>
      </w:r>
      <w:r w:rsidR="00171367" w:rsidRPr="00E877AA">
        <w:rPr>
          <w:rFonts w:cs="Arial"/>
          <w:szCs w:val="22"/>
        </w:rPr>
        <w:t xml:space="preserve"> dotazů.</w:t>
      </w:r>
    </w:p>
    <w:p w:rsidR="00C7238A" w:rsidRPr="00E877AA" w:rsidRDefault="00C7238A" w:rsidP="00166E77">
      <w:pPr>
        <w:pStyle w:val="Bntextzprvy"/>
        <w:rPr>
          <w:rFonts w:cs="Arial"/>
          <w:szCs w:val="22"/>
        </w:rPr>
      </w:pPr>
      <w:r w:rsidRPr="00E877AA">
        <w:rPr>
          <w:iCs/>
        </w:rPr>
        <w:t>V roce 2018 došlo k meziročnímu nárůstu počtu návrhů na zahájení řízení o téměř 5 % oproti roku 2017 (1.399 vs. 1.337)</w:t>
      </w:r>
      <w:r w:rsidR="004B06D3" w:rsidRPr="00E877AA">
        <w:rPr>
          <w:iCs/>
        </w:rPr>
        <w:t>, s</w:t>
      </w:r>
      <w:r w:rsidRPr="00E877AA">
        <w:rPr>
          <w:iCs/>
        </w:rPr>
        <w:t>oučasně se finančnímu arbitrovi podařilo v roce 2018 pravomocn</w:t>
      </w:r>
      <w:r w:rsidR="004B06D3" w:rsidRPr="00E877AA">
        <w:rPr>
          <w:iCs/>
        </w:rPr>
        <w:t>ě ukončit celkem</w:t>
      </w:r>
      <w:r w:rsidRPr="00E877AA">
        <w:rPr>
          <w:iCs/>
        </w:rPr>
        <w:t xml:space="preserve"> 1.656 řízení, což představuje nárůst o více než 64 % oproti počtu 1.008 řízení pravomocně ukončených v roce 2017.</w:t>
      </w:r>
    </w:p>
    <w:p w:rsidR="00A43860" w:rsidRPr="00E877AA" w:rsidRDefault="00A156A4" w:rsidP="00166E77">
      <w:pPr>
        <w:pStyle w:val="Bntextzprvy"/>
        <w:rPr>
          <w:rFonts w:cs="Arial"/>
          <w:szCs w:val="22"/>
        </w:rPr>
      </w:pPr>
      <w:r w:rsidRPr="00E877AA">
        <w:rPr>
          <w:rFonts w:cs="Arial"/>
          <w:szCs w:val="22"/>
        </w:rPr>
        <w:t>Nejčastějším předmětem sporů i vyřizovaných dotazů zůstává</w:t>
      </w:r>
      <w:r w:rsidR="00D06AFE" w:rsidRPr="00E877AA">
        <w:rPr>
          <w:rFonts w:cs="Arial"/>
          <w:szCs w:val="22"/>
        </w:rPr>
        <w:t xml:space="preserve"> stejně jako v minulém období</w:t>
      </w:r>
      <w:r w:rsidRPr="00E877AA">
        <w:rPr>
          <w:rFonts w:cs="Arial"/>
          <w:szCs w:val="22"/>
        </w:rPr>
        <w:t xml:space="preserve"> životní pojištění a spotřebitelský úvěr. Spory ze životního pojištění mají společného jmenovatele, tím jsou poplatky (provize zprostředkovatelů), které pojišťovny účtují v prvních letech životního pojištění</w:t>
      </w:r>
      <w:r w:rsidR="005426E6" w:rsidRPr="00E877AA">
        <w:rPr>
          <w:rFonts w:cs="Arial"/>
          <w:szCs w:val="22"/>
        </w:rPr>
        <w:t xml:space="preserve"> k tíži zaplaceného pojistného</w:t>
      </w:r>
      <w:r w:rsidR="00767917" w:rsidRPr="00E877AA">
        <w:rPr>
          <w:rFonts w:cs="Arial"/>
          <w:szCs w:val="22"/>
        </w:rPr>
        <w:t>.</w:t>
      </w:r>
    </w:p>
    <w:p w:rsidR="00416525" w:rsidRPr="00E877AA" w:rsidRDefault="005426E6" w:rsidP="00166E77">
      <w:pPr>
        <w:pStyle w:val="Bntextzprvy"/>
        <w:rPr>
          <w:rFonts w:cs="Arial"/>
          <w:szCs w:val="22"/>
        </w:rPr>
      </w:pPr>
      <w:r w:rsidRPr="00E877AA">
        <w:rPr>
          <w:rFonts w:cs="Arial"/>
          <w:szCs w:val="22"/>
        </w:rPr>
        <w:t>Primárním cílem finančního arbitra je dosáhnout smírného řešení sporu</w:t>
      </w:r>
      <w:r w:rsidR="004B06D3" w:rsidRPr="00E877AA">
        <w:rPr>
          <w:rFonts w:cs="Arial"/>
          <w:szCs w:val="22"/>
        </w:rPr>
        <w:t xml:space="preserve">, za smírné řešení sporu je zapotřebí považovat i řízení, ve kterém spotřebitel vezme svůj návrh zpět, protože ho finanční arbitr předloženým posouzením shromážděných podkladů přesvědčí o neoprávněnosti jeho návrhu (sporu). Ve </w:t>
      </w:r>
      <w:r w:rsidR="00A156A4" w:rsidRPr="00E877AA">
        <w:rPr>
          <w:rFonts w:cs="Arial"/>
          <w:szCs w:val="22"/>
        </w:rPr>
        <w:t xml:space="preserve">většině projednávaných </w:t>
      </w:r>
      <w:r w:rsidRPr="00E877AA">
        <w:rPr>
          <w:rFonts w:cs="Arial"/>
          <w:szCs w:val="22"/>
        </w:rPr>
        <w:t xml:space="preserve">a oprávněných </w:t>
      </w:r>
      <w:r w:rsidR="00A156A4" w:rsidRPr="00E877AA">
        <w:rPr>
          <w:rFonts w:cs="Arial"/>
          <w:szCs w:val="22"/>
        </w:rPr>
        <w:t xml:space="preserve">sporů </w:t>
      </w:r>
      <w:r w:rsidR="004B06D3" w:rsidRPr="00E877AA">
        <w:rPr>
          <w:rFonts w:cs="Arial"/>
          <w:szCs w:val="22"/>
        </w:rPr>
        <w:t xml:space="preserve">se finančnímu arbitrovi </w:t>
      </w:r>
      <w:r w:rsidRPr="00E877AA">
        <w:rPr>
          <w:rFonts w:cs="Arial"/>
          <w:szCs w:val="22"/>
        </w:rPr>
        <w:t>daří</w:t>
      </w:r>
      <w:r w:rsidR="004B06D3" w:rsidRPr="00E877AA">
        <w:rPr>
          <w:rFonts w:cs="Arial"/>
          <w:szCs w:val="22"/>
        </w:rPr>
        <w:t xml:space="preserve"> dosahovat smírného řešení sporu</w:t>
      </w:r>
      <w:r w:rsidR="009F2D25" w:rsidRPr="00E877AA">
        <w:rPr>
          <w:rFonts w:cs="Arial"/>
          <w:szCs w:val="22"/>
        </w:rPr>
        <w:t>.</w:t>
      </w:r>
    </w:p>
    <w:p w:rsidR="00834C03" w:rsidRPr="00E877AA" w:rsidRDefault="00416525" w:rsidP="00166E77">
      <w:pPr>
        <w:pStyle w:val="Bntextzprvy"/>
        <w:rPr>
          <w:rFonts w:cs="Arial"/>
          <w:szCs w:val="22"/>
        </w:rPr>
      </w:pPr>
      <w:r w:rsidRPr="00E877AA">
        <w:rPr>
          <w:rFonts w:cs="Arial"/>
          <w:szCs w:val="22"/>
        </w:rPr>
        <w:t>Výjimkou jsou spory ze životního pojištění, tam je pohled stran sporu na smírné vyřešení ve většině sporů odlišný od výsledku posouzení finančního arbitra, spotřebitel se domáhá zneplatnění smlouvy vrácení zaplaceného pojistného, pojišťovna se domáhá konstatování úplné platnosti pojistné smlouvy a finanční arbitr neuspokojí zpravidla ani jednu stranu, když rozhodne o úplné neplatnosti pojistné smlouvy, ale přizná v důsledku vznesené námitky promlčení pouze částečné plnění</w:t>
      </w:r>
      <w:r w:rsidR="00834C03" w:rsidRPr="00E877AA">
        <w:rPr>
          <w:rFonts w:cs="Arial"/>
          <w:szCs w:val="22"/>
        </w:rPr>
        <w:t>. Spory ze životního pojištění jsou pak předmětem soudního přezkumu a v těchto sporech je finanční arbitr napadán ze strany spotřebitelů i žalobami na nečinnost (spotřebitelé zastoupení skupinou advokátů postup</w:t>
      </w:r>
      <w:r w:rsidR="009F2D25" w:rsidRPr="00E877AA">
        <w:rPr>
          <w:rFonts w:cs="Arial"/>
          <w:szCs w:val="22"/>
        </w:rPr>
        <w:t>ujících ve shodě).</w:t>
      </w:r>
    </w:p>
    <w:p w:rsidR="00A156A4" w:rsidRPr="00E877AA" w:rsidRDefault="00A156A4" w:rsidP="00166E77">
      <w:pPr>
        <w:pStyle w:val="Bntextzprvy"/>
        <w:rPr>
          <w:rFonts w:cs="Arial"/>
          <w:szCs w:val="22"/>
        </w:rPr>
      </w:pPr>
      <w:r w:rsidRPr="00E877AA">
        <w:rPr>
          <w:rFonts w:cs="Arial"/>
          <w:szCs w:val="22"/>
        </w:rPr>
        <w:t xml:space="preserve">Finanční arbitr pokračoval v uveřejňování svých rozhodnutí ve Sbírce rozhodnutí na svých internetových stránkách. </w:t>
      </w:r>
      <w:r w:rsidR="003A604E" w:rsidRPr="00E877AA">
        <w:rPr>
          <w:rFonts w:cs="Arial"/>
          <w:szCs w:val="22"/>
        </w:rPr>
        <w:t>Ve Sbírce rozhodnutí uveřejňuje finanční arbitr úplná anonymizovaná znění rozhodnutí ve věci, tedy rozhodnutí, ve kterých se nepodařilo dosáhnout smírného řešení</w:t>
      </w:r>
      <w:r w:rsidR="001B7A14" w:rsidRPr="00E877AA">
        <w:rPr>
          <w:rFonts w:cs="Arial"/>
          <w:szCs w:val="22"/>
        </w:rPr>
        <w:t>,</w:t>
      </w:r>
      <w:r w:rsidR="003A604E" w:rsidRPr="00E877AA">
        <w:rPr>
          <w:rFonts w:cs="Arial"/>
          <w:szCs w:val="22"/>
        </w:rPr>
        <w:t xml:space="preserve"> a finanční arbitr vyhověl nebo zamítl návrh spotřebitele. </w:t>
      </w:r>
      <w:r w:rsidRPr="00E877AA">
        <w:rPr>
          <w:rFonts w:cs="Arial"/>
          <w:szCs w:val="22"/>
        </w:rPr>
        <w:t>Cíl</w:t>
      </w:r>
      <w:r w:rsidR="003A604E" w:rsidRPr="00E877AA">
        <w:rPr>
          <w:rFonts w:cs="Arial"/>
          <w:szCs w:val="22"/>
        </w:rPr>
        <w:t>em</w:t>
      </w:r>
      <w:r w:rsidRPr="00E877AA">
        <w:rPr>
          <w:rFonts w:cs="Arial"/>
          <w:szCs w:val="22"/>
        </w:rPr>
        <w:t xml:space="preserve">, který Sbírka rozhodnutí sleduje, je informování široké veřejnosti o řešených případech a předvídatelnost rozhodovací činnosti </w:t>
      </w:r>
      <w:r w:rsidRPr="00E877AA">
        <w:rPr>
          <w:rFonts w:cs="Arial"/>
          <w:szCs w:val="22"/>
        </w:rPr>
        <w:lastRenderedPageBreak/>
        <w:t>finančního arbitra.</w:t>
      </w:r>
      <w:r w:rsidR="003A604E" w:rsidRPr="00E877AA">
        <w:rPr>
          <w:rFonts w:cs="Arial"/>
          <w:szCs w:val="22"/>
        </w:rPr>
        <w:t xml:space="preserve"> Aktuálně obsahuje Sbírka rozhodnutí </w:t>
      </w:r>
      <w:r w:rsidR="00E319F5" w:rsidRPr="00E877AA">
        <w:rPr>
          <w:rFonts w:cs="Arial"/>
          <w:szCs w:val="22"/>
        </w:rPr>
        <w:t>více než 300</w:t>
      </w:r>
      <w:r w:rsidR="003A604E" w:rsidRPr="00E877AA">
        <w:rPr>
          <w:rFonts w:cs="Arial"/>
          <w:szCs w:val="22"/>
        </w:rPr>
        <w:t xml:space="preserve"> anonymizovaných rozhodnutí </w:t>
      </w:r>
      <w:r w:rsidR="00E319F5" w:rsidRPr="00E877AA">
        <w:rPr>
          <w:rFonts w:cs="Arial"/>
          <w:szCs w:val="22"/>
        </w:rPr>
        <w:t xml:space="preserve">finančního arbitra </w:t>
      </w:r>
      <w:r w:rsidR="00BA3F8F" w:rsidRPr="00E877AA">
        <w:rPr>
          <w:rFonts w:cs="Arial"/>
          <w:szCs w:val="22"/>
        </w:rPr>
        <w:t>vydaných od roku 2012.</w:t>
      </w:r>
    </w:p>
    <w:p w:rsidR="003339D5" w:rsidRPr="00E877AA" w:rsidRDefault="005426E6" w:rsidP="00166E77">
      <w:pPr>
        <w:pStyle w:val="Bntextzprvy"/>
        <w:rPr>
          <w:rFonts w:cs="Arial"/>
          <w:szCs w:val="22"/>
        </w:rPr>
      </w:pPr>
      <w:r w:rsidRPr="00E877AA">
        <w:rPr>
          <w:rFonts w:cs="Arial"/>
          <w:szCs w:val="22"/>
        </w:rPr>
        <w:t>P</w:t>
      </w:r>
      <w:r w:rsidR="00A156A4" w:rsidRPr="00E877AA">
        <w:rPr>
          <w:rFonts w:cs="Arial"/>
          <w:szCs w:val="22"/>
        </w:rPr>
        <w:t>očty zahájených řízení i jen položených</w:t>
      </w:r>
      <w:r w:rsidRPr="00E877AA">
        <w:rPr>
          <w:rFonts w:cs="Arial"/>
          <w:szCs w:val="22"/>
        </w:rPr>
        <w:t xml:space="preserve"> a zodpovězených</w:t>
      </w:r>
      <w:r w:rsidR="00A156A4" w:rsidRPr="00E877AA">
        <w:rPr>
          <w:rFonts w:cs="Arial"/>
          <w:szCs w:val="22"/>
        </w:rPr>
        <w:t xml:space="preserve"> dotazů naznačují, že veřejnost má k dispozici informace o finančním arbitrovi a má zájem o možnost řešení sporů pomocí finančního arbitra</w:t>
      </w:r>
      <w:r w:rsidRPr="00E877AA">
        <w:rPr>
          <w:rFonts w:cs="Arial"/>
          <w:szCs w:val="22"/>
        </w:rPr>
        <w:t xml:space="preserve"> a že i reklamační řízení u finanční instituce vyvolané s</w:t>
      </w:r>
      <w:r w:rsidR="00054E68" w:rsidRPr="00E877AA">
        <w:rPr>
          <w:rFonts w:cs="Arial"/>
          <w:szCs w:val="22"/>
        </w:rPr>
        <w:t> odkazem na povinnost spotřebitele s</w:t>
      </w:r>
      <w:r w:rsidRPr="00E877AA">
        <w:rPr>
          <w:rFonts w:cs="Arial"/>
          <w:szCs w:val="22"/>
        </w:rPr>
        <w:t>plnit nezbytnou podmínku pro</w:t>
      </w:r>
      <w:r w:rsidR="00054E68" w:rsidRPr="00E877AA">
        <w:rPr>
          <w:rFonts w:cs="Arial"/>
          <w:szCs w:val="22"/>
        </w:rPr>
        <w:t xml:space="preserve"> zahájení </w:t>
      </w:r>
      <w:r w:rsidRPr="00E877AA">
        <w:rPr>
          <w:rFonts w:cs="Arial"/>
          <w:szCs w:val="22"/>
        </w:rPr>
        <w:t>řízení před finančním arbitrem</w:t>
      </w:r>
      <w:r w:rsidR="00054E68" w:rsidRPr="00E877AA">
        <w:rPr>
          <w:rFonts w:cs="Arial"/>
          <w:szCs w:val="22"/>
        </w:rPr>
        <w:t xml:space="preserve"> v mnoha případech postačí ke smírnému řešení sporu.</w:t>
      </w:r>
      <w:r w:rsidR="00A156A4" w:rsidRPr="00E877AA">
        <w:rPr>
          <w:rFonts w:cs="Arial"/>
          <w:szCs w:val="22"/>
        </w:rPr>
        <w:t xml:space="preserve"> </w:t>
      </w:r>
      <w:r w:rsidR="00054E68" w:rsidRPr="00E877AA">
        <w:rPr>
          <w:rFonts w:cs="Arial"/>
          <w:szCs w:val="22"/>
        </w:rPr>
        <w:t>K tomu napomáhá pouhá existence finančního arbitra, dosavadní zkušenost finančních institucí s řízením před finančním arbitrem a konečně i Sbírka</w:t>
      </w:r>
      <w:r w:rsidR="00767917" w:rsidRPr="00E877AA">
        <w:rPr>
          <w:rFonts w:cs="Arial"/>
          <w:szCs w:val="22"/>
        </w:rPr>
        <w:t xml:space="preserve"> rozhodnutí finančního arbitra.</w:t>
      </w:r>
    </w:p>
    <w:p w:rsidR="00A156A4" w:rsidRPr="00E877AA" w:rsidRDefault="00A156A4" w:rsidP="00166E77">
      <w:pPr>
        <w:pStyle w:val="Bntextzprvy"/>
        <w:rPr>
          <w:rFonts w:cs="Arial"/>
          <w:szCs w:val="22"/>
        </w:rPr>
      </w:pPr>
      <w:r w:rsidRPr="00E877AA">
        <w:rPr>
          <w:rFonts w:cs="Arial"/>
          <w:szCs w:val="22"/>
        </w:rPr>
        <w:t xml:space="preserve">Ne vždy </w:t>
      </w:r>
      <w:r w:rsidR="00054E68" w:rsidRPr="00E877AA">
        <w:rPr>
          <w:rFonts w:cs="Arial"/>
          <w:szCs w:val="22"/>
        </w:rPr>
        <w:t xml:space="preserve">však </w:t>
      </w:r>
      <w:r w:rsidRPr="00E877AA">
        <w:rPr>
          <w:rFonts w:cs="Arial"/>
          <w:szCs w:val="22"/>
        </w:rPr>
        <w:t>lze každému spotřebiteli vyhovět nebo mu pomoci, poměrně často lidé přicházejí pozdě nebo si svojí vlastní neopatrností</w:t>
      </w:r>
      <w:r w:rsidR="00117FC0" w:rsidRPr="00E877AA">
        <w:rPr>
          <w:rFonts w:cs="Arial"/>
          <w:szCs w:val="22"/>
        </w:rPr>
        <w:t xml:space="preserve"> </w:t>
      </w:r>
      <w:r w:rsidRPr="00E877AA">
        <w:rPr>
          <w:rFonts w:cs="Arial"/>
          <w:szCs w:val="22"/>
        </w:rPr>
        <w:t>a liknavostí zkomplikují vlastní život i možné řešení sporu. Podle reakcí drtiv</w:t>
      </w:r>
      <w:r w:rsidR="003D456E" w:rsidRPr="00E877AA">
        <w:rPr>
          <w:rFonts w:cs="Arial"/>
          <w:szCs w:val="22"/>
        </w:rPr>
        <w:t>é</w:t>
      </w:r>
      <w:r w:rsidRPr="00E877AA">
        <w:rPr>
          <w:rFonts w:cs="Arial"/>
          <w:szCs w:val="22"/>
        </w:rPr>
        <w:t xml:space="preserve"> většiny spotřebitelů, kteří se na finančního arbitra obracejí, mají spotřebitelé v tuto instituci důvěru a pozitivně oceňují, jak stát prostřednictvím finančního arbitra chrání spotřebitele na finančním trhu.</w:t>
      </w:r>
      <w:r w:rsidR="003339D5" w:rsidRPr="00E877AA">
        <w:rPr>
          <w:rFonts w:cs="Arial"/>
          <w:szCs w:val="22"/>
        </w:rPr>
        <w:t xml:space="preserve"> Na druhou stranu dochází i ke zneužívání institutu finančního arbitra, a to prostřednictvím </w:t>
      </w:r>
      <w:r w:rsidR="00A3651F" w:rsidRPr="00E877AA">
        <w:rPr>
          <w:rFonts w:cs="Arial"/>
          <w:szCs w:val="22"/>
        </w:rPr>
        <w:t xml:space="preserve">nejrůznějších iniciativ a </w:t>
      </w:r>
      <w:r w:rsidR="003339D5" w:rsidRPr="00E877AA">
        <w:rPr>
          <w:rFonts w:cs="Arial"/>
          <w:szCs w:val="22"/>
        </w:rPr>
        <w:t>uskupení</w:t>
      </w:r>
      <w:r w:rsidR="00A3651F" w:rsidRPr="00E877AA">
        <w:rPr>
          <w:rFonts w:cs="Arial"/>
          <w:szCs w:val="22"/>
        </w:rPr>
        <w:t>, kter</w:t>
      </w:r>
      <w:r w:rsidR="00767917" w:rsidRPr="00E877AA">
        <w:rPr>
          <w:rFonts w:cs="Arial"/>
          <w:szCs w:val="22"/>
        </w:rPr>
        <w:t>é</w:t>
      </w:r>
      <w:r w:rsidR="00A3651F" w:rsidRPr="00E877AA">
        <w:rPr>
          <w:rFonts w:cs="Arial"/>
          <w:szCs w:val="22"/>
        </w:rPr>
        <w:t xml:space="preserve"> organizují hromadné podávání návrhů na zahájení řízení za spotřebitele</w:t>
      </w:r>
      <w:r w:rsidR="005D3B1A" w:rsidRPr="00E877AA">
        <w:rPr>
          <w:rFonts w:cs="Arial"/>
          <w:szCs w:val="22"/>
        </w:rPr>
        <w:t xml:space="preserve">, </w:t>
      </w:r>
      <w:r w:rsidR="00602B22" w:rsidRPr="00E877AA">
        <w:t>v řadě případů i bez vědomí spotřebitele, čím spory ztrácejí nejen povahu individuálního sporu, ale často i povahu spotřebitelského sporu, když plnění vymáhá osoba, která na sebe nechala postoupit pohledávku spotřebitele ze smluvního vztahu s institucí.</w:t>
      </w:r>
    </w:p>
    <w:p w:rsidR="00530D14" w:rsidRPr="00E877AA" w:rsidRDefault="007A5B89" w:rsidP="00166E77">
      <w:pPr>
        <w:pStyle w:val="Bntextzprvy"/>
        <w:spacing w:before="0" w:after="0"/>
        <w:rPr>
          <w:rFonts w:cs="Arial"/>
          <w:szCs w:val="22"/>
        </w:rPr>
      </w:pPr>
      <w:r w:rsidRPr="00E877AA">
        <w:rPr>
          <w:rFonts w:cs="Arial"/>
          <w:szCs w:val="22"/>
        </w:rPr>
        <w:t>Protože přetrvává až tristní stav finanční gramotnosti české veřejnosti a ve většině sporů, které finanční arbitr řeší, vyjde najevo, že spotřebitel nečetl smlouvu nebo smluvní podmínky před jejich podpisem</w:t>
      </w:r>
      <w:r w:rsidR="00530D14" w:rsidRPr="00E877AA">
        <w:rPr>
          <w:rFonts w:cs="Arial"/>
          <w:szCs w:val="22"/>
        </w:rPr>
        <w:t>, snaží se finanční arbitr veřejnosti předkládat informace jednoduše a uceleně tak, aby ho od jejich přečtení neodradil a současně, aby ho do budoucna přiměl tak důležité informace a dokumenty číst.</w:t>
      </w:r>
    </w:p>
    <w:p w:rsidR="00A156A4" w:rsidRPr="00E877AA" w:rsidRDefault="003A604E" w:rsidP="00BA3F8F">
      <w:pPr>
        <w:pStyle w:val="Bntextzprvy"/>
        <w:spacing w:after="0"/>
        <w:rPr>
          <w:rFonts w:cs="Arial"/>
          <w:szCs w:val="22"/>
        </w:rPr>
      </w:pPr>
      <w:r w:rsidRPr="00E877AA">
        <w:rPr>
          <w:rFonts w:cs="Arial"/>
          <w:szCs w:val="22"/>
        </w:rPr>
        <w:t>Nejen pro spotřebitelskou veřejnost finanční arbitr</w:t>
      </w:r>
      <w:r w:rsidR="005D3CCD" w:rsidRPr="00E877AA">
        <w:rPr>
          <w:rFonts w:cs="Arial"/>
          <w:szCs w:val="22"/>
        </w:rPr>
        <w:t xml:space="preserve"> ještě více zjednodušil a uveřejnil na internetových stránkách </w:t>
      </w:r>
      <w:r w:rsidR="00A156A4" w:rsidRPr="00E877AA">
        <w:rPr>
          <w:rFonts w:cs="Arial"/>
          <w:szCs w:val="22"/>
        </w:rPr>
        <w:t xml:space="preserve">informační dokument nazvaný Finanční arbitr v 10 bodech </w:t>
      </w:r>
      <w:r w:rsidRPr="00E877AA">
        <w:rPr>
          <w:rFonts w:cs="Arial"/>
          <w:szCs w:val="22"/>
        </w:rPr>
        <w:t>ve znění</w:t>
      </w:r>
      <w:r w:rsidR="00A156A4" w:rsidRPr="00E877AA">
        <w:rPr>
          <w:rFonts w:cs="Arial"/>
          <w:szCs w:val="22"/>
        </w:rPr>
        <w:t>:</w:t>
      </w:r>
    </w:p>
    <w:p w:rsidR="00016E69" w:rsidRPr="00E877AA" w:rsidRDefault="00016E69"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1.</w:t>
      </w:r>
      <w:r w:rsidR="00530D14" w:rsidRPr="00E877AA">
        <w:rPr>
          <w:rFonts w:ascii="Helvetica" w:hAnsi="Helvetica" w:cs="Helvetica"/>
          <w:sz w:val="21"/>
          <w:szCs w:val="21"/>
        </w:rPr>
        <w:tab/>
      </w:r>
      <w:r w:rsidRPr="00E877AA">
        <w:rPr>
          <w:rFonts w:ascii="Helvetica" w:hAnsi="Helvetica" w:cs="Helvetica"/>
          <w:sz w:val="21"/>
          <w:szCs w:val="21"/>
        </w:rPr>
        <w:t>finanční arbitr je státem zřízený orgán mimosoudního řešení spotřebitelských sporů na finančním trhu;</w:t>
      </w:r>
    </w:p>
    <w:p w:rsidR="00016E69" w:rsidRPr="00E877AA" w:rsidRDefault="00016E69"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2.</w:t>
      </w:r>
      <w:r w:rsidRPr="00E877AA">
        <w:rPr>
          <w:rFonts w:ascii="Helvetica" w:hAnsi="Helvetica" w:cs="Helvetica"/>
          <w:sz w:val="21"/>
          <w:szCs w:val="21"/>
        </w:rPr>
        <w:t xml:space="preserve"> </w:t>
      </w:r>
      <w:r w:rsidR="00530D14" w:rsidRPr="00E877AA">
        <w:rPr>
          <w:rFonts w:ascii="Helvetica" w:hAnsi="Helvetica" w:cs="Helvetica"/>
          <w:sz w:val="21"/>
          <w:szCs w:val="21"/>
        </w:rPr>
        <w:tab/>
      </w:r>
      <w:r w:rsidRPr="00E877AA">
        <w:rPr>
          <w:rFonts w:ascii="Helvetica" w:hAnsi="Helvetica" w:cs="Helvetica"/>
          <w:sz w:val="21"/>
          <w:szCs w:val="21"/>
        </w:rPr>
        <w:t xml:space="preserve">finanční arbitr může řešit pouze spory mezi spotřebiteli a finančními institucemi poskytujícími nebo zprostředkujícími </w:t>
      </w:r>
      <w:hyperlink r:id="rId10" w:history="1">
        <w:r w:rsidRPr="00E877AA">
          <w:rPr>
            <w:rStyle w:val="Siln"/>
            <w:rFonts w:ascii="Helvetica" w:hAnsi="Helvetica" w:cs="Helvetica"/>
            <w:b w:val="0"/>
            <w:color w:val="auto"/>
            <w:sz w:val="21"/>
            <w:szCs w:val="21"/>
          </w:rPr>
          <w:t>platební služby</w:t>
        </w:r>
      </w:hyperlink>
      <w:r w:rsidRPr="00E877AA">
        <w:rPr>
          <w:rFonts w:ascii="Helvetica" w:hAnsi="Helvetica" w:cs="Helvetica"/>
          <w:sz w:val="21"/>
          <w:szCs w:val="21"/>
        </w:rPr>
        <w:t xml:space="preserve">, </w:t>
      </w:r>
      <w:hyperlink r:id="rId11" w:history="1">
        <w:r w:rsidRPr="00E877AA">
          <w:rPr>
            <w:rStyle w:val="Siln"/>
            <w:rFonts w:ascii="Helvetica" w:hAnsi="Helvetica" w:cs="Helvetica"/>
            <w:b w:val="0"/>
            <w:color w:val="auto"/>
            <w:sz w:val="21"/>
            <w:szCs w:val="21"/>
          </w:rPr>
          <w:t>elektronické peníze</w:t>
        </w:r>
      </w:hyperlink>
      <w:r w:rsidRPr="00E877AA">
        <w:rPr>
          <w:rFonts w:ascii="Helvetica" w:hAnsi="Helvetica" w:cs="Helvetica"/>
          <w:sz w:val="21"/>
          <w:szCs w:val="21"/>
        </w:rPr>
        <w:t>, </w:t>
      </w:r>
      <w:hyperlink r:id="rId12" w:history="1">
        <w:r w:rsidRPr="00E877AA">
          <w:rPr>
            <w:rStyle w:val="Siln"/>
            <w:rFonts w:ascii="Helvetica" w:hAnsi="Helvetica" w:cs="Helvetica"/>
            <w:b w:val="0"/>
            <w:color w:val="auto"/>
            <w:sz w:val="21"/>
            <w:szCs w:val="21"/>
          </w:rPr>
          <w:t>úvěry</w:t>
        </w:r>
      </w:hyperlink>
      <w:r w:rsidRPr="00E877AA">
        <w:rPr>
          <w:rFonts w:ascii="Helvetica" w:hAnsi="Helvetica" w:cs="Helvetica"/>
          <w:sz w:val="21"/>
          <w:szCs w:val="21"/>
        </w:rPr>
        <w:t xml:space="preserve">, </w:t>
      </w:r>
      <w:hyperlink r:id="rId13" w:history="1">
        <w:r w:rsidRPr="00E877AA">
          <w:rPr>
            <w:rStyle w:val="Siln"/>
            <w:rFonts w:ascii="Helvetica" w:hAnsi="Helvetica" w:cs="Helvetica"/>
            <w:b w:val="0"/>
            <w:color w:val="auto"/>
            <w:sz w:val="21"/>
            <w:szCs w:val="21"/>
          </w:rPr>
          <w:t>kolektivní investování</w:t>
        </w:r>
      </w:hyperlink>
      <w:r w:rsidRPr="00E877AA">
        <w:rPr>
          <w:rFonts w:ascii="Helvetica" w:hAnsi="Helvetica" w:cs="Helvetica"/>
          <w:sz w:val="21"/>
          <w:szCs w:val="21"/>
        </w:rPr>
        <w:t>, </w:t>
      </w:r>
      <w:hyperlink r:id="rId14" w:history="1">
        <w:r w:rsidRPr="00E877AA">
          <w:rPr>
            <w:rStyle w:val="Siln"/>
            <w:rFonts w:ascii="Helvetica" w:hAnsi="Helvetica" w:cs="Helvetica"/>
            <w:b w:val="0"/>
            <w:color w:val="auto"/>
            <w:sz w:val="21"/>
            <w:szCs w:val="21"/>
          </w:rPr>
          <w:t>investice</w:t>
        </w:r>
      </w:hyperlink>
      <w:r w:rsidRPr="00E877AA">
        <w:rPr>
          <w:rFonts w:ascii="Helvetica" w:hAnsi="Helvetica" w:cs="Helvetica"/>
          <w:sz w:val="21"/>
          <w:szCs w:val="21"/>
        </w:rPr>
        <w:t>, </w:t>
      </w:r>
      <w:hyperlink r:id="rId15" w:history="1">
        <w:r w:rsidRPr="00E877AA">
          <w:rPr>
            <w:rStyle w:val="Siln"/>
            <w:rFonts w:ascii="Helvetica" w:hAnsi="Helvetica" w:cs="Helvetica"/>
            <w:b w:val="0"/>
            <w:color w:val="auto"/>
            <w:sz w:val="21"/>
            <w:szCs w:val="21"/>
          </w:rPr>
          <w:t>životní pojištění</w:t>
        </w:r>
      </w:hyperlink>
      <w:r w:rsidRPr="00E877AA">
        <w:rPr>
          <w:rFonts w:ascii="Helvetica" w:hAnsi="Helvetica" w:cs="Helvetica"/>
          <w:sz w:val="21"/>
          <w:szCs w:val="21"/>
        </w:rPr>
        <w:t>, </w:t>
      </w:r>
      <w:hyperlink r:id="rId16" w:history="1">
        <w:r w:rsidRPr="00E877AA">
          <w:rPr>
            <w:rStyle w:val="Siln"/>
            <w:rFonts w:ascii="Helvetica" w:hAnsi="Helvetica" w:cs="Helvetica"/>
            <w:b w:val="0"/>
            <w:color w:val="auto"/>
            <w:sz w:val="21"/>
            <w:szCs w:val="21"/>
          </w:rPr>
          <w:t>stavební spoření</w:t>
        </w:r>
      </w:hyperlink>
      <w:r w:rsidRPr="00E877AA">
        <w:rPr>
          <w:rFonts w:ascii="Helvetica" w:hAnsi="Helvetica" w:cs="Helvetica"/>
          <w:sz w:val="21"/>
          <w:szCs w:val="21"/>
        </w:rPr>
        <w:t xml:space="preserve">, </w:t>
      </w:r>
      <w:hyperlink r:id="rId17" w:history="1">
        <w:r w:rsidRPr="00E877AA">
          <w:rPr>
            <w:rStyle w:val="Siln"/>
            <w:rFonts w:ascii="Helvetica" w:hAnsi="Helvetica" w:cs="Helvetica"/>
            <w:b w:val="0"/>
            <w:color w:val="auto"/>
            <w:sz w:val="21"/>
            <w:szCs w:val="21"/>
          </w:rPr>
          <w:t>směnu měn</w:t>
        </w:r>
      </w:hyperlink>
      <w:r w:rsidRPr="00E877AA">
        <w:rPr>
          <w:rFonts w:ascii="Helvetica" w:hAnsi="Helvetica" w:cs="Helvetica"/>
          <w:sz w:val="21"/>
          <w:szCs w:val="21"/>
        </w:rPr>
        <w:t>;</w:t>
      </w:r>
    </w:p>
    <w:p w:rsidR="00016E69" w:rsidRPr="00E877AA" w:rsidRDefault="00016E69" w:rsidP="00E1489B">
      <w:pPr>
        <w:pStyle w:val="Normlnweb"/>
        <w:spacing w:before="0" w:beforeAutospacing="0" w:after="0" w:afterAutospacing="0"/>
        <w:jc w:val="both"/>
        <w:rPr>
          <w:rFonts w:ascii="Helvetica" w:hAnsi="Helvetica" w:cs="Helvetica"/>
          <w:sz w:val="21"/>
          <w:szCs w:val="21"/>
        </w:rPr>
      </w:pPr>
      <w:r w:rsidRPr="00E877AA">
        <w:rPr>
          <w:rStyle w:val="Siln"/>
          <w:rFonts w:ascii="Helvetica" w:hAnsi="Helvetica" w:cs="Helvetica"/>
          <w:b w:val="0"/>
          <w:color w:val="auto"/>
          <w:sz w:val="21"/>
          <w:szCs w:val="21"/>
        </w:rPr>
        <w:t>3.</w:t>
      </w:r>
      <w:r w:rsidR="00530D14" w:rsidRPr="00E877AA">
        <w:rPr>
          <w:rStyle w:val="Siln"/>
          <w:rFonts w:ascii="Helvetica" w:hAnsi="Helvetica" w:cs="Helvetica"/>
          <w:b w:val="0"/>
          <w:color w:val="auto"/>
          <w:sz w:val="21"/>
          <w:szCs w:val="21"/>
        </w:rPr>
        <w:tab/>
      </w:r>
      <w:r w:rsidRPr="00E877AA">
        <w:rPr>
          <w:rFonts w:ascii="Helvetica" w:hAnsi="Helvetica" w:cs="Helvetica"/>
          <w:sz w:val="21"/>
          <w:szCs w:val="21"/>
        </w:rPr>
        <w:t>spor finanční arbitr může řešit pouze v řízení zahájeném na návrh spotřebitele;</w:t>
      </w:r>
    </w:p>
    <w:p w:rsidR="00016E69" w:rsidRPr="00E877AA" w:rsidRDefault="00016E69"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 xml:space="preserve">4. </w:t>
      </w:r>
      <w:r w:rsidR="00530D14" w:rsidRPr="00E877AA">
        <w:rPr>
          <w:rStyle w:val="Siln"/>
          <w:rFonts w:ascii="Helvetica" w:hAnsi="Helvetica" w:cs="Helvetica"/>
          <w:b w:val="0"/>
          <w:color w:val="auto"/>
          <w:sz w:val="21"/>
          <w:szCs w:val="21"/>
        </w:rPr>
        <w:tab/>
      </w:r>
      <w:r w:rsidRPr="00E877AA">
        <w:rPr>
          <w:rFonts w:ascii="Helvetica" w:hAnsi="Helvetica" w:cs="Helvetica"/>
          <w:sz w:val="21"/>
          <w:szCs w:val="21"/>
        </w:rPr>
        <w:t>finanční instituce je povinna se řízení před finančním arbitrem účastnit a poskytovat součinnost; současně má právo se k návrhu vyjádřit, předložit podklady a vznášet námitky;</w:t>
      </w:r>
    </w:p>
    <w:p w:rsidR="00016E69" w:rsidRPr="00E877AA" w:rsidRDefault="00016E69"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 xml:space="preserve">5. </w:t>
      </w:r>
      <w:r w:rsidR="00530D14" w:rsidRPr="00E877AA">
        <w:rPr>
          <w:rStyle w:val="Siln"/>
          <w:rFonts w:ascii="Helvetica" w:hAnsi="Helvetica" w:cs="Helvetica"/>
          <w:b w:val="0"/>
          <w:color w:val="auto"/>
          <w:sz w:val="21"/>
          <w:szCs w:val="21"/>
        </w:rPr>
        <w:tab/>
      </w:r>
      <w:r w:rsidRPr="00E877AA">
        <w:rPr>
          <w:rFonts w:ascii="Helvetica" w:hAnsi="Helvetica" w:cs="Helvetica"/>
          <w:sz w:val="21"/>
          <w:szCs w:val="21"/>
        </w:rPr>
        <w:t>finanční arbitr může spotřebiteli pomoci s podáním návrhu, jeho změnou i odstraněním jeho nedostatků, poskytuje mu předběžné právní posouzení sporu, vysvětluje a zprostředkovává smírné řešení sporu;</w:t>
      </w:r>
    </w:p>
    <w:p w:rsidR="00016E69" w:rsidRPr="00E877AA" w:rsidRDefault="00016E69" w:rsidP="00E1489B">
      <w:pPr>
        <w:pStyle w:val="Normlnweb"/>
        <w:spacing w:before="0" w:beforeAutospacing="0" w:after="0" w:afterAutospacing="0"/>
        <w:jc w:val="both"/>
        <w:rPr>
          <w:rFonts w:ascii="Helvetica" w:hAnsi="Helvetica" w:cs="Helvetica"/>
          <w:sz w:val="21"/>
          <w:szCs w:val="21"/>
        </w:rPr>
      </w:pPr>
      <w:r w:rsidRPr="00E877AA">
        <w:rPr>
          <w:rStyle w:val="Siln"/>
          <w:rFonts w:ascii="Helvetica" w:hAnsi="Helvetica" w:cs="Helvetica"/>
          <w:b w:val="0"/>
          <w:color w:val="auto"/>
          <w:sz w:val="21"/>
          <w:szCs w:val="21"/>
        </w:rPr>
        <w:t>6.</w:t>
      </w:r>
      <w:r w:rsidRPr="00E877AA">
        <w:rPr>
          <w:rFonts w:ascii="Helvetica" w:hAnsi="Helvetica" w:cs="Helvetica"/>
          <w:sz w:val="21"/>
          <w:szCs w:val="21"/>
        </w:rPr>
        <w:t xml:space="preserve"> </w:t>
      </w:r>
      <w:r w:rsidR="00530D14" w:rsidRPr="00E877AA">
        <w:rPr>
          <w:rFonts w:ascii="Helvetica" w:hAnsi="Helvetica" w:cs="Helvetica"/>
          <w:sz w:val="21"/>
          <w:szCs w:val="21"/>
        </w:rPr>
        <w:tab/>
      </w:r>
      <w:r w:rsidRPr="00E877AA">
        <w:rPr>
          <w:rFonts w:ascii="Helvetica" w:hAnsi="Helvetica" w:cs="Helvetica"/>
          <w:sz w:val="21"/>
          <w:szCs w:val="21"/>
        </w:rPr>
        <w:t>řízení před finančním arbitrem </w:t>
      </w:r>
      <w:hyperlink r:id="rId18" w:anchor="naklady_rizeni_pred_financnim_arbitrem" w:history="1">
        <w:r w:rsidRPr="00E877AA">
          <w:rPr>
            <w:rStyle w:val="Siln"/>
            <w:rFonts w:ascii="Helvetica" w:hAnsi="Helvetica" w:cs="Helvetica"/>
            <w:b w:val="0"/>
            <w:color w:val="auto"/>
            <w:sz w:val="21"/>
            <w:szCs w:val="21"/>
          </w:rPr>
          <w:t>je bezplatné</w:t>
        </w:r>
      </w:hyperlink>
      <w:r w:rsidRPr="00E877AA">
        <w:rPr>
          <w:rFonts w:ascii="Helvetica" w:hAnsi="Helvetica" w:cs="Helvetica"/>
          <w:sz w:val="21"/>
          <w:szCs w:val="21"/>
        </w:rPr>
        <w:t>;</w:t>
      </w:r>
    </w:p>
    <w:p w:rsidR="00016E69" w:rsidRPr="00E877AA" w:rsidRDefault="00016E69"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7.</w:t>
      </w:r>
      <w:r w:rsidRPr="00E877AA">
        <w:rPr>
          <w:rFonts w:ascii="Helvetica" w:hAnsi="Helvetica" w:cs="Helvetica"/>
          <w:sz w:val="21"/>
          <w:szCs w:val="21"/>
        </w:rPr>
        <w:t xml:space="preserve"> </w:t>
      </w:r>
      <w:r w:rsidR="00530D14" w:rsidRPr="00E877AA">
        <w:rPr>
          <w:rFonts w:ascii="Helvetica" w:hAnsi="Helvetica" w:cs="Helvetica"/>
          <w:sz w:val="21"/>
          <w:szCs w:val="21"/>
        </w:rPr>
        <w:tab/>
      </w:r>
      <w:r w:rsidRPr="00E877AA">
        <w:rPr>
          <w:rFonts w:ascii="Helvetica" w:hAnsi="Helvetica" w:cs="Helvetica"/>
          <w:sz w:val="21"/>
          <w:szCs w:val="21"/>
        </w:rPr>
        <w:t xml:space="preserve">navrhovatel </w:t>
      </w:r>
      <w:hyperlink r:id="rId19" w:anchor="neni_potreba_byt_pravne_zastoupen" w:history="1">
        <w:r w:rsidRPr="00E877AA">
          <w:rPr>
            <w:rStyle w:val="Siln"/>
            <w:rFonts w:ascii="Helvetica" w:hAnsi="Helvetica" w:cs="Helvetica"/>
            <w:b w:val="0"/>
            <w:color w:val="auto"/>
            <w:sz w:val="21"/>
            <w:szCs w:val="21"/>
          </w:rPr>
          <w:t>nemusí být právně zastoupen</w:t>
        </w:r>
      </w:hyperlink>
      <w:r w:rsidRPr="00E877AA">
        <w:rPr>
          <w:rStyle w:val="Siln"/>
          <w:rFonts w:ascii="Helvetica" w:hAnsi="Helvetica" w:cs="Helvetica"/>
          <w:b w:val="0"/>
          <w:color w:val="auto"/>
          <w:sz w:val="21"/>
          <w:szCs w:val="21"/>
        </w:rPr>
        <w:t>,</w:t>
      </w:r>
      <w:r w:rsidRPr="00E877AA">
        <w:rPr>
          <w:rFonts w:ascii="Helvetica" w:hAnsi="Helvetica" w:cs="Helvetica"/>
          <w:sz w:val="21"/>
          <w:szCs w:val="21"/>
        </w:rPr>
        <w:t> od toho je finanční arbitr; je-li zastoupen,</w:t>
      </w:r>
      <w:r w:rsidRPr="00E877AA">
        <w:rPr>
          <w:rFonts w:ascii="Helvetica" w:hAnsi="Helvetica" w:cs="Helvetica"/>
          <w:sz w:val="21"/>
          <w:szCs w:val="21"/>
        </w:rPr>
        <w:br/>
        <w:t>nemůže navrhovatel požadovat náhradu nákladů právního zastoupení;</w:t>
      </w:r>
    </w:p>
    <w:p w:rsidR="00016E69" w:rsidRPr="00E877AA" w:rsidRDefault="00016E69"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8.</w:t>
      </w:r>
      <w:r w:rsidRPr="00E877AA">
        <w:rPr>
          <w:rFonts w:ascii="Helvetica" w:hAnsi="Helvetica" w:cs="Helvetica"/>
          <w:sz w:val="21"/>
          <w:szCs w:val="21"/>
        </w:rPr>
        <w:t xml:space="preserve"> </w:t>
      </w:r>
      <w:r w:rsidR="00530D14" w:rsidRPr="00E877AA">
        <w:rPr>
          <w:rFonts w:ascii="Helvetica" w:hAnsi="Helvetica" w:cs="Helvetica"/>
          <w:sz w:val="21"/>
          <w:szCs w:val="21"/>
        </w:rPr>
        <w:tab/>
      </w:r>
      <w:r w:rsidRPr="00E877AA">
        <w:rPr>
          <w:rFonts w:ascii="Helvetica" w:hAnsi="Helvetica" w:cs="Helvetica"/>
          <w:sz w:val="21"/>
          <w:szCs w:val="21"/>
        </w:rPr>
        <w:t>finanční arbitr primárně vede strany sporu ke smírnému vyřešení sporu; kde není smír možný a spotřebitel nevezme svůj návrh zpět, vydá finanční arbitr rozhodnutí;</w:t>
      </w:r>
    </w:p>
    <w:p w:rsidR="00016E69" w:rsidRPr="00E877AA" w:rsidRDefault="00016E69" w:rsidP="00E1489B">
      <w:pPr>
        <w:pStyle w:val="Normlnweb"/>
        <w:spacing w:before="0" w:beforeAutospacing="0" w:after="0" w:afterAutospacing="0"/>
        <w:jc w:val="both"/>
        <w:rPr>
          <w:rFonts w:ascii="Helvetica" w:hAnsi="Helvetica" w:cs="Helvetica"/>
          <w:sz w:val="21"/>
          <w:szCs w:val="21"/>
        </w:rPr>
      </w:pPr>
      <w:r w:rsidRPr="00E877AA">
        <w:rPr>
          <w:rStyle w:val="Siln"/>
          <w:rFonts w:ascii="Helvetica" w:hAnsi="Helvetica" w:cs="Helvetica"/>
          <w:b w:val="0"/>
          <w:color w:val="auto"/>
          <w:sz w:val="21"/>
          <w:szCs w:val="21"/>
        </w:rPr>
        <w:t>9.</w:t>
      </w:r>
      <w:r w:rsidRPr="00E877AA">
        <w:rPr>
          <w:rFonts w:ascii="Helvetica" w:hAnsi="Helvetica" w:cs="Helvetica"/>
          <w:sz w:val="21"/>
          <w:szCs w:val="21"/>
        </w:rPr>
        <w:t xml:space="preserve"> </w:t>
      </w:r>
      <w:r w:rsidR="00530D14" w:rsidRPr="00E877AA">
        <w:rPr>
          <w:rFonts w:ascii="Helvetica" w:hAnsi="Helvetica" w:cs="Helvetica"/>
          <w:sz w:val="21"/>
          <w:szCs w:val="21"/>
        </w:rPr>
        <w:tab/>
      </w:r>
      <w:r w:rsidRPr="00E877AA">
        <w:rPr>
          <w:rFonts w:ascii="Helvetica" w:hAnsi="Helvetica" w:cs="Helvetica"/>
          <w:sz w:val="21"/>
          <w:szCs w:val="21"/>
        </w:rPr>
        <w:t xml:space="preserve">pravomocné rozhodnutí finančního arbitra </w:t>
      </w:r>
      <w:hyperlink r:id="rId20" w:anchor="prezkoumatelnist_rozhodnuti_financiho_arbitra_soudem" w:history="1">
        <w:r w:rsidRPr="00E877AA">
          <w:rPr>
            <w:rStyle w:val="Siln"/>
            <w:rFonts w:ascii="Helvetica" w:hAnsi="Helvetica" w:cs="Helvetica"/>
            <w:b w:val="0"/>
            <w:color w:val="auto"/>
            <w:sz w:val="21"/>
            <w:szCs w:val="21"/>
          </w:rPr>
          <w:t>je přezkoumatelné soudem</w:t>
        </w:r>
      </w:hyperlink>
      <w:r w:rsidRPr="00E877AA">
        <w:rPr>
          <w:rFonts w:ascii="Helvetica" w:hAnsi="Helvetica" w:cs="Helvetica"/>
          <w:sz w:val="21"/>
          <w:szCs w:val="21"/>
        </w:rPr>
        <w:t>;</w:t>
      </w:r>
    </w:p>
    <w:p w:rsidR="00016E69" w:rsidRPr="00E877AA" w:rsidRDefault="00016E69"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10.</w:t>
      </w:r>
      <w:r w:rsidRPr="00E877AA">
        <w:rPr>
          <w:rFonts w:ascii="Helvetica" w:hAnsi="Helvetica" w:cs="Helvetica"/>
          <w:sz w:val="21"/>
          <w:szCs w:val="21"/>
        </w:rPr>
        <w:t xml:space="preserve"> </w:t>
      </w:r>
      <w:r w:rsidR="00530D14" w:rsidRPr="00E877AA">
        <w:rPr>
          <w:rFonts w:ascii="Helvetica" w:hAnsi="Helvetica" w:cs="Helvetica"/>
          <w:sz w:val="21"/>
          <w:szCs w:val="21"/>
        </w:rPr>
        <w:tab/>
      </w:r>
      <w:r w:rsidRPr="00E877AA">
        <w:rPr>
          <w:rFonts w:ascii="Helvetica" w:hAnsi="Helvetica" w:cs="Helvetica"/>
          <w:sz w:val="21"/>
          <w:szCs w:val="21"/>
        </w:rPr>
        <w:t>finanční arbitr nemůže rozhodovat spor, o kterém se již vede řízení u soudu nebo před rozhodcem, nebo o něm již soud nebo rozhodce rozhodl; pokud není pravomocné rozhodnutí finančního arbitra předloženo k soudnímu přezkumu, je závazné a má účinky vykonatelného soudního rozhodnutí.</w:t>
      </w:r>
    </w:p>
    <w:p w:rsidR="005D3CCD" w:rsidRPr="00E877AA" w:rsidRDefault="005D3CCD" w:rsidP="00BA3F8F">
      <w:pPr>
        <w:pStyle w:val="Bntextzprvy"/>
        <w:spacing w:after="0"/>
        <w:rPr>
          <w:rFonts w:cs="Helvetica"/>
        </w:rPr>
      </w:pPr>
      <w:r w:rsidRPr="00E877AA">
        <w:rPr>
          <w:rFonts w:cs="Helvetica"/>
        </w:rPr>
        <w:t>Finanční arbitr současně nově vytvořil a na internetových stránkách uveřejnil Doporučení pro řízení před finančním arbitrem v 5 bodech</w:t>
      </w:r>
    </w:p>
    <w:p w:rsidR="005D3CCD" w:rsidRPr="00E877AA" w:rsidRDefault="005D3CCD"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1.</w:t>
      </w:r>
      <w:r w:rsidRPr="00E877AA">
        <w:rPr>
          <w:rFonts w:ascii="Helvetica" w:hAnsi="Helvetica" w:cs="Helvetica"/>
          <w:sz w:val="21"/>
          <w:szCs w:val="21"/>
        </w:rPr>
        <w:t xml:space="preserve"> </w:t>
      </w:r>
      <w:r w:rsidRPr="00E877AA">
        <w:rPr>
          <w:rFonts w:ascii="Helvetica" w:hAnsi="Helvetica" w:cs="Helvetica"/>
          <w:sz w:val="21"/>
          <w:szCs w:val="21"/>
        </w:rPr>
        <w:tab/>
        <w:t xml:space="preserve">pro podání návrhu na zahájení řízení použijte </w:t>
      </w:r>
      <w:hyperlink r:id="rId21" w:history="1">
        <w:r w:rsidRPr="00E877AA">
          <w:rPr>
            <w:rStyle w:val="Siln"/>
            <w:rFonts w:ascii="Helvetica" w:hAnsi="Helvetica" w:cs="Helvetica"/>
            <w:b w:val="0"/>
            <w:color w:val="auto"/>
            <w:sz w:val="21"/>
            <w:szCs w:val="21"/>
          </w:rPr>
          <w:t>formulář</w:t>
        </w:r>
      </w:hyperlink>
      <w:r w:rsidRPr="00E877AA">
        <w:rPr>
          <w:rStyle w:val="Siln"/>
          <w:rFonts w:ascii="Helvetica" w:hAnsi="Helvetica" w:cs="Helvetica"/>
          <w:b w:val="0"/>
          <w:color w:val="auto"/>
          <w:sz w:val="21"/>
          <w:szCs w:val="21"/>
        </w:rPr>
        <w:t xml:space="preserve">, </w:t>
      </w:r>
      <w:r w:rsidRPr="00E877AA">
        <w:rPr>
          <w:rFonts w:ascii="Helvetica" w:hAnsi="Helvetica" w:cs="Helvetica"/>
          <w:sz w:val="21"/>
          <w:szCs w:val="21"/>
        </w:rPr>
        <w:t xml:space="preserve">je jednoduchý a obsahuje návod na podání účinného návrhu na zahájení řízení, </w:t>
      </w:r>
      <w:r w:rsidRPr="00E877AA">
        <w:rPr>
          <w:rStyle w:val="Siln"/>
          <w:rFonts w:ascii="Helvetica" w:hAnsi="Helvetica" w:cs="Helvetica"/>
          <w:b w:val="0"/>
          <w:color w:val="auto"/>
          <w:sz w:val="21"/>
          <w:szCs w:val="21"/>
        </w:rPr>
        <w:t>nezapomeňte návrh vlastnoručně podepsat a poslat poštou</w:t>
      </w:r>
      <w:r w:rsidRPr="00E877AA">
        <w:rPr>
          <w:rFonts w:ascii="Helvetica" w:hAnsi="Helvetica" w:cs="Helvetica"/>
          <w:sz w:val="21"/>
          <w:szCs w:val="21"/>
        </w:rPr>
        <w:t>, jinak nebude řízení zahájeno (to neplatí pro ty, co mají datovou schránku nebo zaručený elektronický podpis);</w:t>
      </w:r>
    </w:p>
    <w:p w:rsidR="005D3CCD" w:rsidRPr="00E877AA" w:rsidRDefault="005D3CCD"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lastRenderedPageBreak/>
        <w:t>2.</w:t>
      </w:r>
      <w:r w:rsidRPr="00E877AA">
        <w:rPr>
          <w:rFonts w:ascii="Helvetica" w:hAnsi="Helvetica" w:cs="Helvetica"/>
          <w:sz w:val="21"/>
          <w:szCs w:val="21"/>
        </w:rPr>
        <w:t xml:space="preserve"> </w:t>
      </w:r>
      <w:r w:rsidRPr="00E877AA">
        <w:rPr>
          <w:rFonts w:ascii="Helvetica" w:hAnsi="Helvetica" w:cs="Helvetica"/>
          <w:sz w:val="21"/>
          <w:szCs w:val="21"/>
        </w:rPr>
        <w:tab/>
        <w:t>předkládejte veškerou smluvní dokumentaci, písemné doklady o neúspěšné reklamaci i komunikaci s institucí;</w:t>
      </w:r>
    </w:p>
    <w:p w:rsidR="005D3CCD" w:rsidRPr="00E877AA" w:rsidRDefault="005D3CCD"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3.</w:t>
      </w:r>
      <w:r w:rsidRPr="00E877AA">
        <w:rPr>
          <w:rFonts w:ascii="Helvetica" w:hAnsi="Helvetica" w:cs="Helvetica"/>
          <w:sz w:val="21"/>
          <w:szCs w:val="21"/>
        </w:rPr>
        <w:t xml:space="preserve"> </w:t>
      </w:r>
      <w:r w:rsidRPr="00E877AA">
        <w:rPr>
          <w:rFonts w:ascii="Helvetica" w:hAnsi="Helvetica" w:cs="Helvetica"/>
          <w:sz w:val="21"/>
          <w:szCs w:val="21"/>
        </w:rPr>
        <w:tab/>
        <w:t xml:space="preserve">použijete-li </w:t>
      </w:r>
      <w:hyperlink r:id="rId22" w:history="1">
        <w:r w:rsidRPr="00E877AA">
          <w:rPr>
            <w:rStyle w:val="Siln"/>
            <w:rFonts w:ascii="Helvetica" w:hAnsi="Helvetica" w:cs="Helvetica"/>
            <w:b w:val="0"/>
            <w:color w:val="auto"/>
            <w:sz w:val="21"/>
            <w:szCs w:val="21"/>
          </w:rPr>
          <w:t>Průvodce podáním návrhu</w:t>
        </w:r>
      </w:hyperlink>
      <w:r w:rsidRPr="00E877AA">
        <w:rPr>
          <w:rFonts w:ascii="Helvetica" w:hAnsi="Helvetica" w:cs="Helvetica"/>
          <w:sz w:val="21"/>
          <w:szCs w:val="21"/>
        </w:rPr>
        <w:t>, nemusíte přílohy zasílat spolu s návrhem poštou; přílohy si s návrhem sami spojíme;</w:t>
      </w:r>
    </w:p>
    <w:p w:rsidR="005D3CCD" w:rsidRPr="00E877AA" w:rsidRDefault="005D3CCD"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4.</w:t>
      </w:r>
      <w:r w:rsidRPr="00E877AA">
        <w:rPr>
          <w:rFonts w:ascii="Helvetica" w:hAnsi="Helvetica" w:cs="Helvetica"/>
          <w:sz w:val="21"/>
          <w:szCs w:val="21"/>
        </w:rPr>
        <w:t xml:space="preserve"> </w:t>
      </w:r>
      <w:r w:rsidRPr="00E877AA">
        <w:rPr>
          <w:rFonts w:ascii="Helvetica" w:hAnsi="Helvetica" w:cs="Helvetica"/>
          <w:sz w:val="21"/>
          <w:szCs w:val="21"/>
        </w:rPr>
        <w:tab/>
        <w:t xml:space="preserve">jste-li vyzváni k doplnění podkladů, můžete je zaslat emailem (do limitu 15 MB) nebo přes </w:t>
      </w:r>
      <w:hyperlink r:id="rId23" w:history="1">
        <w:r w:rsidRPr="00E877AA">
          <w:rPr>
            <w:rStyle w:val="Siln"/>
            <w:rFonts w:ascii="Helvetica" w:hAnsi="Helvetica" w:cs="Helvetica"/>
            <w:b w:val="0"/>
            <w:color w:val="auto"/>
            <w:sz w:val="21"/>
            <w:szCs w:val="21"/>
          </w:rPr>
          <w:t>Průvodce podáním návrhu</w:t>
        </w:r>
      </w:hyperlink>
      <w:r w:rsidRPr="00E877AA">
        <w:rPr>
          <w:rFonts w:ascii="Helvetica" w:hAnsi="Helvetica" w:cs="Helvetica"/>
          <w:sz w:val="21"/>
          <w:szCs w:val="21"/>
        </w:rPr>
        <w:t xml:space="preserve"> (s připojením spisové značky);</w:t>
      </w:r>
    </w:p>
    <w:p w:rsidR="005D3CCD" w:rsidRPr="00E877AA" w:rsidRDefault="005D3CCD" w:rsidP="00E1489B">
      <w:pPr>
        <w:pStyle w:val="Normlnweb"/>
        <w:spacing w:before="0" w:beforeAutospacing="0" w:after="0" w:afterAutospacing="0"/>
        <w:ind w:left="705" w:hanging="705"/>
        <w:jc w:val="both"/>
        <w:rPr>
          <w:rFonts w:ascii="Helvetica" w:hAnsi="Helvetica" w:cs="Helvetica"/>
          <w:sz w:val="21"/>
          <w:szCs w:val="21"/>
        </w:rPr>
      </w:pPr>
      <w:r w:rsidRPr="00E877AA">
        <w:rPr>
          <w:rStyle w:val="Siln"/>
          <w:rFonts w:ascii="Helvetica" w:hAnsi="Helvetica" w:cs="Helvetica"/>
          <w:b w:val="0"/>
          <w:color w:val="auto"/>
          <w:sz w:val="21"/>
          <w:szCs w:val="21"/>
        </w:rPr>
        <w:t>5.</w:t>
      </w:r>
      <w:r w:rsidRPr="00E877AA">
        <w:rPr>
          <w:rFonts w:ascii="Helvetica" w:hAnsi="Helvetica" w:cs="Helvetica"/>
          <w:sz w:val="21"/>
          <w:szCs w:val="21"/>
        </w:rPr>
        <w:t xml:space="preserve"> </w:t>
      </w:r>
      <w:r w:rsidRPr="00E877AA">
        <w:rPr>
          <w:rFonts w:ascii="Helvetica" w:hAnsi="Helvetica" w:cs="Helvetica"/>
          <w:sz w:val="21"/>
          <w:szCs w:val="21"/>
        </w:rPr>
        <w:tab/>
      </w:r>
      <w:r w:rsidRPr="00E877AA">
        <w:rPr>
          <w:rStyle w:val="Siln"/>
          <w:rFonts w:ascii="Helvetica" w:hAnsi="Helvetica" w:cs="Helvetica"/>
          <w:b w:val="0"/>
          <w:color w:val="auto"/>
          <w:sz w:val="21"/>
          <w:szCs w:val="21"/>
        </w:rPr>
        <w:t>v případě potřeby požádejte finančního arbitra o vysvětlení</w:t>
      </w:r>
      <w:r w:rsidRPr="00E877AA">
        <w:rPr>
          <w:rFonts w:ascii="Helvetica" w:hAnsi="Helvetica" w:cs="Helvetica"/>
          <w:sz w:val="21"/>
          <w:szCs w:val="21"/>
        </w:rPr>
        <w:t xml:space="preserve"> (uplatněného nároku, vznesené námitky instituce nebo i návrhu na smírné řešení sporu); </w:t>
      </w:r>
      <w:r w:rsidRPr="00E877AA">
        <w:rPr>
          <w:rStyle w:val="Siln"/>
          <w:rFonts w:ascii="Helvetica" w:hAnsi="Helvetica" w:cs="Helvetica"/>
          <w:b w:val="0"/>
          <w:color w:val="auto"/>
          <w:sz w:val="21"/>
          <w:szCs w:val="21"/>
        </w:rPr>
        <w:t>pečlivě čtěte výzvy i sdělení finančního arbitra, zejména pak ty o předběžném právním posouzení sporu</w:t>
      </w:r>
      <w:r w:rsidRPr="00E877AA">
        <w:rPr>
          <w:rFonts w:ascii="Helvetica" w:hAnsi="Helvetica" w:cs="Helvetica"/>
          <w:sz w:val="21"/>
          <w:szCs w:val="21"/>
        </w:rPr>
        <w:t>.</w:t>
      </w:r>
    </w:p>
    <w:p w:rsidR="003A604E" w:rsidRPr="00E877AA" w:rsidRDefault="00A156A4" w:rsidP="00166E77">
      <w:pPr>
        <w:pStyle w:val="Bntextzprvy"/>
      </w:pPr>
      <w:r w:rsidRPr="00E877AA">
        <w:t>Pokud jde o náklady, které stát vydává na činnost finančního arbitra, úkoly spojené s odborným, organizačním a technickým zabezpečením činnosti finančního arbitra plní Kancelář finančního arbitra jako organizační složky státu a samostatné účetní jednotky, jejíž příjmy a výdaje spadají do rozpočtové</w:t>
      </w:r>
      <w:r w:rsidR="00C40E85" w:rsidRPr="00E877AA">
        <w:t xml:space="preserve"> kapitoly Ministerstva financí.</w:t>
      </w:r>
    </w:p>
    <w:p w:rsidR="003A604E" w:rsidRPr="00E877AA" w:rsidRDefault="00A156A4" w:rsidP="00166E77">
      <w:pPr>
        <w:pStyle w:val="Bntextzprvy"/>
      </w:pPr>
      <w:r w:rsidRPr="00E877AA">
        <w:t xml:space="preserve">Kancelář finančního arbitra </w:t>
      </w:r>
      <w:r w:rsidR="00E319F5" w:rsidRPr="00E877AA">
        <w:t>s</w:t>
      </w:r>
      <w:r w:rsidRPr="00E877AA">
        <w:t xml:space="preserve">tejně jako v předchozích letech </w:t>
      </w:r>
      <w:r w:rsidR="00E319F5" w:rsidRPr="00E877AA">
        <w:t xml:space="preserve">vynakládala </w:t>
      </w:r>
      <w:r w:rsidRPr="00E877AA">
        <w:t xml:space="preserve">pouze nezbytné výdaje na činnost finančního arbitra a Kanceláře finančního arbitra. </w:t>
      </w:r>
      <w:r w:rsidR="00602B22" w:rsidRPr="00E877AA">
        <w:t>V</w:t>
      </w:r>
      <w:r w:rsidR="008365B2" w:rsidRPr="00E877AA">
        <w:t xml:space="preserve">ětšina veřejných zakázek, jichž </w:t>
      </w:r>
      <w:r w:rsidR="00E319F5" w:rsidRPr="00E877AA">
        <w:t>se Kancelář finančního arbitra účastní</w:t>
      </w:r>
      <w:r w:rsidR="008365B2" w:rsidRPr="00E877AA">
        <w:t>,</w:t>
      </w:r>
      <w:r w:rsidR="00E319F5" w:rsidRPr="00E877AA">
        <w:t xml:space="preserve"> </w:t>
      </w:r>
      <w:r w:rsidR="008365B2" w:rsidRPr="00E877AA">
        <w:t xml:space="preserve">jsou veřejné zakázky zadávané </w:t>
      </w:r>
      <w:r w:rsidR="00E319F5" w:rsidRPr="00E877AA">
        <w:t>centralizovaně Ministerstv</w:t>
      </w:r>
      <w:r w:rsidR="008365B2" w:rsidRPr="00E877AA">
        <w:t>em</w:t>
      </w:r>
      <w:r w:rsidR="00E319F5" w:rsidRPr="00E877AA">
        <w:t xml:space="preserve"> financí.</w:t>
      </w:r>
      <w:r w:rsidRPr="00E877AA">
        <w:t xml:space="preserve"> Finanční arbitr ani Kancelář finančního arbitra zásadně nevyužívá externích prá</w:t>
      </w:r>
      <w:r w:rsidR="00C40E85" w:rsidRPr="00E877AA">
        <w:t>vních nebo poradenských služeb.</w:t>
      </w:r>
    </w:p>
    <w:p w:rsidR="00A156A4" w:rsidRPr="00E877AA" w:rsidRDefault="009E1E64" w:rsidP="00166E77">
      <w:pPr>
        <w:pStyle w:val="Bntextzprvy"/>
      </w:pPr>
      <w:r w:rsidRPr="00E877AA">
        <w:t>Pokud jde o personální zajištění činnosti finančního arbitra, v</w:t>
      </w:r>
      <w:r w:rsidR="00A156A4" w:rsidRPr="00E877AA">
        <w:t> roce 201</w:t>
      </w:r>
      <w:r w:rsidR="00A73F1E" w:rsidRPr="00E877AA">
        <w:t>8</w:t>
      </w:r>
      <w:r w:rsidR="00A156A4" w:rsidRPr="00E877AA">
        <w:t xml:space="preserve"> </w:t>
      </w:r>
      <w:r w:rsidRPr="00E877AA">
        <w:t xml:space="preserve">činil celkový počet systemizovaných míst 55 pracovních míst (nikoli služebních), včetně pracovní pozice finančního arbitra a jeho zástupce. </w:t>
      </w:r>
      <w:r w:rsidR="00530D14" w:rsidRPr="00E877AA">
        <w:t>V</w:t>
      </w:r>
      <w:r w:rsidR="00A156A4" w:rsidRPr="00E877AA">
        <w:t>ětšina zaměstnanců Kanceláře finančního arbitra má vysoko</w:t>
      </w:r>
      <w:r w:rsidR="00C40E85" w:rsidRPr="00E877AA">
        <w:t>školské vzdělání v oboru právo.</w:t>
      </w:r>
      <w:r w:rsidR="00F862C8" w:rsidRPr="00E877AA">
        <w:t xml:space="preserve"> Personální kapacita Kanceláře finančního arbitra není dostačující, a to i přes skutečnost, že pro následující rok lze přijmout dalších 5 nových zaměstnanců. </w:t>
      </w:r>
    </w:p>
    <w:p w:rsidR="00075E4A" w:rsidRPr="00E877AA" w:rsidRDefault="00A73F1E" w:rsidP="00166E77">
      <w:pPr>
        <w:pStyle w:val="Bntextzprvy"/>
        <w:rPr>
          <w:rFonts w:cs="Arial"/>
          <w:szCs w:val="22"/>
        </w:rPr>
      </w:pPr>
      <w:r w:rsidRPr="00E877AA">
        <w:rPr>
          <w:rFonts w:cs="Arial"/>
          <w:szCs w:val="22"/>
        </w:rPr>
        <w:t xml:space="preserve">Od 1. 1. 2018 začala </w:t>
      </w:r>
      <w:r w:rsidR="009E1E64" w:rsidRPr="00E877AA">
        <w:rPr>
          <w:rFonts w:cs="Arial"/>
          <w:szCs w:val="22"/>
        </w:rPr>
        <w:t>Kancelář fina</w:t>
      </w:r>
      <w:r w:rsidR="00E319F5" w:rsidRPr="00E877AA">
        <w:rPr>
          <w:rFonts w:cs="Arial"/>
          <w:szCs w:val="22"/>
        </w:rPr>
        <w:t>n</w:t>
      </w:r>
      <w:r w:rsidR="009E1E64" w:rsidRPr="00E877AA">
        <w:rPr>
          <w:rFonts w:cs="Arial"/>
          <w:szCs w:val="22"/>
        </w:rPr>
        <w:t xml:space="preserve">čního arbitra </w:t>
      </w:r>
      <w:r w:rsidRPr="00E877AA">
        <w:rPr>
          <w:rFonts w:cs="Arial"/>
          <w:szCs w:val="22"/>
        </w:rPr>
        <w:t xml:space="preserve">používat </w:t>
      </w:r>
      <w:r w:rsidR="009E1E64" w:rsidRPr="00E877AA">
        <w:rPr>
          <w:rFonts w:cs="Arial"/>
          <w:szCs w:val="22"/>
        </w:rPr>
        <w:t xml:space="preserve">vlastní </w:t>
      </w:r>
      <w:r w:rsidR="00075E4A" w:rsidRPr="00E877AA">
        <w:rPr>
          <w:rFonts w:cs="Arial"/>
          <w:szCs w:val="22"/>
        </w:rPr>
        <w:t>informační systém spisové služby a</w:t>
      </w:r>
      <w:r w:rsidR="00073444" w:rsidRPr="00E877AA">
        <w:rPr>
          <w:rFonts w:cs="Arial"/>
          <w:szCs w:val="22"/>
        </w:rPr>
        <w:t> </w:t>
      </w:r>
      <w:r w:rsidR="00075E4A" w:rsidRPr="00E877AA">
        <w:rPr>
          <w:rFonts w:cs="Arial"/>
          <w:szCs w:val="22"/>
        </w:rPr>
        <w:t>řízení před finančním arbitrem</w:t>
      </w:r>
      <w:r w:rsidR="00272438" w:rsidRPr="00E877AA">
        <w:rPr>
          <w:rFonts w:cs="Arial"/>
          <w:szCs w:val="22"/>
        </w:rPr>
        <w:t>, který má vedle plnění právními předpisy uloženými povinnosti za</w:t>
      </w:r>
      <w:r w:rsidR="00F85912" w:rsidRPr="00E877AA">
        <w:rPr>
          <w:rFonts w:cs="Arial"/>
          <w:szCs w:val="22"/>
        </w:rPr>
        <w:t> </w:t>
      </w:r>
      <w:r w:rsidR="00272438" w:rsidRPr="00E877AA">
        <w:rPr>
          <w:rFonts w:cs="Arial"/>
          <w:szCs w:val="22"/>
        </w:rPr>
        <w:t>cíl</w:t>
      </w:r>
      <w:r w:rsidRPr="00E877AA">
        <w:rPr>
          <w:rFonts w:cs="Arial"/>
          <w:szCs w:val="22"/>
        </w:rPr>
        <w:t xml:space="preserve"> </w:t>
      </w:r>
      <w:r w:rsidR="00272438" w:rsidRPr="00E877AA">
        <w:rPr>
          <w:rFonts w:cs="Arial"/>
          <w:szCs w:val="22"/>
        </w:rPr>
        <w:t xml:space="preserve">především </w:t>
      </w:r>
      <w:r w:rsidR="00075E4A" w:rsidRPr="00E877AA">
        <w:rPr>
          <w:rFonts w:cs="Arial"/>
          <w:szCs w:val="22"/>
        </w:rPr>
        <w:t xml:space="preserve">usnadnění a zkvalitnění práce, dosažení větší míry konzistentnosti všech </w:t>
      </w:r>
      <w:r w:rsidR="00272438" w:rsidRPr="00E877AA">
        <w:rPr>
          <w:rFonts w:cs="Arial"/>
          <w:szCs w:val="22"/>
        </w:rPr>
        <w:t xml:space="preserve">zpracovávaných </w:t>
      </w:r>
      <w:r w:rsidR="00075E4A" w:rsidRPr="00E877AA">
        <w:rPr>
          <w:rFonts w:cs="Arial"/>
          <w:szCs w:val="22"/>
        </w:rPr>
        <w:t>dokumentů, zvýšení přehledu o všech probíhajících řízení</w:t>
      </w:r>
      <w:r w:rsidR="00E95322" w:rsidRPr="00E877AA">
        <w:rPr>
          <w:rFonts w:cs="Arial"/>
          <w:szCs w:val="22"/>
        </w:rPr>
        <w:t>ch</w:t>
      </w:r>
      <w:r w:rsidR="00075E4A" w:rsidRPr="00E877AA">
        <w:rPr>
          <w:rFonts w:cs="Arial"/>
          <w:szCs w:val="22"/>
        </w:rPr>
        <w:t xml:space="preserve"> a v konečném důsledku </w:t>
      </w:r>
      <w:r w:rsidR="00272438" w:rsidRPr="00E877AA">
        <w:rPr>
          <w:rFonts w:cs="Arial"/>
          <w:szCs w:val="22"/>
        </w:rPr>
        <w:t>především</w:t>
      </w:r>
      <w:r w:rsidR="00075E4A" w:rsidRPr="00E877AA">
        <w:rPr>
          <w:rFonts w:cs="Arial"/>
          <w:szCs w:val="22"/>
        </w:rPr>
        <w:t xml:space="preserve"> ke zrychlení řízení před finančním arbitrem.</w:t>
      </w:r>
    </w:p>
    <w:p w:rsidR="00C40439" w:rsidRPr="00E877AA" w:rsidRDefault="00A156A4" w:rsidP="00E1489B">
      <w:pPr>
        <w:pStyle w:val="Bntextzprvy"/>
        <w:rPr>
          <w:rFonts w:cs="Arial"/>
          <w:szCs w:val="22"/>
        </w:rPr>
      </w:pPr>
      <w:r w:rsidRPr="00E877AA">
        <w:rPr>
          <w:rFonts w:cs="Arial"/>
          <w:szCs w:val="22"/>
        </w:rPr>
        <w:t>I v roce 201</w:t>
      </w:r>
      <w:r w:rsidR="00A73F1E" w:rsidRPr="00E877AA">
        <w:rPr>
          <w:rFonts w:cs="Arial"/>
          <w:szCs w:val="22"/>
        </w:rPr>
        <w:t>8</w:t>
      </w:r>
      <w:r w:rsidRPr="00E877AA">
        <w:rPr>
          <w:rFonts w:cs="Arial"/>
          <w:szCs w:val="22"/>
        </w:rPr>
        <w:t xml:space="preserve"> zástupce finančního arbitra intenzivně spolupracoval na mezinárodní, zejména evropské úrovni se zástupci obdobných institucí v zahraničí sdružených v evropské síti finančních ombudsmanů FIN-NET i celosvětové síti INFO Network. </w:t>
      </w:r>
      <w:r w:rsidR="00BD1B5D" w:rsidRPr="00E877AA">
        <w:rPr>
          <w:rFonts w:cs="Arial"/>
          <w:szCs w:val="22"/>
        </w:rPr>
        <w:t>F</w:t>
      </w:r>
      <w:r w:rsidRPr="00E877AA">
        <w:rPr>
          <w:rFonts w:cs="Arial"/>
          <w:szCs w:val="22"/>
        </w:rPr>
        <w:t xml:space="preserve">inanční arbitr </w:t>
      </w:r>
      <w:r w:rsidR="00BD1B5D" w:rsidRPr="00E877AA">
        <w:rPr>
          <w:rFonts w:cs="Arial"/>
          <w:szCs w:val="22"/>
        </w:rPr>
        <w:t xml:space="preserve">je </w:t>
      </w:r>
      <w:r w:rsidRPr="00E877AA">
        <w:rPr>
          <w:rFonts w:cs="Arial"/>
          <w:szCs w:val="22"/>
        </w:rPr>
        <w:t xml:space="preserve">notifikován </w:t>
      </w:r>
      <w:r w:rsidR="00BD1B5D" w:rsidRPr="00E877AA">
        <w:rPr>
          <w:rFonts w:cs="Arial"/>
          <w:szCs w:val="22"/>
        </w:rPr>
        <w:t xml:space="preserve">u </w:t>
      </w:r>
      <w:r w:rsidRPr="00E877AA">
        <w:rPr>
          <w:rFonts w:cs="Arial"/>
          <w:szCs w:val="22"/>
        </w:rPr>
        <w:t>Evropské komis</w:t>
      </w:r>
      <w:r w:rsidR="00BD1B5D" w:rsidRPr="00E877AA">
        <w:rPr>
          <w:rFonts w:cs="Arial"/>
          <w:szCs w:val="22"/>
        </w:rPr>
        <w:t>e</w:t>
      </w:r>
      <w:r w:rsidRPr="00E877AA">
        <w:rPr>
          <w:rFonts w:cs="Arial"/>
          <w:szCs w:val="22"/>
        </w:rPr>
        <w:t xml:space="preserve"> jako příslušný subjekt podle evropské směrnice o alternativním řešení spotřebitelských sporů a je napojený na evropskou platformu pro řešení spotřebitelských sporů on-line.</w:t>
      </w:r>
      <w:r w:rsidR="00592B77" w:rsidRPr="00E877AA">
        <w:rPr>
          <w:rFonts w:cs="Arial"/>
          <w:szCs w:val="22"/>
        </w:rPr>
        <w:t xml:space="preserve"> </w:t>
      </w:r>
      <w:r w:rsidRPr="00E877AA">
        <w:rPr>
          <w:rFonts w:cs="Arial"/>
          <w:szCs w:val="22"/>
        </w:rPr>
        <w:t>Výhledy na další období jsou více než jasné, co nejvíce spravedlivě vyřešen</w:t>
      </w:r>
      <w:r w:rsidR="00C40E85" w:rsidRPr="00E877AA">
        <w:rPr>
          <w:rFonts w:cs="Arial"/>
          <w:szCs w:val="22"/>
        </w:rPr>
        <w:t>ých sporů v co nejkratším čase.</w:t>
      </w:r>
    </w:p>
    <w:tbl>
      <w:tblPr>
        <w:tblW w:w="0" w:type="auto"/>
        <w:tblLook w:val="04A0" w:firstRow="1" w:lastRow="0" w:firstColumn="1" w:lastColumn="0" w:noHBand="0" w:noVBand="1"/>
      </w:tblPr>
      <w:tblGrid>
        <w:gridCol w:w="4520"/>
        <w:gridCol w:w="5050"/>
      </w:tblGrid>
      <w:tr w:rsidR="00A156A4" w:rsidRPr="00E877AA" w:rsidTr="00EC31A6">
        <w:trPr>
          <w:trHeight w:val="664"/>
        </w:trPr>
        <w:tc>
          <w:tcPr>
            <w:tcW w:w="4520" w:type="dxa"/>
            <w:shd w:val="clear" w:color="auto" w:fill="auto"/>
          </w:tcPr>
          <w:p w:rsidR="00A156A4" w:rsidRPr="00E877AA" w:rsidRDefault="00A156A4" w:rsidP="00EC38BF">
            <w:pPr>
              <w:pStyle w:val="Bntextzprvy"/>
              <w:spacing w:before="0" w:after="0"/>
              <w:rPr>
                <w:rFonts w:cs="Arial"/>
                <w:szCs w:val="22"/>
              </w:rPr>
            </w:pPr>
            <w:r w:rsidRPr="00E877AA">
              <w:rPr>
                <w:rFonts w:cs="Arial"/>
                <w:szCs w:val="22"/>
              </w:rPr>
              <w:t xml:space="preserve">V Praze dne </w:t>
            </w:r>
            <w:r w:rsidR="00EC38BF" w:rsidRPr="00E877AA">
              <w:rPr>
                <w:rFonts w:cs="Arial"/>
                <w:szCs w:val="22"/>
              </w:rPr>
              <w:t>8</w:t>
            </w:r>
            <w:r w:rsidRPr="00E877AA">
              <w:rPr>
                <w:rFonts w:cs="Arial"/>
                <w:szCs w:val="22"/>
              </w:rPr>
              <w:t xml:space="preserve">. </w:t>
            </w:r>
            <w:r w:rsidR="00C9796E" w:rsidRPr="00E877AA">
              <w:rPr>
                <w:rFonts w:cs="Arial"/>
                <w:szCs w:val="22"/>
              </w:rPr>
              <w:t>3</w:t>
            </w:r>
            <w:r w:rsidRPr="00E877AA">
              <w:rPr>
                <w:rFonts w:cs="Arial"/>
                <w:szCs w:val="22"/>
              </w:rPr>
              <w:t>. 201</w:t>
            </w:r>
            <w:r w:rsidR="002E2D79" w:rsidRPr="00E877AA">
              <w:rPr>
                <w:rFonts w:cs="Arial"/>
                <w:szCs w:val="22"/>
              </w:rPr>
              <w:t>9</w:t>
            </w:r>
          </w:p>
        </w:tc>
        <w:tc>
          <w:tcPr>
            <w:tcW w:w="5050" w:type="dxa"/>
            <w:shd w:val="clear" w:color="auto" w:fill="auto"/>
          </w:tcPr>
          <w:p w:rsidR="00A156A4" w:rsidRPr="00E877AA" w:rsidRDefault="00A156A4" w:rsidP="00166E77">
            <w:pPr>
              <w:spacing w:after="0"/>
              <w:jc w:val="center"/>
              <w:rPr>
                <w:rFonts w:ascii="Arial" w:hAnsi="Arial" w:cs="Arial"/>
              </w:rPr>
            </w:pPr>
          </w:p>
          <w:p w:rsidR="00A156A4" w:rsidRPr="00E877AA" w:rsidRDefault="00A156A4" w:rsidP="00166E77">
            <w:pPr>
              <w:spacing w:after="0"/>
              <w:jc w:val="center"/>
              <w:rPr>
                <w:rFonts w:ascii="Arial" w:hAnsi="Arial" w:cs="Arial"/>
                <w:b/>
              </w:rPr>
            </w:pPr>
            <w:r w:rsidRPr="00E877AA">
              <w:rPr>
                <w:rFonts w:ascii="Arial" w:hAnsi="Arial" w:cs="Arial"/>
                <w:b/>
              </w:rPr>
              <w:t xml:space="preserve">Mgr. Monika Nedelková v. r. </w:t>
            </w:r>
          </w:p>
          <w:p w:rsidR="00A156A4" w:rsidRPr="00E877AA" w:rsidRDefault="00A156A4" w:rsidP="00166E77">
            <w:pPr>
              <w:spacing w:after="0"/>
              <w:jc w:val="center"/>
              <w:rPr>
                <w:rFonts w:ascii="Arial" w:hAnsi="Arial" w:cs="Arial"/>
              </w:rPr>
            </w:pPr>
            <w:r w:rsidRPr="00E877AA">
              <w:rPr>
                <w:rFonts w:ascii="Arial" w:hAnsi="Arial" w:cs="Arial"/>
              </w:rPr>
              <w:t>finanční arbitr</w:t>
            </w:r>
          </w:p>
        </w:tc>
      </w:tr>
    </w:tbl>
    <w:p w:rsidR="00A156A4" w:rsidRPr="00E877AA" w:rsidRDefault="00A156A4" w:rsidP="00166E77">
      <w:pPr>
        <w:pStyle w:val="Nadpis1"/>
        <w:rPr>
          <w:rFonts w:ascii="Arial" w:hAnsi="Arial" w:cs="Arial"/>
          <w:szCs w:val="24"/>
        </w:rPr>
      </w:pPr>
      <w:bookmarkStart w:id="2" w:name="_Toc4591458"/>
      <w:r w:rsidRPr="00E877AA">
        <w:rPr>
          <w:rFonts w:ascii="Arial" w:hAnsi="Arial" w:cs="Arial"/>
          <w:szCs w:val="24"/>
        </w:rPr>
        <w:lastRenderedPageBreak/>
        <w:t>PŮSOBNOST FINANČNÍHO ARBITRA</w:t>
      </w:r>
      <w:bookmarkEnd w:id="2"/>
    </w:p>
    <w:p w:rsidR="003C6E45" w:rsidRPr="00E877AA" w:rsidRDefault="0074466C" w:rsidP="00166E77">
      <w:pPr>
        <w:pStyle w:val="Bntextzprvy"/>
        <w:rPr>
          <w:rFonts w:cs="Arial"/>
          <w:szCs w:val="22"/>
        </w:rPr>
      </w:pPr>
      <w:r w:rsidRPr="00E877AA">
        <w:rPr>
          <w:rFonts w:cs="Arial"/>
          <w:szCs w:val="22"/>
        </w:rPr>
        <w:t xml:space="preserve">Finanční arbitr je jako </w:t>
      </w:r>
      <w:r w:rsidR="00FB06BB" w:rsidRPr="00E877AA">
        <w:rPr>
          <w:rFonts w:cs="Arial"/>
          <w:szCs w:val="22"/>
        </w:rPr>
        <w:t xml:space="preserve">bezplatný </w:t>
      </w:r>
      <w:r w:rsidRPr="00E877AA">
        <w:rPr>
          <w:rFonts w:cs="Arial"/>
          <w:szCs w:val="22"/>
        </w:rPr>
        <w:t>státem zřízený orgán mimosoudního řešení spotřebitelských sporů na</w:t>
      </w:r>
      <w:r w:rsidR="00272438" w:rsidRPr="00E877AA">
        <w:rPr>
          <w:rFonts w:cs="Arial"/>
          <w:szCs w:val="22"/>
        </w:rPr>
        <w:t> </w:t>
      </w:r>
      <w:r w:rsidRPr="00E877AA">
        <w:rPr>
          <w:rFonts w:cs="Arial"/>
          <w:szCs w:val="22"/>
        </w:rPr>
        <w:t>finančním trhu příslušný</w:t>
      </w:r>
      <w:r w:rsidR="003A4EFD" w:rsidRPr="00E877AA">
        <w:rPr>
          <w:rFonts w:cs="Arial"/>
          <w:szCs w:val="22"/>
        </w:rPr>
        <w:t xml:space="preserve"> podle § 1 odst. 1 zákona č. 229/2002 Sb., o</w:t>
      </w:r>
      <w:r w:rsidR="00C40E85" w:rsidRPr="00E877AA">
        <w:rPr>
          <w:rFonts w:cs="Arial"/>
          <w:szCs w:val="22"/>
        </w:rPr>
        <w:t> </w:t>
      </w:r>
      <w:r w:rsidR="003A4EFD" w:rsidRPr="00E877AA">
        <w:rPr>
          <w:rFonts w:cs="Arial"/>
          <w:szCs w:val="22"/>
        </w:rPr>
        <w:t>finančním arbitrovi, ve</w:t>
      </w:r>
      <w:r w:rsidR="00AD006B" w:rsidRPr="00E877AA">
        <w:rPr>
          <w:rFonts w:cs="Arial"/>
          <w:szCs w:val="22"/>
        </w:rPr>
        <w:t> </w:t>
      </w:r>
      <w:r w:rsidR="003A4EFD" w:rsidRPr="00E877AA">
        <w:rPr>
          <w:rFonts w:cs="Arial"/>
          <w:szCs w:val="22"/>
        </w:rPr>
        <w:t>znění pozdějších předpisů (dále jen „zákon o finančním arbitrovi“),</w:t>
      </w:r>
      <w:r w:rsidR="003C6E45" w:rsidRPr="00E877AA">
        <w:rPr>
          <w:rFonts w:cs="Arial"/>
          <w:szCs w:val="22"/>
        </w:rPr>
        <w:t xml:space="preserve"> k</w:t>
      </w:r>
      <w:r w:rsidR="00C40E85" w:rsidRPr="00E877AA">
        <w:rPr>
          <w:rFonts w:cs="Arial"/>
          <w:szCs w:val="22"/>
        </w:rPr>
        <w:t> </w:t>
      </w:r>
      <w:r w:rsidR="003C6E45" w:rsidRPr="00E877AA">
        <w:rPr>
          <w:rFonts w:cs="Arial"/>
          <w:szCs w:val="22"/>
        </w:rPr>
        <w:t>rozhodování sporu spadajícího jinak do pravomoci českých soudů příslušný též finanční arbitr, jedná-li se o spor mezi spotřebitelem a</w:t>
      </w:r>
    </w:p>
    <w:p w:rsidR="00551B1D" w:rsidRPr="00E877AA" w:rsidRDefault="003C6E45" w:rsidP="00551B1D">
      <w:pPr>
        <w:pStyle w:val="Normlnweb"/>
        <w:spacing w:before="0" w:beforeAutospacing="0" w:after="0" w:afterAutospacing="0"/>
        <w:ind w:left="426" w:hanging="426"/>
        <w:rPr>
          <w:rFonts w:ascii="Arial" w:hAnsi="Arial" w:cs="Arial"/>
          <w:sz w:val="22"/>
          <w:szCs w:val="22"/>
        </w:rPr>
      </w:pPr>
      <w:r w:rsidRPr="00E877AA">
        <w:rPr>
          <w:rFonts w:ascii="Arial" w:hAnsi="Arial" w:cs="Arial"/>
          <w:sz w:val="22"/>
          <w:szCs w:val="22"/>
        </w:rPr>
        <w:t>a)</w:t>
      </w:r>
      <w:r w:rsidRPr="00E877AA">
        <w:rPr>
          <w:rFonts w:ascii="Arial" w:hAnsi="Arial" w:cs="Arial"/>
          <w:sz w:val="22"/>
          <w:szCs w:val="22"/>
        </w:rPr>
        <w:tab/>
      </w:r>
      <w:r w:rsidR="00551B1D" w:rsidRPr="00E877AA">
        <w:rPr>
          <w:rFonts w:ascii="Arial" w:hAnsi="Arial" w:cs="Arial"/>
          <w:sz w:val="22"/>
          <w:szCs w:val="22"/>
        </w:rPr>
        <w:t>poskytovatelem platebních služeb při nabízení a poskytování platebních služeb,</w:t>
      </w:r>
    </w:p>
    <w:p w:rsidR="00551B1D" w:rsidRPr="00E877AA" w:rsidRDefault="00551B1D" w:rsidP="00461854">
      <w:pPr>
        <w:pStyle w:val="Normlnweb"/>
        <w:spacing w:before="0" w:beforeAutospacing="0" w:after="0" w:afterAutospacing="0"/>
        <w:ind w:left="426" w:hanging="426"/>
        <w:jc w:val="both"/>
        <w:rPr>
          <w:rFonts w:ascii="Arial" w:hAnsi="Arial" w:cs="Arial"/>
          <w:sz w:val="22"/>
          <w:szCs w:val="22"/>
        </w:rPr>
      </w:pPr>
      <w:r w:rsidRPr="00E877AA">
        <w:rPr>
          <w:rFonts w:ascii="Arial" w:hAnsi="Arial" w:cs="Arial"/>
          <w:sz w:val="22"/>
          <w:szCs w:val="22"/>
        </w:rPr>
        <w:t>b)</w:t>
      </w:r>
      <w:r w:rsidRPr="00E877AA">
        <w:rPr>
          <w:rFonts w:ascii="Arial" w:hAnsi="Arial" w:cs="Arial"/>
          <w:sz w:val="22"/>
          <w:szCs w:val="22"/>
        </w:rPr>
        <w:tab/>
        <w:t>vydavatelem elektronických peněz při vydávání a zpětné výměně elektronických peněz,</w:t>
      </w:r>
    </w:p>
    <w:p w:rsidR="00551B1D" w:rsidRPr="00E877AA" w:rsidRDefault="00551B1D" w:rsidP="00461854">
      <w:pPr>
        <w:pStyle w:val="Normlnweb"/>
        <w:spacing w:before="0" w:beforeAutospacing="0" w:after="0" w:afterAutospacing="0"/>
        <w:ind w:left="426" w:hanging="426"/>
        <w:jc w:val="both"/>
        <w:rPr>
          <w:rFonts w:ascii="Arial" w:hAnsi="Arial" w:cs="Arial"/>
          <w:sz w:val="22"/>
          <w:szCs w:val="22"/>
        </w:rPr>
      </w:pPr>
      <w:r w:rsidRPr="00E877AA">
        <w:rPr>
          <w:rFonts w:ascii="Arial" w:hAnsi="Arial" w:cs="Arial"/>
          <w:sz w:val="22"/>
          <w:szCs w:val="22"/>
        </w:rPr>
        <w:t>c)</w:t>
      </w:r>
      <w:r w:rsidRPr="00E877AA">
        <w:rPr>
          <w:rFonts w:ascii="Arial" w:hAnsi="Arial" w:cs="Arial"/>
          <w:sz w:val="22"/>
          <w:szCs w:val="22"/>
        </w:rPr>
        <w:tab/>
        <w:t>věřitelem nebo zprostředkovatelem při nabízení, poskytování nebo zprostředkování spotřebitelského úvěru nebo jiného úvěru, zápůjčky, či obdobné finanční služby,</w:t>
      </w:r>
    </w:p>
    <w:p w:rsidR="00551B1D" w:rsidRPr="00E877AA" w:rsidRDefault="00551B1D" w:rsidP="00461854">
      <w:pPr>
        <w:pStyle w:val="Normlnweb"/>
        <w:spacing w:before="0" w:beforeAutospacing="0" w:after="0" w:afterAutospacing="0"/>
        <w:ind w:left="426" w:hanging="426"/>
        <w:jc w:val="both"/>
        <w:rPr>
          <w:rFonts w:ascii="Arial" w:hAnsi="Arial" w:cs="Arial"/>
          <w:sz w:val="22"/>
          <w:szCs w:val="22"/>
        </w:rPr>
      </w:pPr>
      <w:r w:rsidRPr="00E877AA">
        <w:rPr>
          <w:rFonts w:ascii="Arial" w:hAnsi="Arial" w:cs="Arial"/>
          <w:sz w:val="22"/>
          <w:szCs w:val="22"/>
        </w:rPr>
        <w:t>d)</w:t>
      </w:r>
      <w:r w:rsidRPr="00E877AA">
        <w:rPr>
          <w:rFonts w:ascii="Arial" w:hAnsi="Arial" w:cs="Arial"/>
          <w:sz w:val="22"/>
          <w:szCs w:val="22"/>
        </w:rPr>
        <w:tab/>
        <w:t>osobou obhospodařující nebo provádějící administraci fondu kolektivního investování nebo nabízející investice do fondu kolektivního investování nebo srovnatelného zahraničního investičního fondu při obhospodařování nebo provádění administrace fondu kolektivního investování nebo nabízení investic do fondu kolektivního investování nebo srovnatelného zahraničního investičního fondu,</w:t>
      </w:r>
    </w:p>
    <w:p w:rsidR="00551B1D" w:rsidRPr="00E877AA" w:rsidRDefault="00551B1D" w:rsidP="00461854">
      <w:pPr>
        <w:pStyle w:val="Normlnweb"/>
        <w:spacing w:before="0" w:beforeAutospacing="0" w:after="0" w:afterAutospacing="0"/>
        <w:ind w:left="426" w:hanging="426"/>
        <w:jc w:val="both"/>
        <w:rPr>
          <w:rFonts w:ascii="Arial" w:hAnsi="Arial" w:cs="Arial"/>
          <w:sz w:val="22"/>
          <w:szCs w:val="22"/>
        </w:rPr>
      </w:pPr>
      <w:r w:rsidRPr="00E877AA">
        <w:rPr>
          <w:rFonts w:ascii="Arial" w:hAnsi="Arial" w:cs="Arial"/>
          <w:sz w:val="22"/>
          <w:szCs w:val="22"/>
        </w:rPr>
        <w:t>e)</w:t>
      </w:r>
      <w:r w:rsidRPr="00E877AA">
        <w:rPr>
          <w:rFonts w:ascii="Arial" w:hAnsi="Arial" w:cs="Arial"/>
          <w:sz w:val="22"/>
          <w:szCs w:val="22"/>
        </w:rPr>
        <w:tab/>
        <w:t>pojistitelem nebo pojišťovacím zprostředkovatelem při distribuci životního pojištění nebo při výkonu práv a plnění povinností ze životního pojištění,</w:t>
      </w:r>
    </w:p>
    <w:p w:rsidR="00551B1D" w:rsidRPr="00E877AA" w:rsidRDefault="00551B1D" w:rsidP="00461854">
      <w:pPr>
        <w:pStyle w:val="Normlnweb"/>
        <w:spacing w:before="0" w:beforeAutospacing="0" w:after="0" w:afterAutospacing="0"/>
        <w:ind w:left="426" w:hanging="426"/>
        <w:jc w:val="both"/>
        <w:rPr>
          <w:rFonts w:ascii="Arial" w:hAnsi="Arial" w:cs="Arial"/>
          <w:sz w:val="22"/>
          <w:szCs w:val="22"/>
        </w:rPr>
      </w:pPr>
      <w:r w:rsidRPr="00E877AA">
        <w:rPr>
          <w:rFonts w:ascii="Arial" w:hAnsi="Arial" w:cs="Arial"/>
          <w:sz w:val="22"/>
          <w:szCs w:val="22"/>
        </w:rPr>
        <w:t>f)</w:t>
      </w:r>
      <w:r w:rsidRPr="00E877AA">
        <w:rPr>
          <w:rFonts w:ascii="Arial" w:hAnsi="Arial" w:cs="Arial"/>
          <w:sz w:val="22"/>
          <w:szCs w:val="22"/>
        </w:rPr>
        <w:tab/>
        <w:t>osobou provozující směnárenskou činnost při provádění směnárenského obchodu,</w:t>
      </w:r>
    </w:p>
    <w:p w:rsidR="00551B1D" w:rsidRPr="00E877AA" w:rsidRDefault="00551B1D" w:rsidP="00461854">
      <w:pPr>
        <w:pStyle w:val="Normlnweb"/>
        <w:spacing w:before="0" w:beforeAutospacing="0" w:after="0" w:afterAutospacing="0"/>
        <w:ind w:left="426" w:hanging="426"/>
        <w:jc w:val="both"/>
        <w:rPr>
          <w:rFonts w:ascii="Arial" w:hAnsi="Arial" w:cs="Arial"/>
          <w:sz w:val="22"/>
          <w:szCs w:val="22"/>
        </w:rPr>
      </w:pPr>
      <w:r w:rsidRPr="00E877AA">
        <w:rPr>
          <w:rFonts w:ascii="Arial" w:hAnsi="Arial" w:cs="Arial"/>
          <w:sz w:val="22"/>
          <w:szCs w:val="22"/>
        </w:rPr>
        <w:t>g)</w:t>
      </w:r>
      <w:r w:rsidRPr="00E877AA">
        <w:rPr>
          <w:rFonts w:ascii="Arial" w:hAnsi="Arial" w:cs="Arial"/>
          <w:sz w:val="22"/>
          <w:szCs w:val="22"/>
        </w:rPr>
        <w:tab/>
        <w:t>stavební spořitelnou nebo zprostředkovatelem při nabízení, poskytování nebo zprostředkování stavebního spoření,</w:t>
      </w:r>
    </w:p>
    <w:p w:rsidR="00551B1D" w:rsidRPr="00E877AA" w:rsidRDefault="00551B1D" w:rsidP="00461854">
      <w:pPr>
        <w:pStyle w:val="Normlnweb"/>
        <w:spacing w:before="0" w:beforeAutospacing="0" w:after="0" w:afterAutospacing="0"/>
        <w:ind w:left="426" w:hanging="426"/>
        <w:jc w:val="both"/>
        <w:rPr>
          <w:rFonts w:ascii="Arial" w:hAnsi="Arial" w:cs="Arial"/>
          <w:sz w:val="22"/>
          <w:szCs w:val="22"/>
        </w:rPr>
      </w:pPr>
      <w:r w:rsidRPr="00E877AA">
        <w:rPr>
          <w:rFonts w:ascii="Arial" w:hAnsi="Arial" w:cs="Arial"/>
          <w:sz w:val="22"/>
          <w:szCs w:val="22"/>
        </w:rPr>
        <w:t>h)</w:t>
      </w:r>
      <w:r w:rsidRPr="00E877AA">
        <w:rPr>
          <w:rFonts w:ascii="Arial" w:hAnsi="Arial" w:cs="Arial"/>
          <w:sz w:val="22"/>
          <w:szCs w:val="22"/>
        </w:rPr>
        <w:tab/>
        <w:t>osobou poskytující investiční služby při poskytování investičních služeb,</w:t>
      </w:r>
    </w:p>
    <w:p w:rsidR="00551B1D" w:rsidRPr="00E877AA" w:rsidRDefault="00551B1D" w:rsidP="00461854">
      <w:pPr>
        <w:pStyle w:val="Normlnweb"/>
        <w:spacing w:before="0" w:beforeAutospacing="0" w:after="0" w:afterAutospacing="0"/>
        <w:ind w:left="426" w:hanging="426"/>
        <w:jc w:val="both"/>
        <w:rPr>
          <w:rFonts w:ascii="Arial" w:hAnsi="Arial" w:cs="Arial"/>
          <w:sz w:val="22"/>
          <w:szCs w:val="22"/>
        </w:rPr>
      </w:pPr>
      <w:r w:rsidRPr="00E877AA">
        <w:rPr>
          <w:rFonts w:ascii="Arial" w:hAnsi="Arial" w:cs="Arial"/>
          <w:sz w:val="22"/>
          <w:szCs w:val="22"/>
        </w:rPr>
        <w:t>i)</w:t>
      </w:r>
      <w:r w:rsidRPr="00E877AA">
        <w:rPr>
          <w:rFonts w:ascii="Arial" w:hAnsi="Arial" w:cs="Arial"/>
          <w:sz w:val="22"/>
          <w:szCs w:val="22"/>
        </w:rPr>
        <w:tab/>
        <w:t>osobou, která vede jiný než platební účet, při vedení tohoto účtu,</w:t>
      </w:r>
    </w:p>
    <w:p w:rsidR="00551B1D" w:rsidRPr="00E877AA" w:rsidRDefault="00551B1D" w:rsidP="00461854">
      <w:pPr>
        <w:tabs>
          <w:tab w:val="left" w:pos="426"/>
        </w:tabs>
        <w:spacing w:after="0"/>
        <w:jc w:val="both"/>
        <w:rPr>
          <w:rFonts w:ascii="Arial" w:hAnsi="Arial" w:cs="Arial"/>
        </w:rPr>
      </w:pPr>
      <w:r w:rsidRPr="00E877AA">
        <w:rPr>
          <w:rFonts w:ascii="Arial" w:hAnsi="Arial" w:cs="Arial"/>
        </w:rPr>
        <w:t>j)</w:t>
      </w:r>
      <w:r w:rsidRPr="00E877AA">
        <w:rPr>
          <w:rFonts w:ascii="Arial" w:hAnsi="Arial" w:cs="Arial"/>
        </w:rPr>
        <w:tab/>
        <w:t>příjemcem jednorázového vkladu při přijímání nebo vrácení tohoto vkladu.</w:t>
      </w:r>
    </w:p>
    <w:p w:rsidR="00A156A4" w:rsidRPr="00E877AA" w:rsidRDefault="00A156A4" w:rsidP="00F862C8">
      <w:pPr>
        <w:pStyle w:val="Bntextzprvy"/>
        <w:rPr>
          <w:rFonts w:cs="Arial"/>
          <w:szCs w:val="22"/>
        </w:rPr>
      </w:pPr>
      <w:r w:rsidRPr="00E877AA">
        <w:rPr>
          <w:rFonts w:cs="Arial"/>
          <w:szCs w:val="22"/>
        </w:rPr>
        <w:t xml:space="preserve">Finanční arbitr je </w:t>
      </w:r>
      <w:r w:rsidR="003A4EFD" w:rsidRPr="00E877AA">
        <w:rPr>
          <w:rFonts w:cs="Arial"/>
          <w:szCs w:val="22"/>
        </w:rPr>
        <w:t xml:space="preserve">tedy </w:t>
      </w:r>
      <w:r w:rsidRPr="00E877AA">
        <w:rPr>
          <w:rFonts w:cs="Arial"/>
          <w:szCs w:val="22"/>
        </w:rPr>
        <w:t>ve své působnosti příslušný rozhodovat například v</w:t>
      </w:r>
      <w:r w:rsidR="00052430" w:rsidRPr="00E877AA">
        <w:rPr>
          <w:rFonts w:cs="Arial"/>
          <w:szCs w:val="22"/>
        </w:rPr>
        <w:t>e</w:t>
      </w:r>
      <w:r w:rsidRPr="00E877AA">
        <w:rPr>
          <w:rFonts w:cs="Arial"/>
          <w:szCs w:val="22"/>
        </w:rPr>
        <w:t xml:space="preserve"> sporech </w:t>
      </w:r>
      <w:r w:rsidR="002A56AD" w:rsidRPr="00E877AA">
        <w:rPr>
          <w:rFonts w:cs="Arial"/>
          <w:b/>
          <w:szCs w:val="22"/>
        </w:rPr>
        <w:t>při poskytování</w:t>
      </w:r>
      <w:r w:rsidR="0008012F" w:rsidRPr="00E877AA">
        <w:rPr>
          <w:rFonts w:cs="Arial"/>
          <w:b/>
          <w:szCs w:val="22"/>
        </w:rPr>
        <w:t xml:space="preserve"> </w:t>
      </w:r>
      <w:r w:rsidRPr="00E877AA">
        <w:rPr>
          <w:rFonts w:cs="Arial"/>
          <w:b/>
          <w:szCs w:val="22"/>
        </w:rPr>
        <w:t>platebních služeb</w:t>
      </w:r>
      <w:r w:rsidR="00530A86" w:rsidRPr="00E877AA">
        <w:rPr>
          <w:rFonts w:cs="Arial"/>
          <w:b/>
          <w:szCs w:val="22"/>
        </w:rPr>
        <w:t xml:space="preserve"> </w:t>
      </w:r>
      <w:r w:rsidR="00530A86" w:rsidRPr="00E877AA">
        <w:rPr>
          <w:rFonts w:cs="Arial"/>
          <w:szCs w:val="22"/>
        </w:rPr>
        <w:t>o</w:t>
      </w:r>
      <w:r w:rsidRPr="00E877AA">
        <w:rPr>
          <w:rFonts w:cs="Arial"/>
          <w:szCs w:val="22"/>
        </w:rPr>
        <w:t>:</w:t>
      </w:r>
    </w:p>
    <w:p w:rsidR="00530A86" w:rsidRPr="00E877AA" w:rsidRDefault="00530A86"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zneužití platební karty třetí osobou k výběru z bankomatu nebo nákupu u obchodníka,</w:t>
      </w:r>
    </w:p>
    <w:p w:rsidR="00530A86" w:rsidRPr="00E877AA" w:rsidRDefault="00530A86"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zneužití platebního prostředku (elektronické bankovnictví),</w:t>
      </w:r>
    </w:p>
    <w:p w:rsidR="00A156A4" w:rsidRPr="00E877AA" w:rsidRDefault="00A156A4"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nevydání peněz bankomatem při výběru z bankomatu,</w:t>
      </w:r>
    </w:p>
    <w:p w:rsidR="00A156A4" w:rsidRPr="00E877AA" w:rsidRDefault="00A156A4"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nezaúčtování hotovosti při vkladu prostřednictvím vkladového bankomatu nebo na pokladně,</w:t>
      </w:r>
    </w:p>
    <w:p w:rsidR="00A156A4" w:rsidRPr="00E877AA" w:rsidRDefault="00052430"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 xml:space="preserve">platnosti </w:t>
      </w:r>
      <w:r w:rsidR="00A156A4" w:rsidRPr="00E877AA">
        <w:rPr>
          <w:rFonts w:ascii="Arial" w:eastAsia="Times New Roman" w:hAnsi="Arial" w:cs="Arial"/>
          <w:lang w:eastAsia="cs-CZ"/>
        </w:rPr>
        <w:t>výpově</w:t>
      </w:r>
      <w:r w:rsidRPr="00E877AA">
        <w:rPr>
          <w:rFonts w:ascii="Arial" w:eastAsia="Times New Roman" w:hAnsi="Arial" w:cs="Arial"/>
          <w:lang w:eastAsia="cs-CZ"/>
        </w:rPr>
        <w:t>di</w:t>
      </w:r>
      <w:r w:rsidR="00A156A4" w:rsidRPr="00E877AA">
        <w:rPr>
          <w:rFonts w:ascii="Arial" w:eastAsia="Times New Roman" w:hAnsi="Arial" w:cs="Arial"/>
          <w:lang w:eastAsia="cs-CZ"/>
        </w:rPr>
        <w:t xml:space="preserve"> platebního účtu,</w:t>
      </w:r>
    </w:p>
    <w:p w:rsidR="00A156A4" w:rsidRPr="00E877AA" w:rsidRDefault="00A156A4"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provedení srážky z částky platební transakce zprostředkujícím poskytovatelem platebních služeb,</w:t>
      </w:r>
    </w:p>
    <w:p w:rsidR="00A156A4" w:rsidRPr="00E877AA" w:rsidRDefault="00A156A4"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neprovedení platební transakce (odmítnutí provést platební transakci),</w:t>
      </w:r>
    </w:p>
    <w:p w:rsidR="00A156A4" w:rsidRPr="00E877AA" w:rsidRDefault="00A156A4" w:rsidP="00F245A9">
      <w:pPr>
        <w:numPr>
          <w:ilvl w:val="0"/>
          <w:numId w:val="3"/>
        </w:numPr>
        <w:tabs>
          <w:tab w:val="clear" w:pos="720"/>
        </w:tabs>
        <w:spacing w:after="0"/>
        <w:ind w:left="567" w:hanging="567"/>
        <w:jc w:val="both"/>
        <w:rPr>
          <w:rFonts w:ascii="Arial" w:eastAsia="Times New Roman" w:hAnsi="Arial" w:cs="Arial"/>
          <w:lang w:eastAsia="cs-CZ"/>
        </w:rPr>
      </w:pPr>
      <w:proofErr w:type="gramStart"/>
      <w:r w:rsidRPr="00E877AA">
        <w:rPr>
          <w:rFonts w:ascii="Arial" w:eastAsia="Times New Roman" w:hAnsi="Arial" w:cs="Arial"/>
          <w:lang w:eastAsia="cs-CZ"/>
        </w:rPr>
        <w:t>vícenásobné</w:t>
      </w:r>
      <w:r w:rsidR="00052430" w:rsidRPr="00E877AA">
        <w:rPr>
          <w:rFonts w:ascii="Arial" w:eastAsia="Times New Roman" w:hAnsi="Arial" w:cs="Arial"/>
          <w:lang w:eastAsia="cs-CZ"/>
        </w:rPr>
        <w:t>m</w:t>
      </w:r>
      <w:proofErr w:type="gramEnd"/>
      <w:r w:rsidRPr="00E877AA">
        <w:rPr>
          <w:rFonts w:ascii="Arial" w:eastAsia="Times New Roman" w:hAnsi="Arial" w:cs="Arial"/>
          <w:lang w:eastAsia="cs-CZ"/>
        </w:rPr>
        <w:t xml:space="preserve"> zaúčtování transakce výběru z bankomatu nebo nákupu u obchodníka,</w:t>
      </w:r>
    </w:p>
    <w:p w:rsidR="00A156A4" w:rsidRPr="00E877AA" w:rsidRDefault="00A156A4"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opožděné realizaci platební transakce nebo neprovedení inkasa,</w:t>
      </w:r>
    </w:p>
    <w:p w:rsidR="00A156A4" w:rsidRPr="00E877AA" w:rsidRDefault="00A156A4"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výši kurzového rozdílu při bezhotovostním převodu z platebního účtu do zahraničí,</w:t>
      </w:r>
    </w:p>
    <w:p w:rsidR="00A156A4" w:rsidRPr="00E877AA" w:rsidRDefault="00A156A4"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správnost</w:t>
      </w:r>
      <w:r w:rsidR="00052430" w:rsidRPr="00E877AA">
        <w:rPr>
          <w:rFonts w:ascii="Arial" w:eastAsia="Times New Roman" w:hAnsi="Arial" w:cs="Arial"/>
          <w:lang w:eastAsia="cs-CZ"/>
        </w:rPr>
        <w:t>i</w:t>
      </w:r>
      <w:r w:rsidRPr="00E877AA">
        <w:rPr>
          <w:rFonts w:ascii="Arial" w:eastAsia="Times New Roman" w:hAnsi="Arial" w:cs="Arial"/>
          <w:lang w:eastAsia="cs-CZ"/>
        </w:rPr>
        <w:t xml:space="preserve"> poplatku účtovaného za poskytnutí platební služby,</w:t>
      </w:r>
    </w:p>
    <w:p w:rsidR="00A156A4" w:rsidRPr="00E877AA" w:rsidRDefault="00A156A4" w:rsidP="00F245A9">
      <w:pPr>
        <w:numPr>
          <w:ilvl w:val="0"/>
          <w:numId w:val="3"/>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provedení platební transakce bez souhlasu uživatele platební služby.</w:t>
      </w:r>
    </w:p>
    <w:p w:rsidR="00A156A4" w:rsidRPr="00E877AA" w:rsidRDefault="00A156A4" w:rsidP="00166E77">
      <w:pPr>
        <w:pStyle w:val="Bnuvozovacodstavec"/>
        <w:spacing w:after="200"/>
        <w:rPr>
          <w:rFonts w:cs="Arial"/>
          <w:szCs w:val="22"/>
        </w:rPr>
      </w:pPr>
      <w:r w:rsidRPr="00E877AA">
        <w:rPr>
          <w:rFonts w:cs="Arial"/>
          <w:szCs w:val="22"/>
        </w:rPr>
        <w:t xml:space="preserve">Finanční arbitr může rozhodovat například spory </w:t>
      </w:r>
      <w:r w:rsidRPr="00E877AA">
        <w:rPr>
          <w:rFonts w:cs="Arial"/>
          <w:b/>
          <w:szCs w:val="22"/>
        </w:rPr>
        <w:t>ze spotřebitelského úvěru</w:t>
      </w:r>
      <w:r w:rsidR="00052430" w:rsidRPr="00E877AA">
        <w:rPr>
          <w:rFonts w:cs="Arial"/>
          <w:b/>
          <w:szCs w:val="22"/>
        </w:rPr>
        <w:t xml:space="preserve"> (mimo jiné neúčelového, hypot</w:t>
      </w:r>
      <w:r w:rsidR="00AB7BD3" w:rsidRPr="00E877AA">
        <w:rPr>
          <w:rFonts w:cs="Arial"/>
          <w:b/>
          <w:szCs w:val="22"/>
        </w:rPr>
        <w:t>e</w:t>
      </w:r>
      <w:r w:rsidR="00052430" w:rsidRPr="00E877AA">
        <w:rPr>
          <w:rFonts w:cs="Arial"/>
          <w:b/>
          <w:szCs w:val="22"/>
        </w:rPr>
        <w:t>čního, ze stavebního spoření)</w:t>
      </w:r>
      <w:r w:rsidRPr="00E877AA">
        <w:rPr>
          <w:rFonts w:cs="Arial"/>
          <w:szCs w:val="22"/>
        </w:rPr>
        <w:t xml:space="preserve"> i spory z jiného úvěru, zápůjčky, či obdobné finanční služby uzavřené mezi spotřebitelem a věřitelem </w:t>
      </w:r>
      <w:r w:rsidR="0008012F" w:rsidRPr="00E877AA">
        <w:rPr>
          <w:rFonts w:cs="Arial"/>
          <w:szCs w:val="22"/>
        </w:rPr>
        <w:t xml:space="preserve">případně zprostředkované </w:t>
      </w:r>
      <w:r w:rsidRPr="00E877AA">
        <w:rPr>
          <w:rFonts w:cs="Arial"/>
          <w:szCs w:val="22"/>
        </w:rPr>
        <w:t>zprostředkovatelem</w:t>
      </w:r>
      <w:r w:rsidR="00530A86" w:rsidRPr="00E877AA">
        <w:rPr>
          <w:rFonts w:cs="Arial"/>
          <w:szCs w:val="22"/>
        </w:rPr>
        <w:t xml:space="preserve"> o</w:t>
      </w:r>
      <w:r w:rsidRPr="00E877AA">
        <w:rPr>
          <w:rFonts w:cs="Arial"/>
          <w:szCs w:val="22"/>
        </w:rPr>
        <w:t>:</w:t>
      </w:r>
    </w:p>
    <w:p w:rsidR="00530A86" w:rsidRPr="00E877AA" w:rsidRDefault="00530A86" w:rsidP="00F245A9">
      <w:pPr>
        <w:numPr>
          <w:ilvl w:val="0"/>
          <w:numId w:val="14"/>
        </w:numPr>
        <w:spacing w:after="0"/>
        <w:ind w:left="567" w:hanging="567"/>
        <w:jc w:val="both"/>
        <w:rPr>
          <w:rFonts w:ascii="Arial" w:eastAsia="Times New Roman" w:hAnsi="Arial" w:cs="Arial"/>
          <w:lang w:eastAsia="cs-CZ"/>
        </w:rPr>
      </w:pPr>
      <w:r w:rsidRPr="00E877AA">
        <w:rPr>
          <w:rFonts w:ascii="Arial" w:eastAsia="Times New Roman" w:hAnsi="Arial" w:cs="Arial"/>
          <w:lang w:eastAsia="cs-CZ"/>
        </w:rPr>
        <w:t>platnost</w:t>
      </w:r>
      <w:r w:rsidR="00052430" w:rsidRPr="00E877AA">
        <w:rPr>
          <w:rFonts w:ascii="Arial" w:eastAsia="Times New Roman" w:hAnsi="Arial" w:cs="Arial"/>
          <w:lang w:eastAsia="cs-CZ"/>
        </w:rPr>
        <w:t>i</w:t>
      </w:r>
      <w:r w:rsidRPr="00E877AA">
        <w:rPr>
          <w:rFonts w:ascii="Arial" w:eastAsia="Times New Roman" w:hAnsi="Arial" w:cs="Arial"/>
          <w:lang w:eastAsia="cs-CZ"/>
        </w:rPr>
        <w:t xml:space="preserve"> smlouvy o úvěru, smluvní pokuty nebo jiného smluvního ujednání,</w:t>
      </w:r>
    </w:p>
    <w:p w:rsidR="00530A86" w:rsidRPr="00E877AA" w:rsidRDefault="00530A86" w:rsidP="00F245A9">
      <w:pPr>
        <w:numPr>
          <w:ilvl w:val="0"/>
          <w:numId w:val="14"/>
        </w:numPr>
        <w:spacing w:after="0"/>
        <w:ind w:left="567" w:hanging="567"/>
        <w:jc w:val="both"/>
        <w:rPr>
          <w:rFonts w:ascii="Arial" w:eastAsia="Times New Roman" w:hAnsi="Arial" w:cs="Arial"/>
          <w:lang w:eastAsia="cs-CZ"/>
        </w:rPr>
      </w:pPr>
      <w:r w:rsidRPr="00E877AA">
        <w:rPr>
          <w:rFonts w:ascii="Arial" w:eastAsia="Times New Roman" w:hAnsi="Arial" w:cs="Arial"/>
          <w:lang w:eastAsia="cs-CZ"/>
        </w:rPr>
        <w:t>určení výše závazku ze smlouvy o úvěru,</w:t>
      </w:r>
    </w:p>
    <w:p w:rsidR="00577C1E" w:rsidRPr="00E877AA" w:rsidRDefault="00577C1E" w:rsidP="00F245A9">
      <w:pPr>
        <w:numPr>
          <w:ilvl w:val="0"/>
          <w:numId w:val="14"/>
        </w:numPr>
        <w:spacing w:after="0"/>
        <w:ind w:left="567" w:hanging="567"/>
        <w:jc w:val="both"/>
        <w:rPr>
          <w:rFonts w:ascii="Arial" w:eastAsia="Times New Roman" w:hAnsi="Arial" w:cs="Arial"/>
          <w:lang w:eastAsia="cs-CZ"/>
        </w:rPr>
      </w:pPr>
      <w:r w:rsidRPr="00E877AA">
        <w:rPr>
          <w:rFonts w:ascii="Arial" w:eastAsia="Times New Roman" w:hAnsi="Arial" w:cs="Arial"/>
          <w:lang w:eastAsia="cs-CZ"/>
        </w:rPr>
        <w:t>neplatnosti smlouvy o úvěru v důsledku neposouzení úvěruschopnosti dlužníka,</w:t>
      </w:r>
    </w:p>
    <w:p w:rsidR="00577C1E" w:rsidRPr="00E877AA" w:rsidRDefault="00577C1E" w:rsidP="00F245A9">
      <w:pPr>
        <w:numPr>
          <w:ilvl w:val="0"/>
          <w:numId w:val="14"/>
        </w:numPr>
        <w:spacing w:after="0"/>
        <w:ind w:left="567" w:hanging="567"/>
        <w:jc w:val="both"/>
        <w:rPr>
          <w:rFonts w:ascii="Arial" w:eastAsia="Times New Roman" w:hAnsi="Arial" w:cs="Arial"/>
          <w:lang w:eastAsia="cs-CZ"/>
        </w:rPr>
      </w:pPr>
      <w:r w:rsidRPr="00E877AA">
        <w:rPr>
          <w:rFonts w:ascii="Arial" w:eastAsia="Times New Roman" w:hAnsi="Arial" w:cs="Arial"/>
          <w:lang w:eastAsia="cs-CZ"/>
        </w:rPr>
        <w:t xml:space="preserve">výši odměny věřitele za poskytnutí úvěru, </w:t>
      </w:r>
    </w:p>
    <w:p w:rsidR="00530A86" w:rsidRPr="00E877AA" w:rsidRDefault="00052430" w:rsidP="00F245A9">
      <w:pPr>
        <w:numPr>
          <w:ilvl w:val="0"/>
          <w:numId w:val="14"/>
        </w:numPr>
        <w:spacing w:after="0"/>
        <w:ind w:left="567" w:hanging="567"/>
        <w:jc w:val="both"/>
        <w:rPr>
          <w:rFonts w:ascii="Arial" w:eastAsia="Times New Roman" w:hAnsi="Arial" w:cs="Arial"/>
          <w:lang w:eastAsia="cs-CZ"/>
        </w:rPr>
      </w:pPr>
      <w:r w:rsidRPr="00E877AA">
        <w:rPr>
          <w:rFonts w:ascii="Arial" w:eastAsia="Times New Roman" w:hAnsi="Arial" w:cs="Arial"/>
          <w:lang w:eastAsia="cs-CZ"/>
        </w:rPr>
        <w:t>právu</w:t>
      </w:r>
      <w:r w:rsidR="00530A86" w:rsidRPr="00E877AA">
        <w:rPr>
          <w:rFonts w:ascii="Arial" w:eastAsia="Times New Roman" w:hAnsi="Arial" w:cs="Arial"/>
          <w:lang w:eastAsia="cs-CZ"/>
        </w:rPr>
        <w:t xml:space="preserve"> na úročení úvěru ve výši diskontní sazby (po jeho uplatnění),</w:t>
      </w:r>
    </w:p>
    <w:p w:rsidR="00530A86" w:rsidRPr="00E877AA" w:rsidRDefault="00530A86" w:rsidP="00F245A9">
      <w:pPr>
        <w:numPr>
          <w:ilvl w:val="0"/>
          <w:numId w:val="14"/>
        </w:numPr>
        <w:spacing w:after="0"/>
        <w:ind w:left="567" w:hanging="567"/>
        <w:rPr>
          <w:rFonts w:ascii="Arial" w:eastAsia="Times New Roman" w:hAnsi="Arial" w:cs="Arial"/>
          <w:lang w:eastAsia="cs-CZ"/>
        </w:rPr>
      </w:pPr>
      <w:r w:rsidRPr="00E877AA">
        <w:rPr>
          <w:rFonts w:ascii="Arial" w:eastAsia="Times New Roman" w:hAnsi="Arial" w:cs="Arial"/>
          <w:lang w:eastAsia="cs-CZ"/>
        </w:rPr>
        <w:t>výpočet roční procentní sazby nákladů (RPSN),</w:t>
      </w:r>
    </w:p>
    <w:p w:rsidR="00530A86" w:rsidRPr="00E877AA" w:rsidRDefault="00530A86" w:rsidP="00F245A9">
      <w:pPr>
        <w:numPr>
          <w:ilvl w:val="0"/>
          <w:numId w:val="4"/>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práv</w:t>
      </w:r>
      <w:r w:rsidR="00052430" w:rsidRPr="00E877AA">
        <w:rPr>
          <w:rFonts w:ascii="Arial" w:eastAsia="Times New Roman" w:hAnsi="Arial" w:cs="Arial"/>
          <w:lang w:eastAsia="cs-CZ"/>
        </w:rPr>
        <w:t>u</w:t>
      </w:r>
      <w:r w:rsidRPr="00E877AA">
        <w:rPr>
          <w:rFonts w:ascii="Arial" w:eastAsia="Times New Roman" w:hAnsi="Arial" w:cs="Arial"/>
          <w:lang w:eastAsia="cs-CZ"/>
        </w:rPr>
        <w:t xml:space="preserve"> předčasně s</w:t>
      </w:r>
      <w:r w:rsidRPr="00E877AA">
        <w:rPr>
          <w:rFonts w:ascii="Arial" w:hAnsi="Arial" w:cs="Arial"/>
        </w:rPr>
        <w:t>platit dluh ze smlouvy o úvěru</w:t>
      </w:r>
      <w:r w:rsidR="000975E2">
        <w:rPr>
          <w:rFonts w:ascii="Arial" w:hAnsi="Arial" w:cs="Arial"/>
        </w:rPr>
        <w:t>,</w:t>
      </w:r>
    </w:p>
    <w:p w:rsidR="00A156A4" w:rsidRPr="00E877AA" w:rsidRDefault="00A156A4" w:rsidP="00F245A9">
      <w:pPr>
        <w:numPr>
          <w:ilvl w:val="0"/>
          <w:numId w:val="14"/>
        </w:numPr>
        <w:spacing w:after="0"/>
        <w:ind w:left="567" w:hanging="567"/>
        <w:jc w:val="both"/>
        <w:rPr>
          <w:rFonts w:ascii="Arial" w:eastAsia="Times New Roman" w:hAnsi="Arial" w:cs="Arial"/>
          <w:lang w:eastAsia="cs-CZ"/>
        </w:rPr>
      </w:pPr>
      <w:r w:rsidRPr="00E877AA">
        <w:rPr>
          <w:rFonts w:ascii="Arial" w:eastAsia="Times New Roman" w:hAnsi="Arial" w:cs="Arial"/>
          <w:lang w:eastAsia="cs-CZ"/>
        </w:rPr>
        <w:t>platnost</w:t>
      </w:r>
      <w:r w:rsidR="00052430" w:rsidRPr="00E877AA">
        <w:rPr>
          <w:rFonts w:ascii="Arial" w:eastAsia="Times New Roman" w:hAnsi="Arial" w:cs="Arial"/>
          <w:lang w:eastAsia="cs-CZ"/>
        </w:rPr>
        <w:t>i</w:t>
      </w:r>
      <w:r w:rsidRPr="00E877AA">
        <w:rPr>
          <w:rFonts w:ascii="Arial" w:eastAsia="Times New Roman" w:hAnsi="Arial" w:cs="Arial"/>
          <w:lang w:eastAsia="cs-CZ"/>
        </w:rPr>
        <w:t xml:space="preserve"> odstoupení od smlouvy o úvěru nebo zprostředkovatelské smlouvy,</w:t>
      </w:r>
    </w:p>
    <w:p w:rsidR="00A156A4" w:rsidRPr="00E877AA" w:rsidRDefault="00A156A4" w:rsidP="00F245A9">
      <w:pPr>
        <w:numPr>
          <w:ilvl w:val="0"/>
          <w:numId w:val="4"/>
        </w:numPr>
        <w:tabs>
          <w:tab w:val="clear" w:pos="720"/>
        </w:tabs>
        <w:spacing w:after="0"/>
        <w:ind w:left="567" w:hanging="567"/>
        <w:jc w:val="both"/>
        <w:rPr>
          <w:rFonts w:ascii="Arial" w:eastAsia="Times New Roman" w:hAnsi="Arial" w:cs="Arial"/>
          <w:lang w:eastAsia="cs-CZ"/>
        </w:rPr>
      </w:pPr>
      <w:proofErr w:type="spellStart"/>
      <w:r w:rsidRPr="00E877AA">
        <w:rPr>
          <w:rFonts w:ascii="Arial" w:eastAsia="Times New Roman" w:hAnsi="Arial" w:cs="Arial"/>
          <w:lang w:eastAsia="cs-CZ"/>
        </w:rPr>
        <w:t>zesplatnění</w:t>
      </w:r>
      <w:proofErr w:type="spellEnd"/>
      <w:r w:rsidRPr="00E877AA">
        <w:rPr>
          <w:rFonts w:ascii="Arial" w:eastAsia="Times New Roman" w:hAnsi="Arial" w:cs="Arial"/>
          <w:lang w:eastAsia="cs-CZ"/>
        </w:rPr>
        <w:t xml:space="preserve"> úvěru,</w:t>
      </w:r>
    </w:p>
    <w:p w:rsidR="00A156A4" w:rsidRPr="00E877AA" w:rsidRDefault="00A156A4" w:rsidP="00F245A9">
      <w:pPr>
        <w:numPr>
          <w:ilvl w:val="0"/>
          <w:numId w:val="4"/>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poplatk</w:t>
      </w:r>
      <w:r w:rsidR="0068705A" w:rsidRPr="00E877AA">
        <w:rPr>
          <w:rFonts w:ascii="Arial" w:eastAsia="Times New Roman" w:hAnsi="Arial" w:cs="Arial"/>
          <w:lang w:eastAsia="cs-CZ"/>
        </w:rPr>
        <w:t>u</w:t>
      </w:r>
      <w:r w:rsidRPr="00E877AA">
        <w:rPr>
          <w:rFonts w:ascii="Arial" w:eastAsia="Times New Roman" w:hAnsi="Arial" w:cs="Arial"/>
          <w:lang w:eastAsia="cs-CZ"/>
        </w:rPr>
        <w:t xml:space="preserve"> ze smlouvy o úvěru nebo zprostředkovatelské smlouvy,</w:t>
      </w:r>
    </w:p>
    <w:p w:rsidR="00577C1E" w:rsidRPr="00E877AA" w:rsidRDefault="00A156A4" w:rsidP="00F245A9">
      <w:pPr>
        <w:numPr>
          <w:ilvl w:val="0"/>
          <w:numId w:val="5"/>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lastRenderedPageBreak/>
        <w:t>správnost</w:t>
      </w:r>
      <w:r w:rsidR="0068705A" w:rsidRPr="00E877AA">
        <w:rPr>
          <w:rFonts w:ascii="Arial" w:eastAsia="Times New Roman" w:hAnsi="Arial" w:cs="Arial"/>
          <w:lang w:eastAsia="cs-CZ"/>
        </w:rPr>
        <w:t>i</w:t>
      </w:r>
      <w:r w:rsidRPr="00E877AA">
        <w:rPr>
          <w:rFonts w:ascii="Arial" w:eastAsia="Times New Roman" w:hAnsi="Arial" w:cs="Arial"/>
          <w:lang w:eastAsia="cs-CZ"/>
        </w:rPr>
        <w:t xml:space="preserve"> poplatku za předčasné splacení úvěru</w:t>
      </w:r>
      <w:r w:rsidR="000975E2">
        <w:rPr>
          <w:rFonts w:ascii="Arial" w:eastAsia="Times New Roman" w:hAnsi="Arial" w:cs="Arial"/>
          <w:lang w:eastAsia="cs-CZ"/>
        </w:rPr>
        <w:t>,</w:t>
      </w:r>
    </w:p>
    <w:p w:rsidR="00A156A4" w:rsidRPr="00E877AA" w:rsidRDefault="00577C1E" w:rsidP="00F245A9">
      <w:pPr>
        <w:numPr>
          <w:ilvl w:val="0"/>
          <w:numId w:val="5"/>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náhradu škody způsobenou věřitelem dlužníkovi v souvislosti s jednáním o uzavření smlouvy o úvěru</w:t>
      </w:r>
      <w:r w:rsidR="00592B77" w:rsidRPr="00E877AA">
        <w:rPr>
          <w:rFonts w:ascii="Arial" w:eastAsia="Times New Roman" w:hAnsi="Arial" w:cs="Arial"/>
          <w:lang w:eastAsia="cs-CZ"/>
        </w:rPr>
        <w:t>.</w:t>
      </w:r>
    </w:p>
    <w:p w:rsidR="00A156A4" w:rsidRPr="00E877AA" w:rsidRDefault="00A156A4" w:rsidP="00166E77">
      <w:pPr>
        <w:pStyle w:val="Bnuvozovacodstavec"/>
        <w:rPr>
          <w:rFonts w:cs="Arial"/>
          <w:szCs w:val="22"/>
        </w:rPr>
      </w:pPr>
      <w:r w:rsidRPr="00E877AA">
        <w:rPr>
          <w:rFonts w:cs="Arial"/>
          <w:szCs w:val="22"/>
        </w:rPr>
        <w:t xml:space="preserve">Finanční arbitr je </w:t>
      </w:r>
      <w:r w:rsidR="003A4EFD" w:rsidRPr="00E877AA">
        <w:rPr>
          <w:rFonts w:cs="Arial"/>
          <w:szCs w:val="22"/>
        </w:rPr>
        <w:t xml:space="preserve">příslušný </w:t>
      </w:r>
      <w:r w:rsidRPr="00E877AA">
        <w:rPr>
          <w:rFonts w:cs="Arial"/>
          <w:szCs w:val="22"/>
        </w:rPr>
        <w:t xml:space="preserve">rozhodovat spory </w:t>
      </w:r>
      <w:r w:rsidRPr="00E877AA">
        <w:rPr>
          <w:rFonts w:cs="Arial"/>
          <w:b/>
          <w:szCs w:val="22"/>
        </w:rPr>
        <w:t>z kolektivního investování</w:t>
      </w:r>
      <w:r w:rsidR="003A4EFD" w:rsidRPr="00E877AA">
        <w:rPr>
          <w:rFonts w:cs="Arial"/>
          <w:b/>
          <w:szCs w:val="22"/>
        </w:rPr>
        <w:t xml:space="preserve">, </w:t>
      </w:r>
      <w:r w:rsidR="003A4EFD" w:rsidRPr="00E877AA">
        <w:rPr>
          <w:rFonts w:cs="Arial"/>
          <w:szCs w:val="22"/>
        </w:rPr>
        <w:t xml:space="preserve">tedy spory spotřebitele s investiční společností nebo investičním fondem </w:t>
      </w:r>
      <w:r w:rsidR="00FB06BB" w:rsidRPr="00E877AA">
        <w:rPr>
          <w:rFonts w:cs="Arial"/>
          <w:szCs w:val="22"/>
        </w:rPr>
        <w:t xml:space="preserve">mimo jiné </w:t>
      </w:r>
      <w:r w:rsidR="003A4EFD" w:rsidRPr="00E877AA">
        <w:rPr>
          <w:rFonts w:cs="Arial"/>
          <w:szCs w:val="22"/>
        </w:rPr>
        <w:t>o</w:t>
      </w:r>
      <w:r w:rsidRPr="00E877AA">
        <w:rPr>
          <w:rFonts w:cs="Arial"/>
          <w:szCs w:val="22"/>
        </w:rPr>
        <w:t>:</w:t>
      </w:r>
    </w:p>
    <w:p w:rsidR="00A156A4" w:rsidRPr="00E877AA" w:rsidRDefault="00A156A4" w:rsidP="00F245A9">
      <w:pPr>
        <w:numPr>
          <w:ilvl w:val="0"/>
          <w:numId w:val="6"/>
        </w:numPr>
        <w:tabs>
          <w:tab w:val="clear" w:pos="720"/>
        </w:tabs>
        <w:spacing w:before="200" w:after="0"/>
        <w:ind w:left="567" w:hanging="567"/>
        <w:jc w:val="both"/>
        <w:rPr>
          <w:rFonts w:ascii="Arial" w:eastAsia="Times New Roman" w:hAnsi="Arial" w:cs="Arial"/>
          <w:lang w:eastAsia="cs-CZ"/>
        </w:rPr>
      </w:pPr>
      <w:r w:rsidRPr="00E877AA">
        <w:rPr>
          <w:rFonts w:ascii="Arial" w:eastAsia="Times New Roman" w:hAnsi="Arial" w:cs="Arial"/>
          <w:lang w:eastAsia="cs-CZ"/>
        </w:rPr>
        <w:t>vypořádání realizovaného pokynu k nákupu / prodeji / výměně podílového listu,</w:t>
      </w:r>
    </w:p>
    <w:p w:rsidR="00A156A4" w:rsidRPr="00E877AA" w:rsidRDefault="00A156A4" w:rsidP="00F245A9">
      <w:pPr>
        <w:numPr>
          <w:ilvl w:val="0"/>
          <w:numId w:val="6"/>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hodnot</w:t>
      </w:r>
      <w:r w:rsidR="00577C1E" w:rsidRPr="00E877AA">
        <w:rPr>
          <w:rFonts w:ascii="Arial" w:eastAsia="Times New Roman" w:hAnsi="Arial" w:cs="Arial"/>
          <w:lang w:eastAsia="cs-CZ"/>
        </w:rPr>
        <w:t>ě</w:t>
      </w:r>
      <w:r w:rsidRPr="00E877AA">
        <w:rPr>
          <w:rFonts w:ascii="Arial" w:eastAsia="Times New Roman" w:hAnsi="Arial" w:cs="Arial"/>
          <w:lang w:eastAsia="cs-CZ"/>
        </w:rPr>
        <w:t xml:space="preserve"> podílového listu,</w:t>
      </w:r>
    </w:p>
    <w:p w:rsidR="00A156A4" w:rsidRPr="00E877AA" w:rsidRDefault="00A156A4" w:rsidP="00F245A9">
      <w:pPr>
        <w:numPr>
          <w:ilvl w:val="0"/>
          <w:numId w:val="6"/>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řádné provedení pokynu k nákupu / prodeji / výměně podílového listu obchodníkem s cennými papíry,</w:t>
      </w:r>
    </w:p>
    <w:p w:rsidR="00A156A4" w:rsidRPr="00E877AA" w:rsidRDefault="00A156A4" w:rsidP="00F245A9">
      <w:pPr>
        <w:numPr>
          <w:ilvl w:val="0"/>
          <w:numId w:val="6"/>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řádné provedení pokynu k nákupu / prodeji / výměně podílového listu investičním zprostředkovatelem,</w:t>
      </w:r>
    </w:p>
    <w:p w:rsidR="00A156A4" w:rsidRPr="00E877AA" w:rsidRDefault="00A156A4" w:rsidP="00F245A9">
      <w:pPr>
        <w:numPr>
          <w:ilvl w:val="0"/>
          <w:numId w:val="6"/>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náhradu škody způsoben</w:t>
      </w:r>
      <w:r w:rsidR="00577C1E" w:rsidRPr="00E877AA">
        <w:rPr>
          <w:rFonts w:ascii="Arial" w:eastAsia="Times New Roman" w:hAnsi="Arial" w:cs="Arial"/>
          <w:lang w:eastAsia="cs-CZ"/>
        </w:rPr>
        <w:t>ou</w:t>
      </w:r>
      <w:r w:rsidRPr="00E877AA">
        <w:rPr>
          <w:rFonts w:ascii="Arial" w:eastAsia="Times New Roman" w:hAnsi="Arial" w:cs="Arial"/>
          <w:lang w:eastAsia="cs-CZ"/>
        </w:rPr>
        <w:t xml:space="preserve"> obchodníkem s cennými papíry nebo investičním zprostředkovatelem při poskytování investičního poradenství v souvislosti s kolektivním investováním,</w:t>
      </w:r>
    </w:p>
    <w:p w:rsidR="00A156A4" w:rsidRPr="00E877AA" w:rsidRDefault="00A156A4" w:rsidP="00F245A9">
      <w:pPr>
        <w:numPr>
          <w:ilvl w:val="0"/>
          <w:numId w:val="6"/>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poplatek účtovaný v souvislosti s nákupem / prodejem / výměnou podílového listu,</w:t>
      </w:r>
    </w:p>
    <w:p w:rsidR="00A156A4" w:rsidRPr="00E877AA" w:rsidRDefault="009E5B24" w:rsidP="00F245A9">
      <w:pPr>
        <w:numPr>
          <w:ilvl w:val="0"/>
          <w:numId w:val="6"/>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 xml:space="preserve">náhradu škody způsobenou v souvislosti s plněním </w:t>
      </w:r>
      <w:r w:rsidR="00A156A4" w:rsidRPr="00E877AA">
        <w:rPr>
          <w:rFonts w:ascii="Arial" w:eastAsia="Times New Roman" w:hAnsi="Arial" w:cs="Arial"/>
          <w:lang w:eastAsia="cs-CZ"/>
        </w:rPr>
        <w:t>informačních povinností investiční společností nebo investičním fondem.</w:t>
      </w:r>
    </w:p>
    <w:p w:rsidR="00A156A4" w:rsidRPr="00E877AA" w:rsidRDefault="00A156A4" w:rsidP="00166E77">
      <w:pPr>
        <w:pStyle w:val="Bnuvozovacodstavec"/>
        <w:rPr>
          <w:rFonts w:cs="Arial"/>
          <w:szCs w:val="22"/>
        </w:rPr>
      </w:pPr>
      <w:r w:rsidRPr="00E877AA">
        <w:rPr>
          <w:rFonts w:cs="Arial"/>
          <w:szCs w:val="22"/>
        </w:rPr>
        <w:t xml:space="preserve">Finanční arbitr je </w:t>
      </w:r>
      <w:r w:rsidR="002A56AD" w:rsidRPr="00E877AA">
        <w:rPr>
          <w:rFonts w:cs="Arial"/>
          <w:szCs w:val="22"/>
        </w:rPr>
        <w:t xml:space="preserve">příslušný </w:t>
      </w:r>
      <w:r w:rsidRPr="00E877AA">
        <w:rPr>
          <w:rFonts w:cs="Arial"/>
          <w:szCs w:val="22"/>
        </w:rPr>
        <w:t xml:space="preserve">rozhodovat spory </w:t>
      </w:r>
      <w:r w:rsidR="002A56AD" w:rsidRPr="00E877AA">
        <w:rPr>
          <w:rFonts w:cs="Arial"/>
          <w:b/>
          <w:szCs w:val="22"/>
        </w:rPr>
        <w:t>při </w:t>
      </w:r>
      <w:r w:rsidRPr="00E877AA">
        <w:rPr>
          <w:rFonts w:cs="Arial"/>
          <w:b/>
          <w:szCs w:val="22"/>
        </w:rPr>
        <w:t>poskytování</w:t>
      </w:r>
      <w:r w:rsidRPr="00E877AA">
        <w:rPr>
          <w:rFonts w:cs="Arial"/>
          <w:szCs w:val="22"/>
        </w:rPr>
        <w:t xml:space="preserve"> </w:t>
      </w:r>
      <w:r w:rsidRPr="00E877AA">
        <w:rPr>
          <w:rFonts w:cs="Arial"/>
          <w:b/>
          <w:szCs w:val="22"/>
        </w:rPr>
        <w:t>investičních služeb</w:t>
      </w:r>
      <w:r w:rsidR="003A4EFD" w:rsidRPr="00E877AA">
        <w:rPr>
          <w:rFonts w:cs="Arial"/>
          <w:szCs w:val="22"/>
        </w:rPr>
        <w:t xml:space="preserve"> mezi spotřebitelem a </w:t>
      </w:r>
      <w:r w:rsidR="00293411" w:rsidRPr="00E877AA">
        <w:rPr>
          <w:rFonts w:cs="Arial"/>
          <w:szCs w:val="22"/>
        </w:rPr>
        <w:t xml:space="preserve">osobou poskytující investiční služby, tedy např. </w:t>
      </w:r>
      <w:r w:rsidR="003A4EFD" w:rsidRPr="00E877AA">
        <w:rPr>
          <w:rFonts w:cs="Arial"/>
          <w:szCs w:val="22"/>
        </w:rPr>
        <w:t>obchodníkem s cennými papíry, investičním zprostředkovatelem</w:t>
      </w:r>
      <w:r w:rsidR="00293411" w:rsidRPr="00E877AA">
        <w:rPr>
          <w:rFonts w:cs="Arial"/>
          <w:szCs w:val="22"/>
        </w:rPr>
        <w:t>,</w:t>
      </w:r>
      <w:r w:rsidR="003A4EFD" w:rsidRPr="00E877AA">
        <w:rPr>
          <w:rFonts w:cs="Arial"/>
          <w:szCs w:val="22"/>
        </w:rPr>
        <w:t xml:space="preserve"> vázaným zástupcem</w:t>
      </w:r>
      <w:r w:rsidR="005F014E" w:rsidRPr="00E877AA">
        <w:rPr>
          <w:rFonts w:cs="Arial"/>
          <w:szCs w:val="22"/>
        </w:rPr>
        <w:t>,</w:t>
      </w:r>
      <w:r w:rsidR="003A4EFD" w:rsidRPr="00E877AA">
        <w:rPr>
          <w:rFonts w:cs="Arial"/>
          <w:szCs w:val="22"/>
        </w:rPr>
        <w:t xml:space="preserve"> </w:t>
      </w:r>
      <w:r w:rsidR="00767C84" w:rsidRPr="00E877AA">
        <w:rPr>
          <w:rFonts w:cs="Arial"/>
          <w:szCs w:val="22"/>
        </w:rPr>
        <w:t>zahraniční osobou, která má povolení orgánu dohledu jiného členského státu Evropské unie</w:t>
      </w:r>
      <w:r w:rsidR="00293411" w:rsidRPr="00E877AA">
        <w:rPr>
          <w:rFonts w:cs="Arial"/>
          <w:szCs w:val="22"/>
        </w:rPr>
        <w:t xml:space="preserve"> </w:t>
      </w:r>
      <w:r w:rsidR="00FB06BB" w:rsidRPr="00E877AA">
        <w:rPr>
          <w:rFonts w:cs="Arial"/>
          <w:szCs w:val="22"/>
        </w:rPr>
        <w:t xml:space="preserve">mimo jiné </w:t>
      </w:r>
      <w:r w:rsidR="003A4EFD" w:rsidRPr="00E877AA">
        <w:rPr>
          <w:rFonts w:cs="Arial"/>
          <w:szCs w:val="22"/>
        </w:rPr>
        <w:t>o:</w:t>
      </w:r>
    </w:p>
    <w:p w:rsidR="00A156A4" w:rsidRPr="00E877AA" w:rsidRDefault="00A156A4" w:rsidP="00F245A9">
      <w:pPr>
        <w:numPr>
          <w:ilvl w:val="0"/>
          <w:numId w:val="7"/>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řádné provedení pokynu k nákupu / prodeji investičního nástroje,</w:t>
      </w:r>
    </w:p>
    <w:p w:rsidR="00A156A4" w:rsidRPr="00E877AA" w:rsidRDefault="00A156A4" w:rsidP="00F245A9">
      <w:pPr>
        <w:numPr>
          <w:ilvl w:val="0"/>
          <w:numId w:val="7"/>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náhradu škody způsoben</w:t>
      </w:r>
      <w:r w:rsidR="009E5B24" w:rsidRPr="00E877AA">
        <w:rPr>
          <w:rFonts w:ascii="Arial" w:eastAsia="Times New Roman" w:hAnsi="Arial" w:cs="Arial"/>
          <w:lang w:eastAsia="cs-CZ"/>
        </w:rPr>
        <w:t>ou</w:t>
      </w:r>
      <w:r w:rsidRPr="00E877AA">
        <w:rPr>
          <w:rFonts w:ascii="Arial" w:eastAsia="Times New Roman" w:hAnsi="Arial" w:cs="Arial"/>
          <w:lang w:eastAsia="cs-CZ"/>
        </w:rPr>
        <w:t xml:space="preserve"> obchodníkem s cennými papíry nebo investičním zprostředkovatelem při poskytování investičního poradenství,</w:t>
      </w:r>
    </w:p>
    <w:p w:rsidR="00A156A4" w:rsidRPr="00E877AA" w:rsidRDefault="00A156A4" w:rsidP="00F245A9">
      <w:pPr>
        <w:numPr>
          <w:ilvl w:val="0"/>
          <w:numId w:val="7"/>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poplatek účtovaný v souvislosti s nákupem / prodejem investičního nástroje,</w:t>
      </w:r>
    </w:p>
    <w:p w:rsidR="00A156A4" w:rsidRPr="00E877AA" w:rsidRDefault="00A156A4" w:rsidP="00F245A9">
      <w:pPr>
        <w:numPr>
          <w:ilvl w:val="0"/>
          <w:numId w:val="7"/>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platnost nebo ukončení smlouvy o poskytování investiční služby.</w:t>
      </w:r>
    </w:p>
    <w:p w:rsidR="00A156A4" w:rsidRPr="00E877AA" w:rsidRDefault="00A156A4" w:rsidP="00166E77">
      <w:pPr>
        <w:pStyle w:val="Bnuvozovacodstavec"/>
        <w:rPr>
          <w:rFonts w:cs="Arial"/>
          <w:szCs w:val="22"/>
        </w:rPr>
      </w:pPr>
      <w:r w:rsidRPr="00E877AA">
        <w:rPr>
          <w:rFonts w:cs="Arial"/>
          <w:szCs w:val="22"/>
        </w:rPr>
        <w:t xml:space="preserve">Finanční arbitr může rozhodovat spory </w:t>
      </w:r>
      <w:r w:rsidRPr="00E877AA">
        <w:rPr>
          <w:rFonts w:cs="Arial"/>
          <w:b/>
          <w:szCs w:val="22"/>
        </w:rPr>
        <w:t>ze směnárenské činnosti</w:t>
      </w:r>
      <w:r w:rsidR="002A56AD" w:rsidRPr="00E877AA">
        <w:rPr>
          <w:rFonts w:cs="Arial"/>
          <w:szCs w:val="22"/>
        </w:rPr>
        <w:t xml:space="preserve"> o</w:t>
      </w:r>
      <w:r w:rsidRPr="00E877AA">
        <w:rPr>
          <w:rFonts w:cs="Arial"/>
          <w:szCs w:val="22"/>
        </w:rPr>
        <w:t>:</w:t>
      </w:r>
    </w:p>
    <w:p w:rsidR="004905A0" w:rsidRDefault="004905A0" w:rsidP="004905A0">
      <w:pPr>
        <w:spacing w:after="0"/>
        <w:ind w:left="567"/>
        <w:jc w:val="both"/>
        <w:rPr>
          <w:rFonts w:ascii="Arial" w:eastAsia="Times New Roman" w:hAnsi="Arial" w:cs="Arial"/>
          <w:lang w:eastAsia="cs-CZ"/>
        </w:rPr>
      </w:pPr>
    </w:p>
    <w:p w:rsidR="00A156A4" w:rsidRPr="00E877AA" w:rsidRDefault="00A156A4" w:rsidP="00F245A9">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výši poplatku za provedení směnárenského obchodu,</w:t>
      </w:r>
    </w:p>
    <w:p w:rsidR="00A156A4" w:rsidRPr="00E877AA" w:rsidRDefault="00A156A4" w:rsidP="00F245A9">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platnost</w:t>
      </w:r>
      <w:r w:rsidR="002A56AD" w:rsidRPr="00E877AA">
        <w:rPr>
          <w:rFonts w:ascii="Arial" w:eastAsia="Times New Roman" w:hAnsi="Arial" w:cs="Arial"/>
          <w:lang w:eastAsia="cs-CZ"/>
        </w:rPr>
        <w:t>i</w:t>
      </w:r>
      <w:r w:rsidRPr="00E877AA">
        <w:rPr>
          <w:rFonts w:ascii="Arial" w:eastAsia="Times New Roman" w:hAnsi="Arial" w:cs="Arial"/>
          <w:lang w:eastAsia="cs-CZ"/>
        </w:rPr>
        <w:t xml:space="preserve"> směnárenského obchodu,</w:t>
      </w:r>
    </w:p>
    <w:p w:rsidR="00A156A4" w:rsidRPr="00E877AA" w:rsidRDefault="00A156A4" w:rsidP="00F245A9">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výši směnného kurzu</w:t>
      </w:r>
      <w:r w:rsidR="00592B77" w:rsidRPr="00E877AA">
        <w:rPr>
          <w:rFonts w:ascii="Arial" w:eastAsia="Times New Roman" w:hAnsi="Arial" w:cs="Arial"/>
          <w:lang w:eastAsia="cs-CZ"/>
        </w:rPr>
        <w:t>,</w:t>
      </w:r>
    </w:p>
    <w:p w:rsidR="00A156A4" w:rsidRPr="00E877AA" w:rsidRDefault="00A156A4" w:rsidP="00F245A9">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náhrad</w:t>
      </w:r>
      <w:r w:rsidR="002A56AD" w:rsidRPr="00E877AA">
        <w:rPr>
          <w:rFonts w:ascii="Arial" w:eastAsia="Times New Roman" w:hAnsi="Arial" w:cs="Arial"/>
          <w:lang w:eastAsia="cs-CZ"/>
        </w:rPr>
        <w:t>ě</w:t>
      </w:r>
      <w:r w:rsidRPr="00E877AA">
        <w:rPr>
          <w:rFonts w:ascii="Arial" w:eastAsia="Times New Roman" w:hAnsi="Arial" w:cs="Arial"/>
          <w:lang w:eastAsia="cs-CZ"/>
        </w:rPr>
        <w:t xml:space="preserve"> škody způsobenou </w:t>
      </w:r>
      <w:r w:rsidR="002A56AD" w:rsidRPr="00E877AA">
        <w:rPr>
          <w:rFonts w:ascii="Arial" w:eastAsia="Times New Roman" w:hAnsi="Arial" w:cs="Arial"/>
          <w:lang w:eastAsia="cs-CZ"/>
        </w:rPr>
        <w:t xml:space="preserve">směnárníkem </w:t>
      </w:r>
      <w:r w:rsidRPr="00E877AA">
        <w:rPr>
          <w:rFonts w:ascii="Arial" w:eastAsia="Times New Roman" w:hAnsi="Arial" w:cs="Arial"/>
          <w:lang w:eastAsia="cs-CZ"/>
        </w:rPr>
        <w:t>v souvislosti s porušením předsmluvní informační povinnosti při provádění směnárenského obchodu.</w:t>
      </w:r>
    </w:p>
    <w:p w:rsidR="00A156A4" w:rsidRPr="00E877AA" w:rsidRDefault="00A156A4" w:rsidP="00166E77">
      <w:pPr>
        <w:pStyle w:val="Bnuvozovacodstavec"/>
        <w:rPr>
          <w:rFonts w:cs="Arial"/>
          <w:szCs w:val="22"/>
        </w:rPr>
      </w:pPr>
      <w:r w:rsidRPr="00E877AA">
        <w:rPr>
          <w:rFonts w:cs="Arial"/>
          <w:szCs w:val="22"/>
        </w:rPr>
        <w:t xml:space="preserve">Finanční arbitr je příslušný rozhodovat spory </w:t>
      </w:r>
      <w:r w:rsidRPr="00E877AA">
        <w:rPr>
          <w:rFonts w:cs="Arial"/>
          <w:b/>
          <w:szCs w:val="22"/>
        </w:rPr>
        <w:t>ze životního pojištění</w:t>
      </w:r>
      <w:r w:rsidR="00052430" w:rsidRPr="00E877AA">
        <w:rPr>
          <w:rFonts w:cs="Arial"/>
          <w:szCs w:val="22"/>
        </w:rPr>
        <w:t xml:space="preserve"> </w:t>
      </w:r>
      <w:r w:rsidR="003A4EFD" w:rsidRPr="00E877AA">
        <w:rPr>
          <w:rFonts w:cs="Arial"/>
          <w:szCs w:val="22"/>
        </w:rPr>
        <w:t xml:space="preserve">mezi spotřebitelem a pojišťovnou nebo pojišťovacím zprostředkovatelem </w:t>
      </w:r>
      <w:r w:rsidR="00FB06BB" w:rsidRPr="00E877AA">
        <w:rPr>
          <w:rFonts w:cs="Arial"/>
          <w:szCs w:val="22"/>
        </w:rPr>
        <w:t xml:space="preserve">mimo jiné </w:t>
      </w:r>
      <w:r w:rsidR="00052430" w:rsidRPr="00E877AA">
        <w:rPr>
          <w:rFonts w:cs="Arial"/>
          <w:szCs w:val="22"/>
        </w:rPr>
        <w:t>o:</w:t>
      </w:r>
    </w:p>
    <w:p w:rsidR="004905A0" w:rsidRDefault="004905A0" w:rsidP="004905A0">
      <w:pPr>
        <w:spacing w:after="0"/>
        <w:ind w:left="567"/>
        <w:jc w:val="both"/>
        <w:rPr>
          <w:rFonts w:ascii="Arial" w:eastAsia="Times New Roman" w:hAnsi="Arial" w:cs="Arial"/>
          <w:lang w:eastAsia="cs-CZ"/>
        </w:rPr>
      </w:pPr>
    </w:p>
    <w:p w:rsidR="00052430" w:rsidRPr="00E877AA" w:rsidRDefault="00052430" w:rsidP="00F245A9">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platnost</w:t>
      </w:r>
      <w:r w:rsidR="0068705A" w:rsidRPr="00E877AA">
        <w:rPr>
          <w:rFonts w:ascii="Arial" w:eastAsia="Times New Roman" w:hAnsi="Arial" w:cs="Arial"/>
          <w:lang w:eastAsia="cs-CZ"/>
        </w:rPr>
        <w:t>i</w:t>
      </w:r>
      <w:r w:rsidRPr="00E877AA">
        <w:rPr>
          <w:rFonts w:ascii="Arial" w:eastAsia="Times New Roman" w:hAnsi="Arial" w:cs="Arial"/>
          <w:lang w:eastAsia="cs-CZ"/>
        </w:rPr>
        <w:t xml:space="preserve"> pojistné smlouvy nebo jejího ujednání,</w:t>
      </w:r>
    </w:p>
    <w:p w:rsidR="0068705A" w:rsidRPr="00E877AA" w:rsidRDefault="0068705A" w:rsidP="00F245A9">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výši pojistného plnění,</w:t>
      </w:r>
    </w:p>
    <w:p w:rsidR="00052430" w:rsidRPr="00E877AA" w:rsidRDefault="00052430" w:rsidP="00F245A9">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výši odkupného,</w:t>
      </w:r>
    </w:p>
    <w:p w:rsidR="00A156A4" w:rsidRPr="00E877AA" w:rsidRDefault="00A156A4" w:rsidP="00F245A9">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náhradu škody způsobenou porušením povinností při sjednávání pojistné smlouvy</w:t>
      </w:r>
      <w:r w:rsidR="009449F6" w:rsidRPr="00E877AA">
        <w:rPr>
          <w:rFonts w:ascii="Arial" w:eastAsia="Times New Roman" w:hAnsi="Arial" w:cs="Arial"/>
          <w:lang w:eastAsia="cs-CZ"/>
        </w:rPr>
        <w:t>.</w:t>
      </w:r>
    </w:p>
    <w:p w:rsidR="00A156A4" w:rsidRPr="00E877AA" w:rsidRDefault="00A156A4" w:rsidP="00166E77">
      <w:pPr>
        <w:pStyle w:val="Bnuvozovacodstavec"/>
        <w:rPr>
          <w:rFonts w:cs="Arial"/>
          <w:szCs w:val="22"/>
        </w:rPr>
      </w:pPr>
      <w:r w:rsidRPr="00E877AA">
        <w:rPr>
          <w:rFonts w:cs="Arial"/>
          <w:szCs w:val="22"/>
        </w:rPr>
        <w:t xml:space="preserve">Finanční arbitr může rozhodovat spory nejen z již uzavřené </w:t>
      </w:r>
      <w:r w:rsidRPr="00E877AA">
        <w:rPr>
          <w:rFonts w:cs="Arial"/>
          <w:b/>
          <w:szCs w:val="22"/>
        </w:rPr>
        <w:t>smlouvy o stavebním spoření</w:t>
      </w:r>
      <w:r w:rsidRPr="00E877AA">
        <w:rPr>
          <w:rFonts w:cs="Arial"/>
          <w:szCs w:val="22"/>
        </w:rPr>
        <w:t xml:space="preserve">, ale také spory, které vzniknou v předsmluvní fázi nebo při zprostředkování stavebního spoření, </w:t>
      </w:r>
      <w:r w:rsidR="00FB06BB" w:rsidRPr="00E877AA">
        <w:rPr>
          <w:rFonts w:cs="Arial"/>
          <w:szCs w:val="22"/>
        </w:rPr>
        <w:t xml:space="preserve">například </w:t>
      </w:r>
      <w:r w:rsidR="00052430" w:rsidRPr="00E877AA">
        <w:rPr>
          <w:rFonts w:cs="Arial"/>
          <w:szCs w:val="22"/>
        </w:rPr>
        <w:t>o</w:t>
      </w:r>
      <w:r w:rsidRPr="00E877AA">
        <w:rPr>
          <w:rFonts w:cs="Arial"/>
          <w:szCs w:val="22"/>
        </w:rPr>
        <w:t>:</w:t>
      </w:r>
    </w:p>
    <w:p w:rsidR="004905A0" w:rsidRDefault="004905A0" w:rsidP="004905A0">
      <w:pPr>
        <w:spacing w:after="0"/>
        <w:ind w:left="567"/>
        <w:jc w:val="both"/>
        <w:rPr>
          <w:rFonts w:ascii="Arial" w:eastAsia="Times New Roman" w:hAnsi="Arial" w:cs="Arial"/>
          <w:lang w:eastAsia="cs-CZ"/>
        </w:rPr>
      </w:pPr>
    </w:p>
    <w:p w:rsidR="00A156A4" w:rsidRPr="00E877AA" w:rsidRDefault="00A156A4" w:rsidP="00F245A9">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platnost</w:t>
      </w:r>
      <w:r w:rsidR="0068705A" w:rsidRPr="00E877AA">
        <w:rPr>
          <w:rFonts w:ascii="Arial" w:eastAsia="Times New Roman" w:hAnsi="Arial" w:cs="Arial"/>
          <w:lang w:eastAsia="cs-CZ"/>
        </w:rPr>
        <w:t>i</w:t>
      </w:r>
      <w:r w:rsidRPr="00E877AA">
        <w:rPr>
          <w:rFonts w:ascii="Arial" w:eastAsia="Times New Roman" w:hAnsi="Arial" w:cs="Arial"/>
          <w:lang w:eastAsia="cs-CZ"/>
        </w:rPr>
        <w:t xml:space="preserve"> smlouvy o stavebním spoření nebo smluvního ujednání,</w:t>
      </w:r>
    </w:p>
    <w:p w:rsidR="00A156A4" w:rsidRPr="00E877AA" w:rsidRDefault="00A156A4" w:rsidP="00F245A9">
      <w:pPr>
        <w:numPr>
          <w:ilvl w:val="0"/>
          <w:numId w:val="9"/>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platnost</w:t>
      </w:r>
      <w:r w:rsidR="0068705A" w:rsidRPr="00E877AA">
        <w:rPr>
          <w:rFonts w:ascii="Arial" w:eastAsia="Times New Roman" w:hAnsi="Arial" w:cs="Arial"/>
          <w:lang w:eastAsia="cs-CZ"/>
        </w:rPr>
        <w:t>i</w:t>
      </w:r>
      <w:r w:rsidRPr="00E877AA">
        <w:rPr>
          <w:rFonts w:ascii="Arial" w:eastAsia="Times New Roman" w:hAnsi="Arial" w:cs="Arial"/>
          <w:lang w:eastAsia="cs-CZ"/>
        </w:rPr>
        <w:t xml:space="preserve"> výpovědi nebo o ukončení smlouvy o stavebním spoření,</w:t>
      </w:r>
    </w:p>
    <w:p w:rsidR="00A156A4" w:rsidRPr="00E877AA" w:rsidRDefault="00A156A4" w:rsidP="00F245A9">
      <w:pPr>
        <w:numPr>
          <w:ilvl w:val="0"/>
          <w:numId w:val="9"/>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platnost</w:t>
      </w:r>
      <w:r w:rsidR="0068705A" w:rsidRPr="00E877AA">
        <w:rPr>
          <w:rFonts w:ascii="Arial" w:eastAsia="Times New Roman" w:hAnsi="Arial" w:cs="Arial"/>
          <w:lang w:eastAsia="cs-CZ"/>
        </w:rPr>
        <w:t>i</w:t>
      </w:r>
      <w:r w:rsidRPr="00E877AA">
        <w:rPr>
          <w:rFonts w:ascii="Arial" w:eastAsia="Times New Roman" w:hAnsi="Arial" w:cs="Arial"/>
          <w:lang w:eastAsia="cs-CZ"/>
        </w:rPr>
        <w:t xml:space="preserve"> jednostranné změny smlouvy o stavebním spoření (spočívající např. ve snížení úrokové sazby, kterou se úročí peněžní prostředky na účtu stavebního spoření nebo ve zvýšení poplatku za vedení účtu stavebního spoření),</w:t>
      </w:r>
    </w:p>
    <w:p w:rsidR="00A156A4" w:rsidRPr="00E877AA" w:rsidRDefault="00A156A4" w:rsidP="00F245A9">
      <w:pPr>
        <w:numPr>
          <w:ilvl w:val="0"/>
          <w:numId w:val="9"/>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výši poplatku účtovaného stavební spořitelnou k tíži účtu stavebního spoření,</w:t>
      </w:r>
    </w:p>
    <w:p w:rsidR="00A156A4" w:rsidRPr="00E877AA" w:rsidRDefault="00A156A4" w:rsidP="00F245A9">
      <w:pPr>
        <w:numPr>
          <w:ilvl w:val="0"/>
          <w:numId w:val="9"/>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výši vyplacené státní podpory,</w:t>
      </w:r>
    </w:p>
    <w:p w:rsidR="00A156A4" w:rsidRPr="00E877AA" w:rsidRDefault="00A156A4" w:rsidP="00F245A9">
      <w:pPr>
        <w:numPr>
          <w:ilvl w:val="0"/>
          <w:numId w:val="9"/>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náhrad</w:t>
      </w:r>
      <w:r w:rsidR="0068705A" w:rsidRPr="00E877AA">
        <w:rPr>
          <w:rFonts w:ascii="Arial" w:eastAsia="Times New Roman" w:hAnsi="Arial" w:cs="Arial"/>
          <w:lang w:eastAsia="cs-CZ"/>
        </w:rPr>
        <w:t>ě</w:t>
      </w:r>
      <w:r w:rsidRPr="00E877AA">
        <w:rPr>
          <w:rFonts w:ascii="Arial" w:eastAsia="Times New Roman" w:hAnsi="Arial" w:cs="Arial"/>
          <w:lang w:eastAsia="cs-CZ"/>
        </w:rPr>
        <w:t xml:space="preserve"> škody za porušení povinností v souvislosti se zprostředkováním stavebního spoření.</w:t>
      </w:r>
    </w:p>
    <w:p w:rsidR="00A156A4" w:rsidRPr="00E877AA" w:rsidRDefault="00A156A4" w:rsidP="00166E77">
      <w:pPr>
        <w:pStyle w:val="Bnuvozovacodstavec"/>
        <w:rPr>
          <w:rFonts w:cs="Arial"/>
          <w:szCs w:val="22"/>
        </w:rPr>
      </w:pPr>
      <w:r w:rsidRPr="00E877AA">
        <w:rPr>
          <w:rFonts w:cs="Arial"/>
          <w:szCs w:val="22"/>
        </w:rPr>
        <w:lastRenderedPageBreak/>
        <w:t xml:space="preserve">Některé spory však nenáleží do působnosti finančního arbitra, </w:t>
      </w:r>
      <w:r w:rsidR="0068705A" w:rsidRPr="00E877AA">
        <w:rPr>
          <w:rFonts w:cs="Arial"/>
          <w:szCs w:val="22"/>
        </w:rPr>
        <w:t>proto</w:t>
      </w:r>
      <w:r w:rsidRPr="00E877AA">
        <w:rPr>
          <w:rFonts w:cs="Arial"/>
          <w:szCs w:val="22"/>
        </w:rPr>
        <w:t>že se netýkají žádné z oblastí vyjmenovaných zákonem o finančním arbitrovi, ale přesto o ně má veřejnost zájem a na finančního arbitra se obrací. Jedná se především o spory</w:t>
      </w:r>
      <w:r w:rsidR="008472D8" w:rsidRPr="00E877AA">
        <w:rPr>
          <w:rFonts w:cs="Arial"/>
          <w:szCs w:val="22"/>
        </w:rPr>
        <w:t>:</w:t>
      </w:r>
    </w:p>
    <w:p w:rsidR="004905A0" w:rsidRDefault="004905A0" w:rsidP="004905A0">
      <w:pPr>
        <w:spacing w:after="0"/>
        <w:ind w:left="567"/>
        <w:jc w:val="both"/>
        <w:rPr>
          <w:rFonts w:ascii="Arial" w:eastAsia="Times New Roman" w:hAnsi="Arial" w:cs="Arial"/>
          <w:lang w:eastAsia="cs-CZ"/>
        </w:rPr>
      </w:pPr>
    </w:p>
    <w:p w:rsidR="00EC38BF" w:rsidRPr="00E877AA" w:rsidRDefault="00EC38BF" w:rsidP="00F245A9">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lang w:eastAsia="cs-CZ"/>
        </w:rPr>
        <w:t xml:space="preserve">mezi </w:t>
      </w:r>
      <w:r w:rsidRPr="00E877AA">
        <w:rPr>
          <w:rFonts w:ascii="Arial" w:eastAsia="Times New Roman" w:hAnsi="Arial" w:cs="Arial"/>
          <w:b/>
          <w:lang w:eastAsia="cs-CZ"/>
        </w:rPr>
        <w:t>držiteli dluhopisů a jejich emitenty</w:t>
      </w:r>
      <w:r w:rsidRPr="00E877AA">
        <w:rPr>
          <w:rFonts w:ascii="Arial" w:eastAsia="Times New Roman" w:hAnsi="Arial" w:cs="Arial"/>
          <w:lang w:eastAsia="cs-CZ"/>
        </w:rPr>
        <w:t xml:space="preserve">, </w:t>
      </w:r>
    </w:p>
    <w:p w:rsidR="00A156A4" w:rsidRPr="00E877AA" w:rsidRDefault="00A156A4" w:rsidP="0005133A">
      <w:pPr>
        <w:numPr>
          <w:ilvl w:val="0"/>
          <w:numId w:val="8"/>
        </w:numPr>
        <w:tabs>
          <w:tab w:val="clear" w:pos="720"/>
        </w:tabs>
        <w:spacing w:after="0"/>
        <w:ind w:left="567" w:hanging="567"/>
        <w:jc w:val="both"/>
        <w:rPr>
          <w:rFonts w:ascii="Arial" w:eastAsia="Times New Roman" w:hAnsi="Arial" w:cs="Arial"/>
          <w:lang w:eastAsia="cs-CZ"/>
        </w:rPr>
      </w:pPr>
      <w:r w:rsidRPr="00E877AA">
        <w:rPr>
          <w:rFonts w:ascii="Arial" w:eastAsia="Times New Roman" w:hAnsi="Arial" w:cs="Arial"/>
          <w:b/>
          <w:lang w:eastAsia="cs-CZ"/>
        </w:rPr>
        <w:t>z neživotního pojištění</w:t>
      </w:r>
      <w:r w:rsidRPr="00E877AA">
        <w:rPr>
          <w:rFonts w:ascii="Arial" w:eastAsia="Times New Roman" w:hAnsi="Arial" w:cs="Arial"/>
          <w:lang w:eastAsia="cs-CZ"/>
        </w:rPr>
        <w:t xml:space="preserve"> (pojištění nemovitosti, havarijní pojištění, povinné ručené, úrazové pojištění</w:t>
      </w:r>
      <w:r w:rsidR="009449F6" w:rsidRPr="00E877AA">
        <w:rPr>
          <w:rFonts w:ascii="Arial" w:eastAsia="Times New Roman" w:hAnsi="Arial" w:cs="Arial"/>
          <w:lang w:eastAsia="cs-CZ"/>
        </w:rPr>
        <w:t>, pojištění pracovní neschopnosti</w:t>
      </w:r>
      <w:r w:rsidRPr="00E877AA">
        <w:rPr>
          <w:rFonts w:ascii="Arial" w:eastAsia="Times New Roman" w:hAnsi="Arial" w:cs="Arial"/>
          <w:lang w:eastAsia="cs-CZ"/>
        </w:rPr>
        <w:t xml:space="preserve"> aj.)</w:t>
      </w:r>
      <w:r w:rsidR="00266015" w:rsidRPr="00E877AA">
        <w:rPr>
          <w:rFonts w:ascii="Arial" w:eastAsia="Times New Roman" w:hAnsi="Arial" w:cs="Arial"/>
          <w:lang w:eastAsia="cs-CZ"/>
        </w:rPr>
        <w:t>, a to ani tehdy, pokud bylo sjednáno jako doplňkové pojištění k životnímu pojištění</w:t>
      </w:r>
      <w:r w:rsidRPr="00E877AA">
        <w:rPr>
          <w:rFonts w:ascii="Arial" w:eastAsia="Times New Roman" w:hAnsi="Arial" w:cs="Arial"/>
          <w:lang w:eastAsia="cs-CZ"/>
        </w:rPr>
        <w:t>,</w:t>
      </w:r>
    </w:p>
    <w:p w:rsidR="00A156A4" w:rsidRPr="00E877AA" w:rsidRDefault="00A156A4" w:rsidP="0005133A">
      <w:pPr>
        <w:pStyle w:val="Normlnweb"/>
        <w:numPr>
          <w:ilvl w:val="0"/>
          <w:numId w:val="9"/>
        </w:numPr>
        <w:tabs>
          <w:tab w:val="clear" w:pos="720"/>
        </w:tabs>
        <w:spacing w:before="0" w:beforeAutospacing="0" w:after="0" w:afterAutospacing="0"/>
        <w:ind w:left="567" w:hanging="567"/>
        <w:jc w:val="both"/>
        <w:rPr>
          <w:rFonts w:ascii="Arial" w:hAnsi="Arial" w:cs="Arial"/>
          <w:sz w:val="22"/>
          <w:szCs w:val="22"/>
        </w:rPr>
      </w:pPr>
      <w:r w:rsidRPr="00E877AA">
        <w:rPr>
          <w:rFonts w:ascii="Arial" w:hAnsi="Arial" w:cs="Arial"/>
          <w:b/>
          <w:sz w:val="22"/>
          <w:szCs w:val="22"/>
        </w:rPr>
        <w:t>z penzijního připojištění nebo doplňkového penzijního spoření</w:t>
      </w:r>
      <w:r w:rsidRPr="00E877AA">
        <w:rPr>
          <w:rFonts w:ascii="Arial" w:hAnsi="Arial" w:cs="Arial"/>
          <w:sz w:val="22"/>
          <w:szCs w:val="22"/>
        </w:rPr>
        <w:t>,</w:t>
      </w:r>
    </w:p>
    <w:p w:rsidR="00A156A4" w:rsidRPr="00E877AA" w:rsidRDefault="00A156A4" w:rsidP="0005133A">
      <w:pPr>
        <w:pStyle w:val="Normlnweb"/>
        <w:numPr>
          <w:ilvl w:val="0"/>
          <w:numId w:val="9"/>
        </w:numPr>
        <w:tabs>
          <w:tab w:val="clear" w:pos="720"/>
        </w:tabs>
        <w:spacing w:before="0" w:beforeAutospacing="0" w:after="0" w:afterAutospacing="0"/>
        <w:ind w:left="567" w:hanging="567"/>
        <w:jc w:val="both"/>
        <w:rPr>
          <w:rFonts w:ascii="Arial" w:hAnsi="Arial" w:cs="Arial"/>
          <w:sz w:val="22"/>
          <w:szCs w:val="22"/>
        </w:rPr>
      </w:pPr>
      <w:r w:rsidRPr="00E877AA">
        <w:rPr>
          <w:rFonts w:ascii="Arial" w:hAnsi="Arial" w:cs="Arial"/>
          <w:sz w:val="22"/>
          <w:szCs w:val="22"/>
        </w:rPr>
        <w:t>o ochranu osobních údajů</w:t>
      </w:r>
      <w:r w:rsidR="00592B77" w:rsidRPr="00E877AA">
        <w:rPr>
          <w:rFonts w:ascii="Arial" w:hAnsi="Arial" w:cs="Arial"/>
          <w:sz w:val="22"/>
          <w:szCs w:val="22"/>
        </w:rPr>
        <w:t xml:space="preserve"> nepřímo související s finančními službami</w:t>
      </w:r>
      <w:r w:rsidRPr="00E877AA">
        <w:rPr>
          <w:rFonts w:ascii="Arial" w:hAnsi="Arial" w:cs="Arial"/>
          <w:sz w:val="22"/>
          <w:szCs w:val="22"/>
        </w:rPr>
        <w:t>.</w:t>
      </w:r>
    </w:p>
    <w:p w:rsidR="00A156A4" w:rsidRPr="00E877AA" w:rsidRDefault="00A156A4" w:rsidP="0005133A">
      <w:pPr>
        <w:pStyle w:val="Bnuvozovacodstavec"/>
        <w:rPr>
          <w:rFonts w:cs="Arial"/>
          <w:szCs w:val="22"/>
        </w:rPr>
      </w:pPr>
      <w:r w:rsidRPr="00E877AA">
        <w:rPr>
          <w:rFonts w:cs="Arial"/>
          <w:szCs w:val="22"/>
        </w:rPr>
        <w:t xml:space="preserve">Finanční arbitr </w:t>
      </w:r>
      <w:r w:rsidR="009449F6" w:rsidRPr="00E877AA">
        <w:rPr>
          <w:rFonts w:cs="Arial"/>
          <w:szCs w:val="22"/>
        </w:rPr>
        <w:t xml:space="preserve">současně </w:t>
      </w:r>
      <w:r w:rsidRPr="00E877AA">
        <w:rPr>
          <w:rFonts w:cs="Arial"/>
          <w:szCs w:val="22"/>
        </w:rPr>
        <w:t xml:space="preserve">nemůže rozhodnout </w:t>
      </w:r>
      <w:r w:rsidR="009449F6" w:rsidRPr="00E877AA">
        <w:rPr>
          <w:rFonts w:cs="Arial"/>
          <w:szCs w:val="22"/>
        </w:rPr>
        <w:t xml:space="preserve">ve sporu </w:t>
      </w:r>
      <w:r w:rsidRPr="00E877AA">
        <w:rPr>
          <w:rFonts w:cs="Arial"/>
          <w:szCs w:val="22"/>
        </w:rPr>
        <w:t>také tehdy, jestliže nastala některá z</w:t>
      </w:r>
      <w:r w:rsidR="0068705A" w:rsidRPr="00E877AA">
        <w:rPr>
          <w:rFonts w:cs="Arial"/>
          <w:szCs w:val="22"/>
        </w:rPr>
        <w:t xml:space="preserve"> dalších </w:t>
      </w:r>
      <w:r w:rsidRPr="00E877AA">
        <w:rPr>
          <w:rFonts w:cs="Arial"/>
          <w:b/>
          <w:szCs w:val="22"/>
        </w:rPr>
        <w:t>zákonných překážek řízení</w:t>
      </w:r>
      <w:r w:rsidRPr="00E877AA">
        <w:rPr>
          <w:rFonts w:cs="Arial"/>
          <w:szCs w:val="22"/>
        </w:rPr>
        <w:t>, tedy:</w:t>
      </w:r>
    </w:p>
    <w:p w:rsidR="004905A0" w:rsidRDefault="004905A0" w:rsidP="0005133A">
      <w:pPr>
        <w:pStyle w:val="Normlnweb"/>
        <w:spacing w:before="0" w:beforeAutospacing="0" w:after="0" w:afterAutospacing="0"/>
        <w:ind w:left="567"/>
        <w:jc w:val="both"/>
        <w:rPr>
          <w:rFonts w:ascii="Arial" w:hAnsi="Arial" w:cs="Arial"/>
          <w:sz w:val="22"/>
          <w:szCs w:val="22"/>
        </w:rPr>
      </w:pPr>
    </w:p>
    <w:p w:rsidR="00A156A4" w:rsidRPr="00E877AA" w:rsidRDefault="00A156A4" w:rsidP="0005133A">
      <w:pPr>
        <w:pStyle w:val="Normlnweb"/>
        <w:numPr>
          <w:ilvl w:val="0"/>
          <w:numId w:val="9"/>
        </w:numPr>
        <w:tabs>
          <w:tab w:val="clear" w:pos="720"/>
        </w:tabs>
        <w:spacing w:before="0" w:beforeAutospacing="0" w:after="0" w:afterAutospacing="0"/>
        <w:ind w:left="567" w:hanging="567"/>
        <w:jc w:val="both"/>
        <w:rPr>
          <w:rFonts w:ascii="Arial" w:hAnsi="Arial" w:cs="Arial"/>
          <w:sz w:val="22"/>
          <w:szCs w:val="22"/>
        </w:rPr>
      </w:pPr>
      <w:r w:rsidRPr="00E877AA">
        <w:rPr>
          <w:rFonts w:ascii="Arial" w:hAnsi="Arial" w:cs="Arial"/>
          <w:sz w:val="22"/>
          <w:szCs w:val="22"/>
        </w:rPr>
        <w:t>ve věci samé již rozhodl soud nebo v téže věci probíhá řízení před soudem,</w:t>
      </w:r>
    </w:p>
    <w:p w:rsidR="00A156A4" w:rsidRPr="00E877AA" w:rsidRDefault="00A156A4" w:rsidP="0005133A">
      <w:pPr>
        <w:pStyle w:val="Normlnweb"/>
        <w:numPr>
          <w:ilvl w:val="0"/>
          <w:numId w:val="9"/>
        </w:numPr>
        <w:tabs>
          <w:tab w:val="clear" w:pos="720"/>
        </w:tabs>
        <w:spacing w:before="0" w:beforeAutospacing="0" w:after="0" w:afterAutospacing="0"/>
        <w:ind w:left="567" w:hanging="567"/>
        <w:jc w:val="both"/>
        <w:rPr>
          <w:rFonts w:ascii="Arial" w:hAnsi="Arial" w:cs="Arial"/>
          <w:sz w:val="22"/>
          <w:szCs w:val="22"/>
        </w:rPr>
      </w:pPr>
      <w:r w:rsidRPr="00E877AA">
        <w:rPr>
          <w:rFonts w:ascii="Arial" w:hAnsi="Arial" w:cs="Arial"/>
          <w:sz w:val="22"/>
          <w:szCs w:val="22"/>
        </w:rPr>
        <w:t>ve věci samé již rozhodl arbitr nebo v téže věci probíhá řízení před arbitrem,</w:t>
      </w:r>
    </w:p>
    <w:p w:rsidR="00A156A4" w:rsidRPr="00E877AA" w:rsidRDefault="00A156A4" w:rsidP="0005133A">
      <w:pPr>
        <w:pStyle w:val="Normlnweb"/>
        <w:numPr>
          <w:ilvl w:val="0"/>
          <w:numId w:val="9"/>
        </w:numPr>
        <w:tabs>
          <w:tab w:val="clear" w:pos="720"/>
        </w:tabs>
        <w:spacing w:before="0" w:beforeAutospacing="0" w:after="0" w:afterAutospacing="0"/>
        <w:ind w:left="567" w:hanging="567"/>
        <w:jc w:val="both"/>
        <w:rPr>
          <w:rFonts w:ascii="Arial" w:hAnsi="Arial" w:cs="Arial"/>
          <w:sz w:val="22"/>
          <w:szCs w:val="22"/>
        </w:rPr>
      </w:pPr>
      <w:r w:rsidRPr="00E877AA">
        <w:rPr>
          <w:rFonts w:ascii="Arial" w:hAnsi="Arial" w:cs="Arial"/>
          <w:sz w:val="22"/>
          <w:szCs w:val="22"/>
        </w:rPr>
        <w:t>ve věci samé již bylo rozhodnuto v rozhodčím řízení nebo v téže věci probíhá rozhodčí řízení.</w:t>
      </w:r>
    </w:p>
    <w:p w:rsidR="00EF61B3" w:rsidRPr="00E877AA" w:rsidRDefault="00EF61B3" w:rsidP="0005133A">
      <w:pPr>
        <w:pStyle w:val="Zkladntext"/>
        <w:spacing w:before="200" w:after="200"/>
        <w:rPr>
          <w:rFonts w:ascii="Arial" w:hAnsi="Arial" w:cs="Arial"/>
          <w:sz w:val="22"/>
          <w:szCs w:val="22"/>
        </w:rPr>
      </w:pPr>
      <w:r w:rsidRPr="00E877AA">
        <w:rPr>
          <w:rFonts w:ascii="Arial" w:hAnsi="Arial" w:cs="Arial"/>
          <w:sz w:val="22"/>
          <w:szCs w:val="22"/>
        </w:rPr>
        <w:t>Finanční arbitr v řízení postupuje podle zákona o finančním arbitrovi, který obsahuje ucelenou základní úpravu zvláštního mimosoudního řízení, a podle zákona č. 500/2004 Sb., správní řád, ve znění pozdějších předpisů, nestanoví-li zákon o finančním arbitrovi jinak, když zákon o finančním arbitrovi například neobsahuje počítání lhůt, postup při seznamování se shromážděnými podklady před vydáním rozhodnutí, při rozhodování o přerušení řízení nebo zastavení řízení ve zvláštních případech a při posuzování opožděného odvolání nebo námitek proti rozhodnutí finančního arbitra.</w:t>
      </w:r>
    </w:p>
    <w:p w:rsidR="009449F6" w:rsidRPr="00E877AA" w:rsidRDefault="009449F6" w:rsidP="00166E77">
      <w:pPr>
        <w:pStyle w:val="Bntextzprvy"/>
        <w:rPr>
          <w:rFonts w:cs="Arial"/>
          <w:szCs w:val="22"/>
        </w:rPr>
      </w:pPr>
      <w:r w:rsidRPr="00E877AA">
        <w:rPr>
          <w:rFonts w:cs="Arial"/>
          <w:szCs w:val="22"/>
        </w:rPr>
        <w:t xml:space="preserve">Řízení před finančním arbitrem </w:t>
      </w:r>
      <w:r w:rsidR="00266015" w:rsidRPr="00E877AA">
        <w:rPr>
          <w:rFonts w:cs="Arial"/>
          <w:szCs w:val="22"/>
        </w:rPr>
        <w:t xml:space="preserve">je </w:t>
      </w:r>
      <w:r w:rsidRPr="00E877AA">
        <w:rPr>
          <w:rFonts w:cs="Arial"/>
          <w:szCs w:val="22"/>
        </w:rPr>
        <w:t xml:space="preserve">vedeno zásadou vyšetřovací. Finanční arbitr je tedy povinen shromáždit všechny relevantní podklady, aby mohl spor rozhodnout </w:t>
      </w:r>
      <w:r w:rsidRPr="00E877AA">
        <w:rPr>
          <w:rFonts w:cs="Arial"/>
          <w:color w:val="000000"/>
          <w:szCs w:val="22"/>
        </w:rPr>
        <w:t xml:space="preserve">podle svého nejlepšího vědomí a svědomí, nestranně, spravedlivě a bez průtahů a pouze na základě skutečností zjištěných v souladu s tímto zákonem a zvláštními předpisy. </w:t>
      </w:r>
      <w:r w:rsidRPr="00E877AA">
        <w:rPr>
          <w:rFonts w:cs="Arial"/>
          <w:szCs w:val="22"/>
        </w:rPr>
        <w:t>Vždy záleží na složitosti projednávaného sporu a součinnosti stran sporu nebo třetích institucí nebo osob.</w:t>
      </w:r>
    </w:p>
    <w:p w:rsidR="00E706FA" w:rsidRPr="00E877AA" w:rsidRDefault="00E706FA" w:rsidP="00E706FA">
      <w:pPr>
        <w:pStyle w:val="Bntextzprvy"/>
        <w:rPr>
          <w:rFonts w:cs="Arial"/>
          <w:szCs w:val="22"/>
        </w:rPr>
      </w:pPr>
      <w:r w:rsidRPr="00E877AA">
        <w:rPr>
          <w:rFonts w:cs="Arial"/>
          <w:szCs w:val="22"/>
        </w:rPr>
        <w:t>Finanční arbitr je povinen rozhodovat podle svého nejlepšího vědomí a svědomí, nestranně, spravedlivě a bez průtahů a pouze na základě skutečností zjištěných v souladu s tímto zákonem a zvláštními předpisy. Finanční arbitr je povinen postupovat tak, aby byl zjištěn skutkový stav věci, o němž nejsou důvodné pochybnosti, a mohlo být vydáno objektivní rozhodnutí ve věci.</w:t>
      </w:r>
    </w:p>
    <w:p w:rsidR="00E706FA" w:rsidRPr="00E877AA" w:rsidRDefault="00E706FA" w:rsidP="00E706FA">
      <w:pPr>
        <w:pStyle w:val="Bntextzprvy"/>
        <w:rPr>
          <w:rFonts w:cs="Arial"/>
          <w:szCs w:val="22"/>
        </w:rPr>
      </w:pPr>
      <w:r w:rsidRPr="00E877AA">
        <w:rPr>
          <w:rFonts w:cs="Arial"/>
          <w:szCs w:val="22"/>
        </w:rPr>
        <w:t>V řízení finanční arbitr proto vždy postupuje tak, že poté, co navrhovatel odstraní vady návrhu, které brání projednání sporu, vyzve finanční arbitr instituci, proti které návrh směřuje, aby se k návrhu vyjádřila a předložila potřebné podklady. Není vyloučeno, aby finanční arbitr v řízení vyzýval navrhovatele i instituci opakovaně k vyjádření nebo k doplnění předložených podkladů, případně aby vyzýval třetí instituce nebo osoby.</w:t>
      </w:r>
    </w:p>
    <w:p w:rsidR="00E706FA" w:rsidRPr="00E877AA" w:rsidRDefault="00E706FA" w:rsidP="00E706FA">
      <w:pPr>
        <w:pStyle w:val="Bntextzprvy"/>
        <w:rPr>
          <w:rFonts w:cs="Arial"/>
          <w:szCs w:val="22"/>
        </w:rPr>
      </w:pPr>
      <w:r w:rsidRPr="00E877AA">
        <w:rPr>
          <w:rFonts w:cs="Arial"/>
          <w:szCs w:val="22"/>
        </w:rPr>
        <w:t>Finanční arbitr podklady průběžně posuzuje a tam, kde je to účelné a nárok spotřebitele oprávněný, projedná věc s navrhovatelem nebo institucí, resp. strany sporu seznámí s předběžným právním posouzením a snaží se strany sporu př</w:t>
      </w:r>
      <w:r w:rsidR="00613FC3" w:rsidRPr="00E877AA">
        <w:rPr>
          <w:rFonts w:cs="Arial"/>
          <w:szCs w:val="22"/>
        </w:rPr>
        <w:t>ivést ke smírnému řešení sporu.</w:t>
      </w:r>
    </w:p>
    <w:p w:rsidR="00E706FA" w:rsidRPr="00E877AA" w:rsidRDefault="00E706FA" w:rsidP="00E706FA">
      <w:pPr>
        <w:pStyle w:val="Bntextzprvy"/>
        <w:rPr>
          <w:rFonts w:cs="Arial"/>
          <w:szCs w:val="22"/>
        </w:rPr>
      </w:pPr>
      <w:r w:rsidRPr="00E877AA">
        <w:rPr>
          <w:rFonts w:cs="Arial"/>
          <w:color w:val="000000"/>
          <w:szCs w:val="22"/>
        </w:rPr>
        <w:t>Nelze-li v řízení smírného řešení dosáhnout, ať už z důvodů na straně navrhovatele nebo instituce, vydá finanční arbitr rozhodnutí ve věci. Vydání rozhodnutí předchází seznámení obou stran sporu se shromážděnými podklady, buď při nahlížení do spisu, nebo zasláním podkladů na vyžádání kterékoli strany sporu poštou, elektronickou poštou, případně datovou schránkou.</w:t>
      </w:r>
    </w:p>
    <w:p w:rsidR="00E706FA" w:rsidRPr="00E877AA" w:rsidRDefault="00E706FA" w:rsidP="00E706FA">
      <w:pPr>
        <w:pStyle w:val="Bntextzprvy"/>
        <w:rPr>
          <w:rFonts w:cs="Arial"/>
          <w:szCs w:val="22"/>
        </w:rPr>
      </w:pPr>
      <w:r w:rsidRPr="00E877AA">
        <w:rPr>
          <w:rFonts w:cs="Arial"/>
          <w:szCs w:val="22"/>
        </w:rPr>
        <w:t>Finanční arbitr ve věci rozhoduje nálezem. Složitost případu je potřeba posuzovat podle předmětu sporu a shromážděných podkladů (zejména smluvní dokumentace) s přihlédnutím k tvrzení jednotlivých stran sporu a jejich průkaznosti.</w:t>
      </w:r>
    </w:p>
    <w:p w:rsidR="00E706FA" w:rsidRPr="00E877AA" w:rsidRDefault="00E706FA" w:rsidP="00E706FA">
      <w:pPr>
        <w:pStyle w:val="Bntextzprvy"/>
        <w:rPr>
          <w:rFonts w:cs="Arial"/>
          <w:szCs w:val="22"/>
        </w:rPr>
      </w:pPr>
      <w:r w:rsidRPr="00E877AA">
        <w:rPr>
          <w:rFonts w:cs="Arial"/>
          <w:szCs w:val="22"/>
        </w:rPr>
        <w:t xml:space="preserve">Finanční arbitr je povinen rozhodnout bez zbytečného odkladu nálezem, nejdéle však do 90 dnů od shromáždění všech podkladů nutných pro rozhodnutí, tedy nikoli od zahájení řízení; nelze-li </w:t>
      </w:r>
      <w:r w:rsidRPr="00E877AA">
        <w:rPr>
          <w:rFonts w:cs="Arial"/>
          <w:szCs w:val="22"/>
        </w:rPr>
        <w:lastRenderedPageBreak/>
        <w:t>ve zvlášť složitých případech vzhledem k povaze věci rozhodnout ani v této lhůtě, lhůta se přiměřeně prodlouží, nejvýše o dalších 90 dnů. Shromažďování podkladů tedy zahrnuje jednak fázi odstraňování nedostatků návrhu na straně navrhovatele, shromažďování podkladů od finanční instituce nebo dožádaných osob, posuzování podkladů s cílem předběžně posoudit případ, sdělení předběžného posouzení případu stranám sporu a poskytování součinnosti při jednání stran sporu o smírném řešení sporu.</w:t>
      </w:r>
    </w:p>
    <w:p w:rsidR="00E706FA" w:rsidRPr="00E877AA" w:rsidRDefault="00E706FA" w:rsidP="00E706FA">
      <w:pPr>
        <w:pStyle w:val="Bntextzprvy"/>
        <w:rPr>
          <w:rFonts w:cs="Arial"/>
          <w:szCs w:val="22"/>
        </w:rPr>
      </w:pPr>
      <w:r w:rsidRPr="00E877AA">
        <w:rPr>
          <w:rFonts w:cs="Arial"/>
          <w:szCs w:val="22"/>
        </w:rPr>
        <w:t>Proti nálezu finančního arbitra může kterákoli strana sporu písemně podat odůvodněné námitky. O námitkách rozhoduje znovu finanční arbitr. Rozhodnutí finančního arbitra o námitkách je konečné, tedy nelze se proti němu odvolat, a rozhodnutí nabývá právní moci.</w:t>
      </w:r>
    </w:p>
    <w:p w:rsidR="00E706FA" w:rsidRPr="00E877AA" w:rsidRDefault="00E706FA" w:rsidP="00E706FA">
      <w:pPr>
        <w:pStyle w:val="Bntextzprvy"/>
        <w:rPr>
          <w:color w:val="000000"/>
          <w:shd w:val="clear" w:color="auto" w:fill="FFFFFF"/>
        </w:rPr>
      </w:pPr>
      <w:r w:rsidRPr="00E877AA">
        <w:rPr>
          <w:rFonts w:cs="Arial"/>
          <w:szCs w:val="22"/>
        </w:rPr>
        <w:t>Pravomocné rozhodnutí finančního arbitra je po uplynutí lhůty pro splnění uložené povinnosti v něm stanovené vykonatelné a má stejné účinky jako rozhodnutí soudu. Nesplní-li instituce dobrovolně povinnost, kterou jí finanční arbitr v rozhodnutí uložil, může navrhovatel podat návrh na výkon rozhodnutí. Proti pravomocnému rozhodnutí finančního arbitra o námitkách může kterákoli strana sporu podat žalobu k věcně a místně příslušnému obecnému soudu o nahrazení rozhodnutí finančního arbitra rozhodnutím soudu podle části páté zákona č. 99/1963 Sb., občanský soudní řád, ve znění pozdějších předpisů. Účastníky řízení před soudem jsou pouze navrhovatel a instituce, kteří nesou náklady soudního řízení tak, jak určí soud.</w:t>
      </w:r>
    </w:p>
    <w:p w:rsidR="00A156A4" w:rsidRPr="00E877AA" w:rsidRDefault="00A156A4" w:rsidP="00166E77">
      <w:pPr>
        <w:pStyle w:val="Nadpis1"/>
        <w:ind w:left="709" w:hanging="709"/>
        <w:jc w:val="both"/>
        <w:rPr>
          <w:rFonts w:ascii="Arial" w:hAnsi="Arial" w:cs="Arial"/>
          <w:szCs w:val="24"/>
        </w:rPr>
      </w:pPr>
      <w:bookmarkStart w:id="3" w:name="_Toc4591459"/>
      <w:r w:rsidRPr="00E877AA">
        <w:rPr>
          <w:rFonts w:ascii="Arial" w:hAnsi="Arial" w:cs="Arial"/>
          <w:szCs w:val="24"/>
        </w:rPr>
        <w:lastRenderedPageBreak/>
        <w:t>FINANČNÍ ARBITR, ZÁSTUPCE FINANČNÍHO ARBITRA - KANCELÁŘ FINANČNÍHO ARBITRA – ORGANIZAČNÍ ZAJIŠTĚNÍ ČINNOSTI FINANČNÍHO ARBITRA</w:t>
      </w:r>
      <w:bookmarkEnd w:id="3"/>
    </w:p>
    <w:p w:rsidR="00A156A4" w:rsidRPr="00E877AA" w:rsidRDefault="00A156A4" w:rsidP="00166E77">
      <w:pPr>
        <w:pStyle w:val="Bntextzprvy"/>
        <w:rPr>
          <w:rFonts w:cs="Arial"/>
          <w:b/>
          <w:i/>
          <w:szCs w:val="22"/>
        </w:rPr>
      </w:pPr>
      <w:r w:rsidRPr="00E877AA">
        <w:rPr>
          <w:rFonts w:cs="Arial"/>
          <w:b/>
          <w:i/>
          <w:szCs w:val="22"/>
        </w:rPr>
        <w:t>Finanční arbitr</w:t>
      </w:r>
    </w:p>
    <w:p w:rsidR="00A156A4" w:rsidRPr="00E877AA" w:rsidRDefault="00A156A4" w:rsidP="00166E77">
      <w:pPr>
        <w:pStyle w:val="Bntextzprvy"/>
        <w:rPr>
          <w:rFonts w:cs="Arial"/>
          <w:szCs w:val="22"/>
        </w:rPr>
      </w:pPr>
      <w:r w:rsidRPr="00E877AA">
        <w:rPr>
          <w:rFonts w:cs="Arial"/>
          <w:szCs w:val="22"/>
        </w:rPr>
        <w:t>S účinností od 1. 7. 2011 jmenuje a odvolává finančního arbitra a jeho zástupce vláda na návrh ministra financí. Finanční arbitr za výkon své funkce odpovídá vládě. Finančním arbitrem a</w:t>
      </w:r>
      <w:r w:rsidR="002940ED" w:rsidRPr="00E877AA">
        <w:rPr>
          <w:rFonts w:cs="Arial"/>
          <w:szCs w:val="22"/>
        </w:rPr>
        <w:t> </w:t>
      </w:r>
      <w:r w:rsidRPr="00E877AA">
        <w:rPr>
          <w:rFonts w:cs="Arial"/>
          <w:szCs w:val="22"/>
        </w:rPr>
        <w:t>zástupcem arbitra mohou být jmenovány pouze osoby, které jsou bezúhonné, plně svéprávné, mají dobrou pověst a jejichž zkušenosti dávají záruku, že budou svou funkci řádně zastávat. Předpokladem pro jmenování arbitrem a zástupcem arbitra je též vysokoškolské vzdělání získané řádným ukončením studia v magisterském studijním programu v oblasti práva na vysoké škole v České republice a prokázání 5 let praxe v oblasti finančního trhu nebo ochrany zájmů spotřebitele na finančním trhu. Pracovní poměr a odměňování finančního arbitra a zástupce finančního arbitra se řídí zákoníkem práce.</w:t>
      </w:r>
    </w:p>
    <w:p w:rsidR="00A156A4" w:rsidRPr="00E877AA" w:rsidRDefault="00A156A4" w:rsidP="00166E77">
      <w:pPr>
        <w:pStyle w:val="Bntextzprvy"/>
        <w:rPr>
          <w:rFonts w:cs="Arial"/>
          <w:szCs w:val="22"/>
        </w:rPr>
      </w:pPr>
      <w:r w:rsidRPr="00E877AA">
        <w:rPr>
          <w:rFonts w:cs="Arial"/>
          <w:szCs w:val="22"/>
        </w:rPr>
        <w:t xml:space="preserve">Dne 27. 7. 2016 jmenovala vláda na druhé funkční období jako finančního arbitra Moniku </w:t>
      </w:r>
      <w:proofErr w:type="spellStart"/>
      <w:r w:rsidRPr="00E877AA">
        <w:rPr>
          <w:rFonts w:cs="Arial"/>
          <w:szCs w:val="22"/>
        </w:rPr>
        <w:t>Nedelkovou</w:t>
      </w:r>
      <w:proofErr w:type="spellEnd"/>
      <w:r w:rsidRPr="00E877AA">
        <w:rPr>
          <w:rFonts w:cs="Arial"/>
          <w:szCs w:val="22"/>
        </w:rPr>
        <w:t>.</w:t>
      </w:r>
    </w:p>
    <w:p w:rsidR="00A156A4" w:rsidRPr="00E877AA" w:rsidRDefault="00A156A4" w:rsidP="00166E77">
      <w:pPr>
        <w:pStyle w:val="Bntextzprvy"/>
        <w:spacing w:before="120" w:after="120"/>
        <w:rPr>
          <w:rFonts w:cs="Arial"/>
          <w:szCs w:val="22"/>
        </w:rPr>
      </w:pPr>
      <w:r w:rsidRPr="00E877AA">
        <w:rPr>
          <w:rFonts w:cs="Arial"/>
          <w:szCs w:val="22"/>
        </w:rPr>
        <w:t>Monika Nedelková vystudovala Právnickou fakultu Univerzity Karlovy v Praze. Od roku 1995 pracuje téměř výhradně ve státní správě se zaměřením na oblast finančního trhu. Začínala jako referent Odboru dozoru nad kapitálovým trhem na Ministerstvu financí. Pracovala jako koncipient v přední české advokátní kanceláři. Na Komisi pro cenné papíry zastávala pozice vedoucí právního oddělení a ředitelky odboru sankčních řízení. Po zrušení Komise pro cenné papíry zastávala funkci ředitelky odboru sankčních řízení v České národní bance. Před jmenováním finančním arbitrem řídila odbor Státní kontrola a dozor na finančním trhu na Ministerstvu financí.</w:t>
      </w:r>
    </w:p>
    <w:p w:rsidR="00A156A4" w:rsidRPr="00E877AA" w:rsidRDefault="00A156A4" w:rsidP="00166E77">
      <w:pPr>
        <w:pStyle w:val="Bntextzprvy"/>
        <w:spacing w:before="120" w:after="120"/>
        <w:rPr>
          <w:rFonts w:cs="Arial"/>
          <w:b/>
          <w:i/>
          <w:szCs w:val="22"/>
        </w:rPr>
      </w:pPr>
      <w:r w:rsidRPr="00E877AA">
        <w:rPr>
          <w:rFonts w:cs="Arial"/>
          <w:b/>
          <w:i/>
          <w:szCs w:val="22"/>
        </w:rPr>
        <w:t>Zástupce finančního arbitra</w:t>
      </w:r>
    </w:p>
    <w:p w:rsidR="00A156A4" w:rsidRPr="00E877AA" w:rsidRDefault="00A156A4" w:rsidP="00166E77">
      <w:pPr>
        <w:pStyle w:val="Bntextzprvy"/>
        <w:spacing w:before="120" w:after="120"/>
        <w:rPr>
          <w:rFonts w:cs="Arial"/>
          <w:szCs w:val="22"/>
        </w:rPr>
      </w:pPr>
      <w:r w:rsidRPr="00E877AA">
        <w:rPr>
          <w:rFonts w:cs="Arial"/>
          <w:szCs w:val="22"/>
        </w:rPr>
        <w:t>Dne 14.</w:t>
      </w:r>
      <w:r w:rsidR="001A1197" w:rsidRPr="00E877AA">
        <w:rPr>
          <w:rFonts w:cs="Arial"/>
          <w:szCs w:val="22"/>
        </w:rPr>
        <w:t> </w:t>
      </w:r>
      <w:r w:rsidRPr="00E877AA">
        <w:rPr>
          <w:rFonts w:cs="Arial"/>
          <w:szCs w:val="22"/>
        </w:rPr>
        <w:t>1.</w:t>
      </w:r>
      <w:r w:rsidR="001A1197" w:rsidRPr="00E877AA">
        <w:rPr>
          <w:rFonts w:cs="Arial"/>
          <w:szCs w:val="22"/>
        </w:rPr>
        <w:t> </w:t>
      </w:r>
      <w:r w:rsidRPr="00E877AA">
        <w:rPr>
          <w:rFonts w:cs="Arial"/>
          <w:szCs w:val="22"/>
        </w:rPr>
        <w:t>2015 jmenovala vláda do funkce zástupce finančního arbitra Lukáše Vacka na funkční období 5 let.</w:t>
      </w:r>
    </w:p>
    <w:p w:rsidR="00A156A4" w:rsidRPr="00E877AA" w:rsidRDefault="00A156A4" w:rsidP="00166E77">
      <w:pPr>
        <w:pStyle w:val="Bntextzprvy"/>
        <w:rPr>
          <w:rFonts w:cs="Arial"/>
          <w:szCs w:val="22"/>
        </w:rPr>
      </w:pPr>
      <w:r w:rsidRPr="00E877AA">
        <w:rPr>
          <w:rFonts w:cs="Arial"/>
          <w:szCs w:val="22"/>
        </w:rPr>
        <w:t xml:space="preserve">Lukáš Vacek vystudoval Právnickou fakultu Univerzity Karlovy v Praze a společný studijní program Právnické fakulty Masarykovy univerzity v Brně a </w:t>
      </w:r>
      <w:proofErr w:type="spellStart"/>
      <w:r w:rsidRPr="00E877AA">
        <w:rPr>
          <w:rFonts w:cs="Arial"/>
          <w:szCs w:val="22"/>
        </w:rPr>
        <w:t>Nottingham</w:t>
      </w:r>
      <w:proofErr w:type="spellEnd"/>
      <w:r w:rsidRPr="00E877AA">
        <w:rPr>
          <w:rFonts w:cs="Arial"/>
          <w:szCs w:val="22"/>
        </w:rPr>
        <w:t xml:space="preserve"> </w:t>
      </w:r>
      <w:proofErr w:type="spellStart"/>
      <w:r w:rsidRPr="00E877AA">
        <w:rPr>
          <w:rFonts w:cs="Arial"/>
          <w:szCs w:val="22"/>
        </w:rPr>
        <w:t>Trent</w:t>
      </w:r>
      <w:proofErr w:type="spellEnd"/>
      <w:r w:rsidRPr="00E877AA">
        <w:rPr>
          <w:rFonts w:cs="Arial"/>
          <w:szCs w:val="22"/>
        </w:rPr>
        <w:t xml:space="preserve"> University (MPA). V letech 2004-2013 působil na Ministerstvu financí, z toho více než 7 let na pozici vedoucího oddělení Retailové finanční služby a ochrana spotřebitele na finančním trhu. Byl zodpovědný především za přípravu legislativy v oblasti spotřebitelských úvěrů, právní úpravu finančního arbitra, ale také za oblast pojištění bankovních vkladů či distribuce finančních služeb. Jménem České republiky vyjednával v rámci pracovních skupin Rady EU předpisy práva Evropské unie, mezi něž patří např. připravovaná směrnice o úvěru na bydlení, revize směrnice o zprostředkování pojištění a další. Byl členem Platformy pro mimosoudní řešení spotřebitelských sporů při Ministerstvu průmyslu a obchodu. Aktivně se věnuje také oblasti finančního vzdělávání a řešení problémů spojených s předlužením. Pravidelně publikuje v odborném tisku (Jurisprudence, Právo a rodina, Obchodněprávní revue) a věnuje se též přednáškové činnosti</w:t>
      </w:r>
      <w:r w:rsidR="00767C84" w:rsidRPr="00E877AA">
        <w:rPr>
          <w:rFonts w:cs="Arial"/>
          <w:szCs w:val="22"/>
        </w:rPr>
        <w:t>, a to jak na akademické půdě, tak pro odbornou i laickou veřejnost</w:t>
      </w:r>
      <w:r w:rsidRPr="00E877AA">
        <w:rPr>
          <w:rFonts w:cs="Arial"/>
          <w:szCs w:val="22"/>
        </w:rPr>
        <w:t>.</w:t>
      </w:r>
    </w:p>
    <w:p w:rsidR="00A156A4" w:rsidRPr="00E877AA" w:rsidRDefault="00A156A4" w:rsidP="00166E77">
      <w:pPr>
        <w:pStyle w:val="Bntextzprvy"/>
        <w:rPr>
          <w:rFonts w:cs="Arial"/>
          <w:b/>
          <w:i/>
          <w:szCs w:val="22"/>
        </w:rPr>
      </w:pPr>
      <w:r w:rsidRPr="00E877AA">
        <w:rPr>
          <w:rFonts w:cs="Arial"/>
          <w:b/>
          <w:i/>
          <w:szCs w:val="22"/>
        </w:rPr>
        <w:t>Kancelář finančního arbitra</w:t>
      </w:r>
    </w:p>
    <w:p w:rsidR="00A156A4" w:rsidRPr="00E877AA" w:rsidRDefault="00A156A4" w:rsidP="00166E77">
      <w:pPr>
        <w:pStyle w:val="Bntextzprvy"/>
        <w:rPr>
          <w:rFonts w:cs="Arial"/>
          <w:szCs w:val="22"/>
        </w:rPr>
      </w:pPr>
      <w:r w:rsidRPr="00E877AA">
        <w:rPr>
          <w:rFonts w:cs="Arial"/>
          <w:szCs w:val="22"/>
        </w:rPr>
        <w:t>Úkoly spojené s odborným, organizačním a technickým zabezpečením činnosti finančního arbitra plní Kancelář finančního arbitra, která je organizační složkou státu a samostatnou účetní jednotkou, jejíž příjmy a výdaje jsou součástí rozpočtové</w:t>
      </w:r>
      <w:r w:rsidR="009D3C4B" w:rsidRPr="00E877AA">
        <w:rPr>
          <w:rFonts w:cs="Arial"/>
          <w:szCs w:val="22"/>
        </w:rPr>
        <w:t xml:space="preserve"> kapitoly Ministerstva financí.</w:t>
      </w:r>
      <w:r w:rsidR="004905A0">
        <w:rPr>
          <w:rFonts w:cs="Arial"/>
          <w:szCs w:val="22"/>
        </w:rPr>
        <w:t xml:space="preserve"> </w:t>
      </w:r>
      <w:r w:rsidRPr="00E877AA">
        <w:rPr>
          <w:rFonts w:cs="Arial"/>
          <w:szCs w:val="22"/>
        </w:rPr>
        <w:t>Kancelář finančního arbitra byla zřízena k datu 1.</w:t>
      </w:r>
      <w:r w:rsidR="00B96803" w:rsidRPr="00E877AA">
        <w:rPr>
          <w:rFonts w:cs="Arial"/>
          <w:szCs w:val="22"/>
        </w:rPr>
        <w:t> </w:t>
      </w:r>
      <w:r w:rsidRPr="00E877AA">
        <w:rPr>
          <w:rFonts w:cs="Arial"/>
          <w:szCs w:val="22"/>
        </w:rPr>
        <w:t>7.</w:t>
      </w:r>
      <w:r w:rsidR="00B96803" w:rsidRPr="00E877AA">
        <w:rPr>
          <w:rFonts w:cs="Arial"/>
          <w:szCs w:val="22"/>
        </w:rPr>
        <w:t> </w:t>
      </w:r>
      <w:r w:rsidRPr="00E877AA">
        <w:rPr>
          <w:rFonts w:cs="Arial"/>
          <w:szCs w:val="22"/>
        </w:rPr>
        <w:t xml:space="preserve">2011 </w:t>
      </w:r>
      <w:r w:rsidR="00EC38BF" w:rsidRPr="00E877AA">
        <w:rPr>
          <w:rFonts w:cs="Arial"/>
          <w:szCs w:val="22"/>
        </w:rPr>
        <w:t>(</w:t>
      </w:r>
      <w:r w:rsidRPr="00E877AA">
        <w:rPr>
          <w:rFonts w:cs="Arial"/>
          <w:szCs w:val="22"/>
        </w:rPr>
        <w:t>zákonem č. 180/2011 Sb.</w:t>
      </w:r>
      <w:r w:rsidR="00EC38BF" w:rsidRPr="00E877AA">
        <w:rPr>
          <w:rFonts w:cs="Arial"/>
          <w:szCs w:val="22"/>
        </w:rPr>
        <w:t>)</w:t>
      </w:r>
      <w:r w:rsidRPr="00E877AA">
        <w:rPr>
          <w:rFonts w:cs="Arial"/>
          <w:szCs w:val="22"/>
        </w:rPr>
        <w:t>.</w:t>
      </w:r>
    </w:p>
    <w:p w:rsidR="00A156A4" w:rsidRPr="00E877AA" w:rsidRDefault="00A156A4" w:rsidP="00166E77">
      <w:pPr>
        <w:pStyle w:val="Bntextzprvy"/>
        <w:rPr>
          <w:rFonts w:cs="Arial"/>
          <w:szCs w:val="22"/>
        </w:rPr>
      </w:pPr>
      <w:r w:rsidRPr="00E877AA">
        <w:rPr>
          <w:rFonts w:cs="Arial"/>
          <w:szCs w:val="22"/>
        </w:rPr>
        <w:t>V čele Kanceláře finančního arbitra stojí finanční arbitr. Zástupce zastupuje finančního arbitra v době jeho nepřítomnosti v plném rozsahu jeho pravomoci a odpovědnosti. Pracovní poměr a</w:t>
      </w:r>
      <w:r w:rsidR="002940ED" w:rsidRPr="00E877AA">
        <w:rPr>
          <w:rFonts w:cs="Arial"/>
          <w:szCs w:val="22"/>
        </w:rPr>
        <w:t> </w:t>
      </w:r>
      <w:r w:rsidRPr="00E877AA">
        <w:rPr>
          <w:rFonts w:cs="Arial"/>
          <w:szCs w:val="22"/>
        </w:rPr>
        <w:t>odměňování zaměstnanců Kanceláře finančního arbitra se řídí zákoníkem práce.</w:t>
      </w:r>
    </w:p>
    <w:p w:rsidR="00A156A4" w:rsidRPr="00E877AA" w:rsidRDefault="00A156A4" w:rsidP="00C40439">
      <w:pPr>
        <w:pStyle w:val="Bnuvozovacodstavec"/>
        <w:keepNext/>
        <w:rPr>
          <w:rFonts w:cs="Arial"/>
          <w:szCs w:val="22"/>
        </w:rPr>
      </w:pPr>
      <w:r w:rsidRPr="00E877AA">
        <w:rPr>
          <w:rFonts w:cs="Arial"/>
          <w:szCs w:val="22"/>
        </w:rPr>
        <w:t>Organizační strukturu Kanceláře finančního arbitra tvoří její organizační útvary:</w:t>
      </w:r>
    </w:p>
    <w:p w:rsidR="00A156A4" w:rsidRPr="00E877AA" w:rsidRDefault="00A156A4" w:rsidP="00F245A9">
      <w:pPr>
        <w:numPr>
          <w:ilvl w:val="0"/>
          <w:numId w:val="12"/>
        </w:numPr>
        <w:spacing w:after="0"/>
        <w:ind w:left="567" w:hanging="567"/>
        <w:jc w:val="both"/>
        <w:rPr>
          <w:rFonts w:ascii="Arial" w:hAnsi="Arial" w:cs="Arial"/>
        </w:rPr>
      </w:pPr>
      <w:r w:rsidRPr="00E877AA">
        <w:rPr>
          <w:rFonts w:ascii="Arial" w:hAnsi="Arial" w:cs="Arial"/>
        </w:rPr>
        <w:t>finanční arbitr,</w:t>
      </w:r>
    </w:p>
    <w:p w:rsidR="00A156A4" w:rsidRPr="00E877AA" w:rsidRDefault="00A156A4" w:rsidP="00F245A9">
      <w:pPr>
        <w:numPr>
          <w:ilvl w:val="0"/>
          <w:numId w:val="12"/>
        </w:numPr>
        <w:spacing w:after="0"/>
        <w:ind w:left="567" w:hanging="567"/>
        <w:jc w:val="both"/>
        <w:rPr>
          <w:rFonts w:ascii="Arial" w:hAnsi="Arial" w:cs="Arial"/>
        </w:rPr>
      </w:pPr>
      <w:r w:rsidRPr="00E877AA">
        <w:rPr>
          <w:rFonts w:ascii="Arial" w:hAnsi="Arial" w:cs="Arial"/>
        </w:rPr>
        <w:t>zástupce finančního arbitra,</w:t>
      </w:r>
    </w:p>
    <w:p w:rsidR="00A156A4" w:rsidRPr="00E877AA" w:rsidRDefault="00A156A4" w:rsidP="00F245A9">
      <w:pPr>
        <w:numPr>
          <w:ilvl w:val="0"/>
          <w:numId w:val="12"/>
        </w:numPr>
        <w:spacing w:after="0"/>
        <w:ind w:left="567" w:hanging="567"/>
        <w:jc w:val="both"/>
        <w:rPr>
          <w:rFonts w:ascii="Arial" w:hAnsi="Arial" w:cs="Arial"/>
        </w:rPr>
      </w:pPr>
      <w:r w:rsidRPr="00E877AA">
        <w:rPr>
          <w:rFonts w:ascii="Arial" w:hAnsi="Arial" w:cs="Arial"/>
        </w:rPr>
        <w:lastRenderedPageBreak/>
        <w:t>oddělení platebního styku, stavebního spoření a směnárenské činnosti,</w:t>
      </w:r>
    </w:p>
    <w:p w:rsidR="008472D8" w:rsidRPr="00E877AA" w:rsidRDefault="00A156A4" w:rsidP="00F245A9">
      <w:pPr>
        <w:numPr>
          <w:ilvl w:val="0"/>
          <w:numId w:val="12"/>
        </w:numPr>
        <w:spacing w:after="0"/>
        <w:ind w:left="567" w:hanging="567"/>
        <w:jc w:val="both"/>
        <w:rPr>
          <w:rFonts w:ascii="Arial" w:hAnsi="Arial" w:cs="Arial"/>
        </w:rPr>
      </w:pPr>
      <w:r w:rsidRPr="00E877AA">
        <w:rPr>
          <w:rFonts w:ascii="Arial" w:hAnsi="Arial" w:cs="Arial"/>
        </w:rPr>
        <w:t>oddělení úvěrů</w:t>
      </w:r>
      <w:r w:rsidR="008472D8" w:rsidRPr="00E877AA">
        <w:rPr>
          <w:rFonts w:ascii="Arial" w:hAnsi="Arial" w:cs="Arial"/>
        </w:rPr>
        <w:t xml:space="preserve"> I,</w:t>
      </w:r>
    </w:p>
    <w:p w:rsidR="00A156A4" w:rsidRPr="00E877AA" w:rsidRDefault="008472D8" w:rsidP="00F245A9">
      <w:pPr>
        <w:numPr>
          <w:ilvl w:val="0"/>
          <w:numId w:val="12"/>
        </w:numPr>
        <w:spacing w:after="0"/>
        <w:ind w:left="567" w:hanging="567"/>
        <w:jc w:val="both"/>
        <w:rPr>
          <w:rFonts w:ascii="Arial" w:hAnsi="Arial" w:cs="Arial"/>
        </w:rPr>
      </w:pPr>
      <w:r w:rsidRPr="00E877AA">
        <w:rPr>
          <w:rFonts w:ascii="Arial" w:hAnsi="Arial" w:cs="Arial"/>
        </w:rPr>
        <w:t>oddělení úvěrů II</w:t>
      </w:r>
      <w:r w:rsidR="00A156A4" w:rsidRPr="00E877AA">
        <w:rPr>
          <w:rFonts w:ascii="Arial" w:hAnsi="Arial" w:cs="Arial"/>
        </w:rPr>
        <w:t>,</w:t>
      </w:r>
    </w:p>
    <w:p w:rsidR="00A156A4" w:rsidRPr="00E877AA" w:rsidRDefault="00A156A4" w:rsidP="00F245A9">
      <w:pPr>
        <w:numPr>
          <w:ilvl w:val="0"/>
          <w:numId w:val="12"/>
        </w:numPr>
        <w:spacing w:after="0"/>
        <w:ind w:left="567" w:hanging="567"/>
        <w:jc w:val="both"/>
        <w:rPr>
          <w:rFonts w:ascii="Arial" w:hAnsi="Arial" w:cs="Arial"/>
        </w:rPr>
      </w:pPr>
      <w:r w:rsidRPr="00E877AA">
        <w:rPr>
          <w:rFonts w:ascii="Arial" w:hAnsi="Arial" w:cs="Arial"/>
        </w:rPr>
        <w:t>oddělení investic</w:t>
      </w:r>
      <w:r w:rsidR="00B96803" w:rsidRPr="00E877AA">
        <w:rPr>
          <w:rFonts w:ascii="Arial" w:hAnsi="Arial" w:cs="Arial"/>
        </w:rPr>
        <w:t>,</w:t>
      </w:r>
      <w:r w:rsidRPr="00E877AA">
        <w:rPr>
          <w:rFonts w:ascii="Arial" w:hAnsi="Arial" w:cs="Arial"/>
        </w:rPr>
        <w:t xml:space="preserve"> </w:t>
      </w:r>
    </w:p>
    <w:p w:rsidR="00A156A4" w:rsidRPr="00E877AA" w:rsidRDefault="00A156A4" w:rsidP="00F245A9">
      <w:pPr>
        <w:numPr>
          <w:ilvl w:val="0"/>
          <w:numId w:val="12"/>
        </w:numPr>
        <w:spacing w:after="0"/>
        <w:ind w:left="567" w:hanging="567"/>
        <w:jc w:val="both"/>
        <w:rPr>
          <w:rFonts w:ascii="Arial" w:hAnsi="Arial" w:cs="Arial"/>
        </w:rPr>
      </w:pPr>
      <w:r w:rsidRPr="00E877AA">
        <w:rPr>
          <w:rFonts w:ascii="Arial" w:hAnsi="Arial" w:cs="Arial"/>
        </w:rPr>
        <w:t>oddělení životního pojištění</w:t>
      </w:r>
      <w:r w:rsidR="008472D8" w:rsidRPr="00E877AA">
        <w:rPr>
          <w:rFonts w:ascii="Arial" w:hAnsi="Arial" w:cs="Arial"/>
        </w:rPr>
        <w:t xml:space="preserve"> I</w:t>
      </w:r>
      <w:r w:rsidRPr="00E877AA">
        <w:rPr>
          <w:rFonts w:ascii="Arial" w:hAnsi="Arial" w:cs="Arial"/>
        </w:rPr>
        <w:t>,</w:t>
      </w:r>
    </w:p>
    <w:p w:rsidR="008472D8" w:rsidRPr="00E877AA" w:rsidRDefault="008472D8" w:rsidP="00F245A9">
      <w:pPr>
        <w:numPr>
          <w:ilvl w:val="0"/>
          <w:numId w:val="12"/>
        </w:numPr>
        <w:spacing w:after="0"/>
        <w:ind w:left="567" w:hanging="567"/>
        <w:jc w:val="both"/>
        <w:rPr>
          <w:rFonts w:ascii="Arial" w:hAnsi="Arial" w:cs="Arial"/>
        </w:rPr>
      </w:pPr>
      <w:r w:rsidRPr="00E877AA">
        <w:rPr>
          <w:rFonts w:ascii="Arial" w:hAnsi="Arial" w:cs="Arial"/>
        </w:rPr>
        <w:t>oddělení životního pojištění II</w:t>
      </w:r>
      <w:r w:rsidR="00FB0433" w:rsidRPr="00E877AA">
        <w:rPr>
          <w:rFonts w:ascii="Arial" w:hAnsi="Arial" w:cs="Arial"/>
        </w:rPr>
        <w:t>,</w:t>
      </w:r>
    </w:p>
    <w:p w:rsidR="008472D8" w:rsidRPr="00E877AA" w:rsidRDefault="008472D8" w:rsidP="00F245A9">
      <w:pPr>
        <w:numPr>
          <w:ilvl w:val="0"/>
          <w:numId w:val="12"/>
        </w:numPr>
        <w:spacing w:after="0"/>
        <w:ind w:left="567" w:hanging="567"/>
        <w:jc w:val="both"/>
        <w:rPr>
          <w:rFonts w:ascii="Arial" w:hAnsi="Arial" w:cs="Arial"/>
        </w:rPr>
      </w:pPr>
      <w:r w:rsidRPr="00E877AA">
        <w:rPr>
          <w:rFonts w:ascii="Arial" w:hAnsi="Arial" w:cs="Arial"/>
        </w:rPr>
        <w:t xml:space="preserve">oddělení životního pojištění III (zřízeno s účinností od </w:t>
      </w:r>
      <w:r w:rsidR="003707A6" w:rsidRPr="00E877AA">
        <w:rPr>
          <w:rFonts w:ascii="Arial" w:hAnsi="Arial" w:cs="Arial"/>
        </w:rPr>
        <w:t>7</w:t>
      </w:r>
      <w:r w:rsidRPr="00E877AA">
        <w:rPr>
          <w:rFonts w:ascii="Arial" w:hAnsi="Arial" w:cs="Arial"/>
        </w:rPr>
        <w:t>.</w:t>
      </w:r>
      <w:r w:rsidR="00272438" w:rsidRPr="00E877AA">
        <w:rPr>
          <w:rFonts w:ascii="Arial" w:hAnsi="Arial" w:cs="Arial"/>
        </w:rPr>
        <w:t> </w:t>
      </w:r>
      <w:r w:rsidRPr="00E877AA">
        <w:rPr>
          <w:rFonts w:ascii="Arial" w:hAnsi="Arial" w:cs="Arial"/>
        </w:rPr>
        <w:t>3.</w:t>
      </w:r>
      <w:r w:rsidR="00272438" w:rsidRPr="00E877AA">
        <w:rPr>
          <w:rFonts w:ascii="Arial" w:hAnsi="Arial" w:cs="Arial"/>
        </w:rPr>
        <w:t> </w:t>
      </w:r>
      <w:r w:rsidRPr="00E877AA">
        <w:rPr>
          <w:rFonts w:ascii="Arial" w:hAnsi="Arial" w:cs="Arial"/>
        </w:rPr>
        <w:t>2018)</w:t>
      </w:r>
      <w:r w:rsidR="00FB0433" w:rsidRPr="00E877AA">
        <w:rPr>
          <w:rFonts w:ascii="Arial" w:hAnsi="Arial" w:cs="Arial"/>
        </w:rPr>
        <w:t>,</w:t>
      </w:r>
    </w:p>
    <w:p w:rsidR="00A156A4" w:rsidRPr="00E877AA" w:rsidRDefault="00A156A4" w:rsidP="00F245A9">
      <w:pPr>
        <w:numPr>
          <w:ilvl w:val="0"/>
          <w:numId w:val="12"/>
        </w:numPr>
        <w:spacing w:after="0"/>
        <w:ind w:left="567" w:hanging="567"/>
        <w:jc w:val="both"/>
        <w:rPr>
          <w:rFonts w:ascii="Arial" w:hAnsi="Arial" w:cs="Arial"/>
        </w:rPr>
      </w:pPr>
      <w:r w:rsidRPr="00E877AA">
        <w:rPr>
          <w:rFonts w:ascii="Arial" w:hAnsi="Arial" w:cs="Arial"/>
        </w:rPr>
        <w:t>oddělení administrativní podpory,</w:t>
      </w:r>
    </w:p>
    <w:p w:rsidR="00A156A4" w:rsidRPr="00E877AA" w:rsidRDefault="0086484F" w:rsidP="00F245A9">
      <w:pPr>
        <w:numPr>
          <w:ilvl w:val="0"/>
          <w:numId w:val="12"/>
        </w:numPr>
        <w:spacing w:after="0"/>
        <w:ind w:left="567" w:hanging="567"/>
        <w:jc w:val="both"/>
        <w:rPr>
          <w:rFonts w:ascii="Arial" w:hAnsi="Arial" w:cs="Arial"/>
        </w:rPr>
      </w:pPr>
      <w:r w:rsidRPr="00E877AA">
        <w:rPr>
          <w:rFonts w:ascii="Arial" w:hAnsi="Arial" w:cs="Arial"/>
        </w:rPr>
        <w:t>interní auditor</w:t>
      </w:r>
      <w:r w:rsidR="00A156A4" w:rsidRPr="00E877AA">
        <w:rPr>
          <w:rFonts w:ascii="Arial" w:hAnsi="Arial" w:cs="Arial"/>
        </w:rPr>
        <w:t>,</w:t>
      </w:r>
    </w:p>
    <w:p w:rsidR="00A156A4" w:rsidRPr="00E877AA" w:rsidRDefault="00A156A4" w:rsidP="00F245A9">
      <w:pPr>
        <w:numPr>
          <w:ilvl w:val="0"/>
          <w:numId w:val="12"/>
        </w:numPr>
        <w:spacing w:after="0"/>
        <w:ind w:left="567" w:hanging="567"/>
        <w:jc w:val="both"/>
        <w:rPr>
          <w:rFonts w:ascii="Arial" w:hAnsi="Arial" w:cs="Arial"/>
        </w:rPr>
      </w:pPr>
      <w:r w:rsidRPr="00E877AA">
        <w:rPr>
          <w:rFonts w:ascii="Arial" w:hAnsi="Arial" w:cs="Arial"/>
        </w:rPr>
        <w:t>tajemník finančního arbitra.</w:t>
      </w:r>
    </w:p>
    <w:p w:rsidR="0068705A" w:rsidRPr="00E877AA" w:rsidRDefault="0068705A" w:rsidP="00166E77">
      <w:pPr>
        <w:pStyle w:val="Bnuvozovacodstavec"/>
        <w:rPr>
          <w:rFonts w:eastAsia="Calibri" w:cs="Arial"/>
          <w:bCs w:val="0"/>
          <w:szCs w:val="22"/>
          <w:lang w:eastAsia="en-US"/>
        </w:rPr>
      </w:pPr>
      <w:r w:rsidRPr="00E877AA">
        <w:rPr>
          <w:rFonts w:eastAsia="Calibri" w:cs="Arial"/>
          <w:bCs w:val="0"/>
          <w:szCs w:val="22"/>
          <w:lang w:eastAsia="en-US"/>
        </w:rPr>
        <w:t>Organizační struktura se mění v závislosti na aktuální potřebě. Z důvodu zvýšeného nápadu sporů ze spotřebitelského úvěru a zejména pak ze životního pojištění a potřeb</w:t>
      </w:r>
      <w:r w:rsidR="006E1263" w:rsidRPr="00E877AA">
        <w:rPr>
          <w:rFonts w:eastAsia="Calibri" w:cs="Arial"/>
          <w:bCs w:val="0"/>
          <w:szCs w:val="22"/>
          <w:lang w:eastAsia="en-US"/>
        </w:rPr>
        <w:t>y</w:t>
      </w:r>
      <w:r w:rsidRPr="00E877AA">
        <w:rPr>
          <w:rFonts w:eastAsia="Calibri" w:cs="Arial"/>
          <w:bCs w:val="0"/>
          <w:szCs w:val="22"/>
          <w:lang w:eastAsia="en-US"/>
        </w:rPr>
        <w:t xml:space="preserve"> rychle a efektivně vyřizovat jednotlivé spory, došlo k vytvoření více oddělení, kdy rozdělení sporů </w:t>
      </w:r>
      <w:r w:rsidR="007A204D" w:rsidRPr="00E877AA">
        <w:rPr>
          <w:rFonts w:eastAsia="Calibri" w:cs="Arial"/>
          <w:bCs w:val="0"/>
          <w:szCs w:val="22"/>
          <w:lang w:eastAsia="en-US"/>
        </w:rPr>
        <w:t>je buď rovnoměrné podle složitosti případu bez přihlédnutí ke konkrétní finanční instituci</w:t>
      </w:r>
      <w:r w:rsidR="002510CE" w:rsidRPr="00E877AA">
        <w:rPr>
          <w:rFonts w:eastAsia="Calibri" w:cs="Arial"/>
          <w:bCs w:val="0"/>
          <w:szCs w:val="22"/>
          <w:lang w:eastAsia="en-US"/>
        </w:rPr>
        <w:t xml:space="preserve">, </w:t>
      </w:r>
      <w:r w:rsidR="007A204D" w:rsidRPr="00E877AA">
        <w:rPr>
          <w:rFonts w:eastAsia="Calibri" w:cs="Arial"/>
          <w:bCs w:val="0"/>
          <w:szCs w:val="22"/>
          <w:lang w:eastAsia="en-US"/>
        </w:rPr>
        <w:t>nebo v</w:t>
      </w:r>
      <w:r w:rsidR="00C16DC4">
        <w:rPr>
          <w:rFonts w:eastAsia="Calibri" w:cs="Arial"/>
          <w:bCs w:val="0"/>
          <w:szCs w:val="22"/>
          <w:lang w:eastAsia="en-US"/>
        </w:rPr>
        <w:t xml:space="preserve"> oddělení sporů ze životního pojištění </w:t>
      </w:r>
      <w:r w:rsidR="007A204D" w:rsidRPr="00E877AA">
        <w:rPr>
          <w:rFonts w:eastAsia="Calibri" w:cs="Arial"/>
          <w:bCs w:val="0"/>
          <w:szCs w:val="22"/>
          <w:lang w:eastAsia="en-US"/>
        </w:rPr>
        <w:t>pak rozdělení podle pojišťo</w:t>
      </w:r>
      <w:r w:rsidR="00C8000E" w:rsidRPr="00E877AA">
        <w:rPr>
          <w:rFonts w:eastAsia="Calibri" w:cs="Arial"/>
          <w:bCs w:val="0"/>
          <w:szCs w:val="22"/>
          <w:lang w:eastAsia="en-US"/>
        </w:rPr>
        <w:t>ven a jejich typových produktů.</w:t>
      </w:r>
    </w:p>
    <w:p w:rsidR="00A156A4" w:rsidRPr="00E877AA" w:rsidRDefault="00A156A4" w:rsidP="00166E77">
      <w:pPr>
        <w:pStyle w:val="Bnuvozovacodstavec"/>
        <w:rPr>
          <w:rFonts w:cs="Arial"/>
          <w:szCs w:val="22"/>
        </w:rPr>
      </w:pPr>
      <w:r w:rsidRPr="00E877AA">
        <w:rPr>
          <w:rFonts w:cs="Arial"/>
          <w:szCs w:val="22"/>
        </w:rPr>
        <w:t>Stupněm řízení je:</w:t>
      </w:r>
    </w:p>
    <w:p w:rsidR="00A156A4" w:rsidRPr="00E877AA" w:rsidRDefault="00A156A4" w:rsidP="00F245A9">
      <w:pPr>
        <w:numPr>
          <w:ilvl w:val="0"/>
          <w:numId w:val="13"/>
        </w:numPr>
        <w:spacing w:after="0"/>
        <w:ind w:left="567" w:hanging="567"/>
        <w:jc w:val="both"/>
        <w:rPr>
          <w:rFonts w:ascii="Arial" w:hAnsi="Arial" w:cs="Arial"/>
        </w:rPr>
      </w:pPr>
      <w:r w:rsidRPr="00E877AA">
        <w:rPr>
          <w:rFonts w:ascii="Arial" w:hAnsi="Arial" w:cs="Arial"/>
        </w:rPr>
        <w:t>finanční arbitr; v době jeho nepřítomnosti zástupce finančního arbitra,</w:t>
      </w:r>
    </w:p>
    <w:p w:rsidR="00A156A4" w:rsidRPr="00E877AA" w:rsidRDefault="00A156A4" w:rsidP="00F245A9">
      <w:pPr>
        <w:numPr>
          <w:ilvl w:val="0"/>
          <w:numId w:val="13"/>
        </w:numPr>
        <w:spacing w:after="0"/>
        <w:ind w:left="567" w:hanging="567"/>
        <w:jc w:val="both"/>
        <w:rPr>
          <w:rFonts w:ascii="Arial" w:hAnsi="Arial" w:cs="Arial"/>
        </w:rPr>
      </w:pPr>
      <w:r w:rsidRPr="00E877AA">
        <w:rPr>
          <w:rFonts w:ascii="Arial" w:hAnsi="Arial" w:cs="Arial"/>
        </w:rPr>
        <w:t>zástupce finančního arbitra, je-li finančním arbitrem trvale pověřen výkonem části jeho rozhodovací pravomoci,</w:t>
      </w:r>
    </w:p>
    <w:p w:rsidR="00A156A4" w:rsidRPr="00E877AA" w:rsidRDefault="00A156A4" w:rsidP="00F245A9">
      <w:pPr>
        <w:numPr>
          <w:ilvl w:val="0"/>
          <w:numId w:val="13"/>
        </w:numPr>
        <w:spacing w:after="0"/>
        <w:ind w:left="567" w:hanging="567"/>
        <w:jc w:val="both"/>
        <w:rPr>
          <w:rFonts w:ascii="Arial" w:hAnsi="Arial" w:cs="Arial"/>
        </w:rPr>
      </w:pPr>
      <w:r w:rsidRPr="00E877AA">
        <w:rPr>
          <w:rFonts w:ascii="Arial" w:hAnsi="Arial" w:cs="Arial"/>
        </w:rPr>
        <w:t>oddělení v čele s vedoucím oddělení (oddělení zajišťuje komplexní výkon ucelené části působnosti finančního arbitra, a to v činnostech, které zpravidla vzájemně přímo souvisejí nebo na sebe navazují, mimo rozhodovací činnosti).</w:t>
      </w:r>
    </w:p>
    <w:p w:rsidR="00A156A4" w:rsidRPr="00E877AA" w:rsidRDefault="00A156A4" w:rsidP="00166E77">
      <w:pPr>
        <w:pStyle w:val="Bnuvozovacodstavec"/>
        <w:rPr>
          <w:rFonts w:cs="Arial"/>
          <w:szCs w:val="22"/>
        </w:rPr>
      </w:pPr>
      <w:r w:rsidRPr="00E877AA">
        <w:rPr>
          <w:rFonts w:cs="Arial"/>
          <w:szCs w:val="22"/>
        </w:rPr>
        <w:t>K zabezpečení činnosti Kanceláře finančního arbitra jsou vedle pracovní pozice finančního arbitra a zástupce finančního arbitra zřízeny tyto pracovní pozice:</w:t>
      </w:r>
    </w:p>
    <w:p w:rsidR="00A156A4" w:rsidRPr="00E877AA" w:rsidRDefault="00A156A4" w:rsidP="00F245A9">
      <w:pPr>
        <w:numPr>
          <w:ilvl w:val="0"/>
          <w:numId w:val="10"/>
        </w:numPr>
        <w:spacing w:after="0"/>
        <w:ind w:left="567" w:hanging="567"/>
        <w:jc w:val="both"/>
        <w:rPr>
          <w:rFonts w:ascii="Arial" w:hAnsi="Arial" w:cs="Arial"/>
        </w:rPr>
      </w:pPr>
      <w:r w:rsidRPr="00E877AA">
        <w:rPr>
          <w:rFonts w:ascii="Arial" w:hAnsi="Arial" w:cs="Arial"/>
        </w:rPr>
        <w:t>vedoucí oddělení,</w:t>
      </w:r>
    </w:p>
    <w:p w:rsidR="00A156A4" w:rsidRPr="00E877AA" w:rsidRDefault="00A156A4" w:rsidP="00F245A9">
      <w:pPr>
        <w:numPr>
          <w:ilvl w:val="0"/>
          <w:numId w:val="10"/>
        </w:numPr>
        <w:spacing w:after="0"/>
        <w:ind w:left="567" w:hanging="567"/>
        <w:jc w:val="both"/>
        <w:rPr>
          <w:rFonts w:ascii="Arial" w:hAnsi="Arial" w:cs="Arial"/>
        </w:rPr>
      </w:pPr>
      <w:r w:rsidRPr="00E877AA">
        <w:rPr>
          <w:rFonts w:ascii="Arial" w:hAnsi="Arial" w:cs="Arial"/>
        </w:rPr>
        <w:t>referent – právník,</w:t>
      </w:r>
    </w:p>
    <w:p w:rsidR="00A156A4" w:rsidRPr="00E877AA" w:rsidRDefault="00A156A4" w:rsidP="00F245A9">
      <w:pPr>
        <w:numPr>
          <w:ilvl w:val="0"/>
          <w:numId w:val="10"/>
        </w:numPr>
        <w:spacing w:after="0"/>
        <w:ind w:left="567" w:hanging="567"/>
        <w:jc w:val="both"/>
        <w:rPr>
          <w:rFonts w:ascii="Arial" w:hAnsi="Arial" w:cs="Arial"/>
        </w:rPr>
      </w:pPr>
      <w:r w:rsidRPr="00E877AA">
        <w:rPr>
          <w:rFonts w:ascii="Arial" w:hAnsi="Arial" w:cs="Arial"/>
        </w:rPr>
        <w:t>referent – metodik,</w:t>
      </w:r>
    </w:p>
    <w:p w:rsidR="00A156A4" w:rsidRPr="00E877AA" w:rsidRDefault="00A156A4" w:rsidP="00F245A9">
      <w:pPr>
        <w:numPr>
          <w:ilvl w:val="0"/>
          <w:numId w:val="10"/>
        </w:numPr>
        <w:spacing w:after="0"/>
        <w:ind w:left="567" w:hanging="567"/>
        <w:jc w:val="both"/>
        <w:rPr>
          <w:rFonts w:ascii="Arial" w:hAnsi="Arial" w:cs="Arial"/>
        </w:rPr>
      </w:pPr>
      <w:r w:rsidRPr="00E877AA">
        <w:rPr>
          <w:rFonts w:ascii="Arial" w:hAnsi="Arial" w:cs="Arial"/>
        </w:rPr>
        <w:t>referent,</w:t>
      </w:r>
    </w:p>
    <w:p w:rsidR="00A156A4" w:rsidRPr="00E877AA" w:rsidRDefault="00A156A4" w:rsidP="00F245A9">
      <w:pPr>
        <w:numPr>
          <w:ilvl w:val="0"/>
          <w:numId w:val="10"/>
        </w:numPr>
        <w:spacing w:after="0"/>
        <w:ind w:left="567" w:hanging="567"/>
        <w:jc w:val="both"/>
        <w:rPr>
          <w:rFonts w:ascii="Arial" w:hAnsi="Arial" w:cs="Arial"/>
        </w:rPr>
      </w:pPr>
      <w:r w:rsidRPr="00E877AA">
        <w:rPr>
          <w:rFonts w:ascii="Arial" w:hAnsi="Arial" w:cs="Arial"/>
        </w:rPr>
        <w:t>interní auditor,</w:t>
      </w:r>
    </w:p>
    <w:p w:rsidR="00A156A4" w:rsidRPr="00E877AA" w:rsidRDefault="00A156A4" w:rsidP="00F245A9">
      <w:pPr>
        <w:numPr>
          <w:ilvl w:val="0"/>
          <w:numId w:val="10"/>
        </w:numPr>
        <w:spacing w:after="0"/>
        <w:ind w:left="567" w:hanging="567"/>
        <w:jc w:val="both"/>
        <w:rPr>
          <w:rFonts w:ascii="Arial" w:hAnsi="Arial" w:cs="Arial"/>
        </w:rPr>
      </w:pPr>
      <w:r w:rsidRPr="00E877AA">
        <w:rPr>
          <w:rFonts w:ascii="Arial" w:hAnsi="Arial" w:cs="Arial"/>
        </w:rPr>
        <w:t>účetní a rozpočtář,</w:t>
      </w:r>
    </w:p>
    <w:p w:rsidR="00A156A4" w:rsidRPr="00E877AA" w:rsidRDefault="00A156A4" w:rsidP="00F245A9">
      <w:pPr>
        <w:numPr>
          <w:ilvl w:val="0"/>
          <w:numId w:val="10"/>
        </w:numPr>
        <w:spacing w:after="0"/>
        <w:ind w:left="567" w:hanging="567"/>
        <w:jc w:val="both"/>
        <w:rPr>
          <w:rFonts w:ascii="Arial" w:hAnsi="Arial" w:cs="Arial"/>
        </w:rPr>
      </w:pPr>
      <w:r w:rsidRPr="00E877AA">
        <w:rPr>
          <w:rFonts w:ascii="Arial" w:hAnsi="Arial" w:cs="Arial"/>
        </w:rPr>
        <w:t>personalista,</w:t>
      </w:r>
    </w:p>
    <w:p w:rsidR="00A156A4" w:rsidRPr="00E877AA" w:rsidRDefault="00A156A4" w:rsidP="00F245A9">
      <w:pPr>
        <w:numPr>
          <w:ilvl w:val="0"/>
          <w:numId w:val="10"/>
        </w:numPr>
        <w:spacing w:after="0"/>
        <w:ind w:left="567" w:hanging="567"/>
        <w:jc w:val="both"/>
        <w:rPr>
          <w:rFonts w:ascii="Arial" w:hAnsi="Arial" w:cs="Arial"/>
        </w:rPr>
      </w:pPr>
      <w:r w:rsidRPr="00E877AA">
        <w:rPr>
          <w:rFonts w:ascii="Arial" w:hAnsi="Arial" w:cs="Arial"/>
        </w:rPr>
        <w:t>sekretářka.</w:t>
      </w:r>
    </w:p>
    <w:p w:rsidR="00A156A4" w:rsidRPr="00E877AA" w:rsidRDefault="00A156A4" w:rsidP="00166E77">
      <w:pPr>
        <w:pStyle w:val="Bnuvozovacodstavec"/>
      </w:pPr>
      <w:r w:rsidRPr="00E877AA">
        <w:t>Vývoj personálního obsazení od zřízení Kanceláře finančního arbitra (včetně finančního arbitra a</w:t>
      </w:r>
      <w:r w:rsidR="002940ED" w:rsidRPr="00E877AA">
        <w:t> </w:t>
      </w:r>
      <w:r w:rsidRPr="00E877AA">
        <w:t>jeho zástupce</w:t>
      </w:r>
      <w:r w:rsidR="00C204A1" w:rsidRPr="00E877AA">
        <w:t>):</w:t>
      </w:r>
    </w:p>
    <w:p w:rsidR="00A156A4" w:rsidRPr="00E877AA" w:rsidRDefault="00A156A4" w:rsidP="00166E77">
      <w:pPr>
        <w:spacing w:after="0"/>
        <w:jc w:val="both"/>
        <w:rPr>
          <w:rFonts w:ascii="Arial" w:eastAsia="Times New Roman" w:hAnsi="Arial" w:cs="Arial"/>
          <w:lang w:eastAsia="cs-CZ"/>
        </w:rPr>
      </w:pPr>
      <w:r w:rsidRPr="00E877AA">
        <w:rPr>
          <w:rFonts w:ascii="Arial" w:eastAsia="Times New Roman" w:hAnsi="Arial" w:cs="Arial"/>
          <w:lang w:eastAsia="cs-CZ"/>
        </w:rPr>
        <w:t xml:space="preserve">rok 2011 </w:t>
      </w:r>
      <w:r w:rsidRPr="00E877AA">
        <w:rPr>
          <w:rFonts w:ascii="Arial" w:eastAsia="Times New Roman" w:hAnsi="Arial" w:cs="Arial"/>
          <w:lang w:eastAsia="cs-CZ"/>
        </w:rPr>
        <w:tab/>
        <w:t>14 systemizovaných míst</w:t>
      </w:r>
    </w:p>
    <w:p w:rsidR="00A156A4" w:rsidRPr="00E877AA" w:rsidRDefault="00A156A4" w:rsidP="00166E77">
      <w:pPr>
        <w:spacing w:after="0"/>
        <w:jc w:val="both"/>
        <w:rPr>
          <w:rFonts w:ascii="Arial" w:eastAsia="Times New Roman" w:hAnsi="Arial" w:cs="Arial"/>
          <w:lang w:eastAsia="cs-CZ"/>
        </w:rPr>
      </w:pPr>
      <w:r w:rsidRPr="00E877AA">
        <w:rPr>
          <w:rFonts w:ascii="Arial" w:eastAsia="Times New Roman" w:hAnsi="Arial" w:cs="Arial"/>
          <w:lang w:eastAsia="cs-CZ"/>
        </w:rPr>
        <w:t>rok 2012</w:t>
      </w:r>
      <w:r w:rsidRPr="00E877AA">
        <w:rPr>
          <w:rFonts w:ascii="Arial" w:eastAsia="Times New Roman" w:hAnsi="Arial" w:cs="Arial"/>
          <w:lang w:eastAsia="cs-CZ"/>
        </w:rPr>
        <w:tab/>
        <w:t>14 systemizovaných míst</w:t>
      </w:r>
    </w:p>
    <w:p w:rsidR="00A156A4" w:rsidRPr="00E877AA" w:rsidRDefault="00A156A4" w:rsidP="00166E77">
      <w:pPr>
        <w:spacing w:after="0"/>
        <w:jc w:val="both"/>
        <w:rPr>
          <w:rFonts w:ascii="Arial" w:eastAsia="Times New Roman" w:hAnsi="Arial" w:cs="Arial"/>
          <w:lang w:eastAsia="cs-CZ"/>
        </w:rPr>
      </w:pPr>
      <w:r w:rsidRPr="00E877AA">
        <w:rPr>
          <w:rFonts w:ascii="Arial" w:eastAsia="Times New Roman" w:hAnsi="Arial" w:cs="Arial"/>
          <w:lang w:eastAsia="cs-CZ"/>
        </w:rPr>
        <w:t>rok 2013</w:t>
      </w:r>
      <w:r w:rsidRPr="00E877AA">
        <w:rPr>
          <w:rFonts w:ascii="Arial" w:eastAsia="Times New Roman" w:hAnsi="Arial" w:cs="Arial"/>
          <w:lang w:eastAsia="cs-CZ"/>
        </w:rPr>
        <w:tab/>
        <w:t>14 systemizovaných míst</w:t>
      </w:r>
    </w:p>
    <w:p w:rsidR="00A156A4" w:rsidRPr="00E877AA" w:rsidRDefault="00A156A4" w:rsidP="00166E77">
      <w:pPr>
        <w:spacing w:after="0"/>
        <w:jc w:val="both"/>
        <w:rPr>
          <w:rFonts w:ascii="Arial" w:eastAsia="Times New Roman" w:hAnsi="Arial" w:cs="Arial"/>
          <w:lang w:eastAsia="cs-CZ"/>
        </w:rPr>
      </w:pPr>
      <w:r w:rsidRPr="00E877AA">
        <w:rPr>
          <w:rFonts w:ascii="Arial" w:eastAsia="Times New Roman" w:hAnsi="Arial" w:cs="Arial"/>
          <w:lang w:eastAsia="cs-CZ"/>
        </w:rPr>
        <w:t>rok 2014</w:t>
      </w:r>
      <w:r w:rsidRPr="00E877AA">
        <w:rPr>
          <w:rFonts w:ascii="Arial" w:eastAsia="Times New Roman" w:hAnsi="Arial" w:cs="Arial"/>
          <w:lang w:eastAsia="cs-CZ"/>
        </w:rPr>
        <w:tab/>
        <w:t>35 systemizovaných míst</w:t>
      </w:r>
    </w:p>
    <w:p w:rsidR="00A156A4" w:rsidRPr="00E877AA" w:rsidRDefault="00A156A4" w:rsidP="00166E77">
      <w:pPr>
        <w:spacing w:after="0"/>
        <w:jc w:val="both"/>
        <w:rPr>
          <w:rFonts w:ascii="Arial" w:eastAsia="Times New Roman" w:hAnsi="Arial" w:cs="Arial"/>
          <w:lang w:eastAsia="cs-CZ"/>
        </w:rPr>
      </w:pPr>
      <w:r w:rsidRPr="00E877AA">
        <w:rPr>
          <w:rFonts w:ascii="Arial" w:eastAsia="Times New Roman" w:hAnsi="Arial" w:cs="Arial"/>
          <w:lang w:eastAsia="cs-CZ"/>
        </w:rPr>
        <w:t>rok 2015</w:t>
      </w:r>
      <w:r w:rsidRPr="00E877AA">
        <w:rPr>
          <w:rFonts w:ascii="Arial" w:eastAsia="Times New Roman" w:hAnsi="Arial" w:cs="Arial"/>
          <w:lang w:eastAsia="cs-CZ"/>
        </w:rPr>
        <w:tab/>
        <w:t>39 systemizovaných míst</w:t>
      </w:r>
    </w:p>
    <w:p w:rsidR="00A156A4" w:rsidRPr="00E877AA" w:rsidRDefault="00A156A4" w:rsidP="00166E77">
      <w:pPr>
        <w:spacing w:after="0"/>
        <w:jc w:val="both"/>
        <w:rPr>
          <w:rFonts w:ascii="Arial" w:eastAsia="Times New Roman" w:hAnsi="Arial" w:cs="Arial"/>
          <w:lang w:eastAsia="cs-CZ"/>
        </w:rPr>
      </w:pPr>
      <w:r w:rsidRPr="00E877AA">
        <w:rPr>
          <w:rFonts w:ascii="Arial" w:eastAsia="Times New Roman" w:hAnsi="Arial" w:cs="Arial"/>
          <w:lang w:eastAsia="cs-CZ"/>
        </w:rPr>
        <w:t>rok 2016</w:t>
      </w:r>
      <w:r w:rsidRPr="00E877AA">
        <w:rPr>
          <w:rFonts w:ascii="Arial" w:eastAsia="Times New Roman" w:hAnsi="Arial" w:cs="Arial"/>
          <w:lang w:eastAsia="cs-CZ"/>
        </w:rPr>
        <w:tab/>
        <w:t>45 systemizovaných míst</w:t>
      </w:r>
    </w:p>
    <w:p w:rsidR="00751099" w:rsidRPr="00E877AA" w:rsidRDefault="00A156A4" w:rsidP="00166E77">
      <w:pPr>
        <w:spacing w:after="0"/>
        <w:jc w:val="both"/>
        <w:rPr>
          <w:rFonts w:ascii="Arial" w:eastAsia="Times New Roman" w:hAnsi="Arial" w:cs="Arial"/>
          <w:lang w:eastAsia="cs-CZ"/>
        </w:rPr>
      </w:pPr>
      <w:r w:rsidRPr="00E877AA">
        <w:rPr>
          <w:rFonts w:ascii="Arial" w:eastAsia="Times New Roman" w:hAnsi="Arial" w:cs="Arial"/>
          <w:lang w:eastAsia="cs-CZ"/>
        </w:rPr>
        <w:t>rok 2017</w:t>
      </w:r>
      <w:r w:rsidRPr="00E877AA">
        <w:rPr>
          <w:rFonts w:ascii="Arial" w:eastAsia="Times New Roman" w:hAnsi="Arial" w:cs="Arial"/>
          <w:lang w:eastAsia="cs-CZ"/>
        </w:rPr>
        <w:tab/>
        <w:t>55 systemizovaných míst</w:t>
      </w:r>
      <w:r w:rsidR="007A204D" w:rsidRPr="00E877AA">
        <w:rPr>
          <w:rFonts w:ascii="Arial" w:eastAsia="Times New Roman" w:hAnsi="Arial" w:cs="Arial"/>
          <w:lang w:eastAsia="cs-CZ"/>
        </w:rPr>
        <w:t xml:space="preserve"> </w:t>
      </w:r>
    </w:p>
    <w:p w:rsidR="00DE796E" w:rsidRPr="00E877AA" w:rsidRDefault="00DE796E" w:rsidP="00166E77">
      <w:pPr>
        <w:spacing w:after="0"/>
        <w:jc w:val="both"/>
        <w:rPr>
          <w:rFonts w:ascii="Arial" w:eastAsia="Times New Roman" w:hAnsi="Arial" w:cs="Arial"/>
          <w:lang w:eastAsia="cs-CZ"/>
        </w:rPr>
      </w:pPr>
      <w:r w:rsidRPr="00E877AA">
        <w:rPr>
          <w:rFonts w:ascii="Arial" w:eastAsia="Times New Roman" w:hAnsi="Arial" w:cs="Arial"/>
          <w:lang w:eastAsia="cs-CZ"/>
        </w:rPr>
        <w:t xml:space="preserve">rok 2018 </w:t>
      </w:r>
      <w:r w:rsidRPr="00E877AA">
        <w:rPr>
          <w:rFonts w:ascii="Arial" w:eastAsia="Times New Roman" w:hAnsi="Arial" w:cs="Arial"/>
          <w:lang w:eastAsia="cs-CZ"/>
        </w:rPr>
        <w:tab/>
      </w:r>
      <w:r w:rsidR="00E030EA" w:rsidRPr="00E877AA">
        <w:rPr>
          <w:rFonts w:ascii="Arial" w:eastAsia="Times New Roman" w:hAnsi="Arial" w:cs="Arial"/>
          <w:lang w:eastAsia="cs-CZ"/>
        </w:rPr>
        <w:t>55</w:t>
      </w:r>
      <w:r w:rsidRPr="00E877AA">
        <w:rPr>
          <w:rFonts w:ascii="Arial" w:eastAsia="Times New Roman" w:hAnsi="Arial" w:cs="Arial"/>
          <w:lang w:eastAsia="cs-CZ"/>
        </w:rPr>
        <w:t xml:space="preserve"> systemizovaných míst </w:t>
      </w:r>
    </w:p>
    <w:p w:rsidR="001906EF" w:rsidRPr="00E877AA" w:rsidRDefault="001906EF" w:rsidP="00166E77">
      <w:pPr>
        <w:spacing w:after="0"/>
        <w:jc w:val="both"/>
        <w:rPr>
          <w:rFonts w:ascii="Arial" w:eastAsia="Times New Roman" w:hAnsi="Arial" w:cs="Arial"/>
          <w:lang w:eastAsia="cs-CZ"/>
        </w:rPr>
      </w:pPr>
    </w:p>
    <w:p w:rsidR="001906EF" w:rsidRPr="00E877AA" w:rsidRDefault="001906EF" w:rsidP="00166E77">
      <w:pPr>
        <w:spacing w:after="0"/>
        <w:jc w:val="both"/>
        <w:rPr>
          <w:rFonts w:ascii="Arial" w:eastAsia="Times New Roman" w:hAnsi="Arial" w:cs="Arial"/>
          <w:lang w:eastAsia="cs-CZ"/>
        </w:rPr>
      </w:pPr>
      <w:r w:rsidRPr="00E877AA">
        <w:rPr>
          <w:rFonts w:ascii="Arial" w:eastAsia="Times New Roman" w:hAnsi="Arial" w:cs="Arial"/>
          <w:lang w:eastAsia="cs-CZ"/>
        </w:rPr>
        <w:t xml:space="preserve">Pro rok 2019, resp. od roku 2019 požádala Kancelář finančního arbitra o navýšení počtu systemizovaných míst o 15 míst. Od 1. 1. 2019 bylo přiděleno pouze 5 míst. S ohledem na celkový nedostatek odborných pracovníků napříč veřejným i soukromým sektorem, se neobsazená systemizovaná místa nedaří zcela obsadit. Kancelář finančního arbitra proto navazuje pracovní vztahy </w:t>
      </w:r>
      <w:r w:rsidR="004B6556">
        <w:rPr>
          <w:rFonts w:ascii="Arial" w:eastAsia="Times New Roman" w:hAnsi="Arial" w:cs="Arial"/>
          <w:lang w:eastAsia="cs-CZ"/>
        </w:rPr>
        <w:t>v</w:t>
      </w:r>
      <w:r w:rsidR="004B6556" w:rsidRPr="00E877AA">
        <w:rPr>
          <w:rFonts w:ascii="Arial" w:eastAsia="Times New Roman" w:hAnsi="Arial" w:cs="Arial"/>
          <w:lang w:eastAsia="cs-CZ"/>
        </w:rPr>
        <w:t> </w:t>
      </w:r>
      <w:r w:rsidRPr="00E877AA">
        <w:rPr>
          <w:rFonts w:ascii="Arial" w:eastAsia="Times New Roman" w:hAnsi="Arial" w:cs="Arial"/>
          <w:lang w:eastAsia="cs-CZ"/>
        </w:rPr>
        <w:t xml:space="preserve">podobě dohod o pracovní činnosti se svými zaměstnankyněmi na rodičovské dovolené a nařizuje práci přesčas svým stávajícím zaměstnancům. </w:t>
      </w:r>
    </w:p>
    <w:p w:rsidR="00C11798" w:rsidRPr="00E877AA" w:rsidRDefault="00C11798" w:rsidP="00166E77">
      <w:pPr>
        <w:pStyle w:val="Nadpis1"/>
        <w:rPr>
          <w:rFonts w:ascii="Arial" w:hAnsi="Arial" w:cs="Arial"/>
          <w:szCs w:val="24"/>
        </w:rPr>
      </w:pPr>
      <w:bookmarkStart w:id="4" w:name="_Toc4591460"/>
      <w:r w:rsidRPr="00E877AA">
        <w:rPr>
          <w:rFonts w:ascii="Arial" w:hAnsi="Arial" w:cs="Arial"/>
          <w:szCs w:val="24"/>
        </w:rPr>
        <w:lastRenderedPageBreak/>
        <w:t xml:space="preserve">VÝSLEDKY </w:t>
      </w:r>
      <w:r w:rsidR="00D16239" w:rsidRPr="00E877AA">
        <w:rPr>
          <w:rFonts w:ascii="Arial" w:hAnsi="Arial" w:cs="Arial"/>
          <w:szCs w:val="24"/>
        </w:rPr>
        <w:t xml:space="preserve">ROZHODOVACÍ </w:t>
      </w:r>
      <w:r w:rsidRPr="00E877AA">
        <w:rPr>
          <w:rFonts w:ascii="Arial" w:hAnsi="Arial" w:cs="Arial"/>
          <w:szCs w:val="24"/>
        </w:rPr>
        <w:t>ČINNOSTI FINANČNÍHO ARBITRA</w:t>
      </w:r>
      <w:bookmarkEnd w:id="4"/>
    </w:p>
    <w:p w:rsidR="00FD0770" w:rsidRPr="00E877AA" w:rsidRDefault="00C11798" w:rsidP="00166E77">
      <w:pPr>
        <w:pStyle w:val="Bntextzprvy"/>
        <w:rPr>
          <w:rFonts w:cs="Arial"/>
          <w:color w:val="000000"/>
          <w:szCs w:val="22"/>
        </w:rPr>
      </w:pPr>
      <w:r w:rsidRPr="00E877AA">
        <w:rPr>
          <w:rFonts w:cs="Arial"/>
          <w:color w:val="000000"/>
          <w:szCs w:val="22"/>
        </w:rPr>
        <w:t xml:space="preserve">Finanční arbitr přijal v roce </w:t>
      </w:r>
      <w:r w:rsidR="009C10F5" w:rsidRPr="00E877AA">
        <w:rPr>
          <w:rFonts w:cs="Arial"/>
          <w:color w:val="000000"/>
          <w:szCs w:val="22"/>
        </w:rPr>
        <w:t>201</w:t>
      </w:r>
      <w:r w:rsidR="00921457" w:rsidRPr="00E877AA">
        <w:rPr>
          <w:rFonts w:cs="Arial"/>
          <w:color w:val="000000"/>
          <w:szCs w:val="22"/>
        </w:rPr>
        <w:t>8</w:t>
      </w:r>
      <w:r w:rsidRPr="00E877AA">
        <w:rPr>
          <w:rFonts w:cs="Arial"/>
          <w:color w:val="000000"/>
          <w:szCs w:val="22"/>
        </w:rPr>
        <w:t xml:space="preserve"> </w:t>
      </w:r>
      <w:r w:rsidRPr="00E877AA">
        <w:rPr>
          <w:rFonts w:cs="Arial"/>
          <w:szCs w:val="22"/>
        </w:rPr>
        <w:t xml:space="preserve">celkem </w:t>
      </w:r>
      <w:r w:rsidR="009C10F5" w:rsidRPr="00E877AA">
        <w:rPr>
          <w:rFonts w:cs="Arial"/>
          <w:szCs w:val="22"/>
        </w:rPr>
        <w:t>1</w:t>
      </w:r>
      <w:r w:rsidR="00894557" w:rsidRPr="00E877AA">
        <w:rPr>
          <w:rFonts w:cs="Arial"/>
          <w:szCs w:val="22"/>
        </w:rPr>
        <w:t>.</w:t>
      </w:r>
      <w:r w:rsidR="00576BFD" w:rsidRPr="00E877AA">
        <w:rPr>
          <w:rFonts w:cs="Arial"/>
          <w:szCs w:val="22"/>
        </w:rPr>
        <w:t>3</w:t>
      </w:r>
      <w:r w:rsidR="00921457" w:rsidRPr="00E877AA">
        <w:rPr>
          <w:rFonts w:cs="Arial"/>
          <w:szCs w:val="22"/>
        </w:rPr>
        <w:t>99</w:t>
      </w:r>
      <w:r w:rsidRPr="00E877AA">
        <w:rPr>
          <w:rFonts w:cs="Arial"/>
          <w:szCs w:val="22"/>
        </w:rPr>
        <w:t xml:space="preserve"> návrhů na zahájení řízení a </w:t>
      </w:r>
      <w:r w:rsidR="00593D79" w:rsidRPr="00E877AA">
        <w:rPr>
          <w:rFonts w:cs="Arial"/>
          <w:szCs w:val="22"/>
        </w:rPr>
        <w:t>zahájil</w:t>
      </w:r>
      <w:r w:rsidRPr="00E877AA">
        <w:rPr>
          <w:rFonts w:cs="Arial"/>
          <w:szCs w:val="22"/>
        </w:rPr>
        <w:t xml:space="preserve"> </w:t>
      </w:r>
      <w:r w:rsidR="00D94363" w:rsidRPr="00E877AA">
        <w:rPr>
          <w:rFonts w:cs="Arial"/>
          <w:szCs w:val="22"/>
        </w:rPr>
        <w:t>19</w:t>
      </w:r>
      <w:r w:rsidR="00BD3455" w:rsidRPr="00E877AA">
        <w:rPr>
          <w:rFonts w:cs="Arial"/>
          <w:szCs w:val="22"/>
        </w:rPr>
        <w:t> </w:t>
      </w:r>
      <w:r w:rsidRPr="00E877AA">
        <w:rPr>
          <w:rFonts w:cs="Arial"/>
          <w:szCs w:val="22"/>
        </w:rPr>
        <w:t>řízení o</w:t>
      </w:r>
      <w:r w:rsidR="00593D79" w:rsidRPr="00E877AA">
        <w:rPr>
          <w:rFonts w:cs="Arial"/>
          <w:szCs w:val="22"/>
        </w:rPr>
        <w:t> </w:t>
      </w:r>
      <w:r w:rsidRPr="00E877AA">
        <w:rPr>
          <w:rFonts w:cs="Arial"/>
          <w:szCs w:val="22"/>
        </w:rPr>
        <w:t xml:space="preserve">pokutě za nesoučinnost instituce, celkem tedy bylo zahájeno </w:t>
      </w:r>
      <w:r w:rsidR="00D94363" w:rsidRPr="00E877AA">
        <w:rPr>
          <w:rFonts w:cs="Arial"/>
          <w:szCs w:val="22"/>
        </w:rPr>
        <w:t>1418</w:t>
      </w:r>
      <w:r w:rsidRPr="00E877AA">
        <w:rPr>
          <w:rFonts w:cs="Arial"/>
          <w:szCs w:val="22"/>
        </w:rPr>
        <w:t xml:space="preserve"> řízení</w:t>
      </w:r>
      <w:r w:rsidR="0085553D" w:rsidRPr="00E877AA">
        <w:rPr>
          <w:rFonts w:cs="Arial"/>
          <w:szCs w:val="22"/>
        </w:rPr>
        <w:t xml:space="preserve">. </w:t>
      </w:r>
      <w:r w:rsidR="0030463A" w:rsidRPr="00E877AA">
        <w:rPr>
          <w:rFonts w:cs="Arial"/>
          <w:color w:val="000000"/>
          <w:szCs w:val="22"/>
        </w:rPr>
        <w:t xml:space="preserve">K datu </w:t>
      </w:r>
      <w:r w:rsidR="000D3396" w:rsidRPr="00E877AA">
        <w:rPr>
          <w:rFonts w:cs="Arial"/>
          <w:color w:val="000000"/>
          <w:szCs w:val="22"/>
        </w:rPr>
        <w:t>28. 2. 2019</w:t>
      </w:r>
      <w:r w:rsidR="0030463A" w:rsidRPr="00E877AA">
        <w:rPr>
          <w:rFonts w:cs="Arial"/>
          <w:color w:val="000000"/>
          <w:szCs w:val="22"/>
        </w:rPr>
        <w:t xml:space="preserve"> </w:t>
      </w:r>
      <w:r w:rsidR="00FD0770" w:rsidRPr="00E877AA">
        <w:rPr>
          <w:rFonts w:cs="Arial"/>
          <w:color w:val="000000"/>
          <w:szCs w:val="22"/>
        </w:rPr>
        <w:t>finanční arbitr</w:t>
      </w:r>
      <w:r w:rsidR="00894557" w:rsidRPr="00E877AA">
        <w:rPr>
          <w:rFonts w:cs="Arial"/>
          <w:color w:val="000000"/>
          <w:szCs w:val="22"/>
        </w:rPr>
        <w:t xml:space="preserve"> přijal</w:t>
      </w:r>
      <w:r w:rsidR="00FD0770" w:rsidRPr="00E877AA">
        <w:rPr>
          <w:rFonts w:cs="Arial"/>
          <w:color w:val="000000"/>
          <w:szCs w:val="22"/>
        </w:rPr>
        <w:t xml:space="preserve"> již </w:t>
      </w:r>
      <w:r w:rsidR="00C95FF2" w:rsidRPr="00E877AA">
        <w:rPr>
          <w:rFonts w:cs="Arial"/>
          <w:color w:val="000000"/>
          <w:szCs w:val="22"/>
        </w:rPr>
        <w:t>183 </w:t>
      </w:r>
      <w:r w:rsidR="00272438" w:rsidRPr="00E877AA">
        <w:rPr>
          <w:rFonts w:cs="Arial"/>
          <w:color w:val="000000"/>
          <w:szCs w:val="22"/>
        </w:rPr>
        <w:t xml:space="preserve">nových </w:t>
      </w:r>
      <w:r w:rsidR="00FD0770" w:rsidRPr="00E877AA">
        <w:rPr>
          <w:rFonts w:cs="Arial"/>
          <w:color w:val="000000"/>
          <w:szCs w:val="22"/>
        </w:rPr>
        <w:t>návrh</w:t>
      </w:r>
      <w:r w:rsidR="00BC01B3" w:rsidRPr="00E877AA">
        <w:rPr>
          <w:rFonts w:cs="Arial"/>
          <w:color w:val="000000"/>
          <w:szCs w:val="22"/>
        </w:rPr>
        <w:t>ů</w:t>
      </w:r>
      <w:r w:rsidR="006C1E9D" w:rsidRPr="00E877AA">
        <w:rPr>
          <w:rFonts w:cs="Arial"/>
          <w:color w:val="000000"/>
          <w:szCs w:val="22"/>
        </w:rPr>
        <w:t xml:space="preserve"> na zahájení řízení.</w:t>
      </w:r>
    </w:p>
    <w:p w:rsidR="00C11798" w:rsidRPr="00E877AA" w:rsidRDefault="008B1327" w:rsidP="00166E77">
      <w:pPr>
        <w:pStyle w:val="Zkladntext"/>
        <w:rPr>
          <w:rFonts w:ascii="Arial" w:hAnsi="Arial" w:cs="Arial"/>
          <w:b/>
          <w:sz w:val="22"/>
          <w:szCs w:val="22"/>
        </w:rPr>
      </w:pPr>
      <w:r w:rsidRPr="00E877AA">
        <w:rPr>
          <w:rFonts w:ascii="Arial" w:hAnsi="Arial" w:cs="Arial"/>
          <w:b/>
          <w:sz w:val="22"/>
          <w:szCs w:val="22"/>
        </w:rPr>
        <w:t>Počet</w:t>
      </w:r>
      <w:r w:rsidR="00C11798" w:rsidRPr="00E877AA">
        <w:rPr>
          <w:rFonts w:ascii="Arial" w:hAnsi="Arial" w:cs="Arial"/>
          <w:b/>
          <w:sz w:val="22"/>
          <w:szCs w:val="22"/>
        </w:rPr>
        <w:t xml:space="preserve"> zahájených řízení v jednotlivých letech </w:t>
      </w:r>
      <w:r w:rsidR="00A46BFA" w:rsidRPr="00E877AA">
        <w:rPr>
          <w:rFonts w:ascii="Arial" w:hAnsi="Arial" w:cs="Arial"/>
          <w:b/>
          <w:sz w:val="22"/>
          <w:szCs w:val="22"/>
        </w:rPr>
        <w:t xml:space="preserve">od </w:t>
      </w:r>
      <w:r w:rsidRPr="00E877AA">
        <w:rPr>
          <w:rFonts w:ascii="Arial" w:hAnsi="Arial" w:cs="Arial"/>
          <w:b/>
          <w:sz w:val="22"/>
          <w:szCs w:val="22"/>
        </w:rPr>
        <w:t xml:space="preserve">vzniku finančního arbitra </w:t>
      </w:r>
      <w:r w:rsidR="00C11798" w:rsidRPr="00E877AA">
        <w:rPr>
          <w:rFonts w:ascii="Arial" w:hAnsi="Arial" w:cs="Arial"/>
          <w:b/>
          <w:sz w:val="22"/>
          <w:szCs w:val="22"/>
        </w:rPr>
        <w:t>(2003</w:t>
      </w:r>
      <w:r w:rsidR="00A46BFA" w:rsidRPr="00E877AA">
        <w:rPr>
          <w:rFonts w:ascii="Arial" w:hAnsi="Arial" w:cs="Arial"/>
          <w:b/>
          <w:sz w:val="22"/>
          <w:szCs w:val="22"/>
        </w:rPr>
        <w:t> </w:t>
      </w:r>
      <w:r w:rsidR="00273E73" w:rsidRPr="00E877AA">
        <w:rPr>
          <w:rFonts w:ascii="Arial" w:hAnsi="Arial" w:cs="Arial"/>
          <w:b/>
          <w:sz w:val="22"/>
          <w:szCs w:val="22"/>
        </w:rPr>
        <w:t>–</w:t>
      </w:r>
      <w:r w:rsidR="00A46BFA" w:rsidRPr="00E877AA">
        <w:rPr>
          <w:rFonts w:ascii="Arial" w:hAnsi="Arial" w:cs="Arial"/>
          <w:b/>
          <w:sz w:val="22"/>
          <w:szCs w:val="22"/>
        </w:rPr>
        <w:t> </w:t>
      </w:r>
      <w:r w:rsidR="00BD3455" w:rsidRPr="00E877AA">
        <w:rPr>
          <w:rFonts w:ascii="Arial" w:hAnsi="Arial" w:cs="Arial"/>
          <w:b/>
          <w:sz w:val="22"/>
          <w:szCs w:val="22"/>
        </w:rPr>
        <w:t>2019</w:t>
      </w:r>
      <w:r w:rsidR="00C11798" w:rsidRPr="00E877AA">
        <w:rPr>
          <w:rFonts w:ascii="Arial" w:hAnsi="Arial" w:cs="Arial"/>
          <w:b/>
          <w:sz w:val="22"/>
          <w:szCs w:val="22"/>
        </w:rPr>
        <w:t>)</w:t>
      </w:r>
    </w:p>
    <w:p w:rsidR="008B1327" w:rsidRPr="00E877AA" w:rsidRDefault="008B1327" w:rsidP="00166E77">
      <w:pPr>
        <w:pStyle w:val="Zkladntext"/>
        <w:rPr>
          <w:rFonts w:ascii="Arial" w:hAnsi="Arial" w:cs="Arial"/>
          <w:b/>
          <w:sz w:val="22"/>
          <w:szCs w:val="22"/>
        </w:rPr>
      </w:pPr>
    </w:p>
    <w:tbl>
      <w:tblPr>
        <w:tblpPr w:leftFromText="141" w:rightFromText="141" w:vertAnchor="text" w:tblpX="70" w:tblpY="1"/>
        <w:tblOverlap w:val="never"/>
        <w:tblW w:w="2268" w:type="dxa"/>
        <w:tblCellMar>
          <w:left w:w="0" w:type="dxa"/>
          <w:right w:w="0" w:type="dxa"/>
        </w:tblCellMar>
        <w:tblLook w:val="0600" w:firstRow="0" w:lastRow="0" w:firstColumn="0" w:lastColumn="0" w:noHBand="1" w:noVBand="1"/>
      </w:tblPr>
      <w:tblGrid>
        <w:gridCol w:w="1134"/>
        <w:gridCol w:w="1134"/>
      </w:tblGrid>
      <w:tr w:rsidR="001B219F" w:rsidRPr="00E877AA" w:rsidTr="001B219F">
        <w:trPr>
          <w:trHeight w:val="260"/>
        </w:trPr>
        <w:tc>
          <w:tcPr>
            <w:tcW w:w="1134" w:type="dxa"/>
            <w:tcBorders>
              <w:top w:val="single" w:sz="8" w:space="0" w:color="000000"/>
              <w:left w:val="single" w:sz="8" w:space="0" w:color="000000"/>
              <w:bottom w:val="single" w:sz="8" w:space="0" w:color="000000"/>
              <w:right w:val="single" w:sz="8" w:space="0" w:color="000000"/>
            </w:tcBorders>
            <w:shd w:val="clear" w:color="auto" w:fill="8DB3E2"/>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bCs/>
              </w:rPr>
              <w:t>Rok</w:t>
            </w:r>
          </w:p>
        </w:tc>
        <w:tc>
          <w:tcPr>
            <w:tcW w:w="1134" w:type="dxa"/>
            <w:tcBorders>
              <w:top w:val="single" w:sz="8" w:space="0" w:color="000000"/>
              <w:left w:val="single" w:sz="8" w:space="0" w:color="000000"/>
              <w:bottom w:val="single" w:sz="8" w:space="0" w:color="000000"/>
              <w:right w:val="single" w:sz="8" w:space="0" w:color="000000"/>
            </w:tcBorders>
            <w:shd w:val="clear" w:color="auto" w:fill="8DB3E2"/>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bCs/>
              </w:rPr>
              <w:t xml:space="preserve">Počet </w:t>
            </w:r>
          </w:p>
        </w:tc>
      </w:tr>
      <w:tr w:rsidR="001B219F" w:rsidRPr="00E877AA" w:rsidTr="001B219F">
        <w:trPr>
          <w:trHeight w:val="236"/>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2003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66</w:t>
            </w:r>
          </w:p>
        </w:tc>
      </w:tr>
      <w:tr w:rsidR="001B219F" w:rsidRPr="00E877AA" w:rsidTr="001B219F">
        <w:trPr>
          <w:trHeight w:val="199"/>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2004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130</w:t>
            </w:r>
          </w:p>
        </w:tc>
      </w:tr>
      <w:tr w:rsidR="001B219F" w:rsidRPr="00E877AA" w:rsidTr="001B219F">
        <w:trPr>
          <w:trHeight w:val="174"/>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160</w:t>
            </w:r>
          </w:p>
        </w:tc>
      </w:tr>
      <w:tr w:rsidR="001B219F" w:rsidRPr="00E877AA" w:rsidTr="001B219F">
        <w:trPr>
          <w:trHeight w:val="251"/>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2006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77</w:t>
            </w:r>
          </w:p>
        </w:tc>
      </w:tr>
      <w:tr w:rsidR="001B219F" w:rsidRPr="00E877AA" w:rsidTr="001B219F">
        <w:trPr>
          <w:trHeight w:val="226"/>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2007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95</w:t>
            </w:r>
          </w:p>
        </w:tc>
      </w:tr>
      <w:tr w:rsidR="001B219F" w:rsidRPr="00E877AA" w:rsidTr="001B219F">
        <w:trPr>
          <w:trHeight w:val="245"/>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2008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99</w:t>
            </w:r>
          </w:p>
        </w:tc>
      </w:tr>
      <w:tr w:rsidR="001B219F" w:rsidRPr="00E877AA" w:rsidTr="001B219F">
        <w:trPr>
          <w:trHeight w:val="220"/>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2009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118</w:t>
            </w:r>
          </w:p>
        </w:tc>
      </w:tr>
      <w:tr w:rsidR="001B219F" w:rsidRPr="00E877AA" w:rsidTr="001B219F">
        <w:trPr>
          <w:trHeight w:val="183"/>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135</w:t>
            </w:r>
          </w:p>
        </w:tc>
      </w:tr>
      <w:tr w:rsidR="001B219F" w:rsidRPr="00E877AA" w:rsidTr="001B219F">
        <w:trPr>
          <w:trHeight w:val="158"/>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167</w:t>
            </w:r>
          </w:p>
        </w:tc>
      </w:tr>
      <w:tr w:rsidR="001B219F" w:rsidRPr="00E877AA" w:rsidTr="001B219F">
        <w:trPr>
          <w:trHeight w:val="263"/>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204</w:t>
            </w:r>
          </w:p>
        </w:tc>
      </w:tr>
      <w:tr w:rsidR="001B219F" w:rsidRPr="00E877AA" w:rsidTr="001B219F">
        <w:trPr>
          <w:trHeight w:val="311"/>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706*</w:t>
            </w:r>
          </w:p>
        </w:tc>
      </w:tr>
      <w:tr w:rsidR="001B219F" w:rsidRPr="00E877AA" w:rsidTr="001B219F">
        <w:trPr>
          <w:trHeight w:val="233"/>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629</w:t>
            </w:r>
          </w:p>
        </w:tc>
      </w:tr>
      <w:tr w:rsidR="001B219F" w:rsidRPr="00E877AA" w:rsidTr="001B219F">
        <w:trPr>
          <w:trHeight w:val="194"/>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hideMark/>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962</w:t>
            </w:r>
          </w:p>
        </w:tc>
      </w:tr>
      <w:tr w:rsidR="001B219F" w:rsidRPr="00E877AA" w:rsidTr="001B219F">
        <w:trPr>
          <w:trHeight w:val="194"/>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1951</w:t>
            </w:r>
          </w:p>
        </w:tc>
      </w:tr>
      <w:tr w:rsidR="001B219F" w:rsidRPr="00E877AA" w:rsidTr="001B219F">
        <w:trPr>
          <w:trHeight w:val="194"/>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tcPr>
          <w:p w:rsidR="001B219F" w:rsidRPr="00E877AA" w:rsidRDefault="001B219F" w:rsidP="00166E77">
            <w:pPr>
              <w:autoSpaceDE w:val="0"/>
              <w:autoSpaceDN w:val="0"/>
              <w:adjustRightInd w:val="0"/>
              <w:spacing w:after="0"/>
              <w:jc w:val="both"/>
              <w:rPr>
                <w:rFonts w:ascii="Arial" w:hAnsi="Arial" w:cs="Arial"/>
              </w:rPr>
            </w:pPr>
            <w:r w:rsidRPr="00E877AA">
              <w:rPr>
                <w:rFonts w:ascii="Arial" w:hAnsi="Arial" w:cs="Arial"/>
              </w:rPr>
              <w:t>2017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tcPr>
          <w:p w:rsidR="001B219F" w:rsidRPr="00E877AA" w:rsidRDefault="001B219F" w:rsidP="00166E77">
            <w:pPr>
              <w:autoSpaceDE w:val="0"/>
              <w:autoSpaceDN w:val="0"/>
              <w:adjustRightInd w:val="0"/>
              <w:spacing w:after="0"/>
              <w:jc w:val="both"/>
              <w:rPr>
                <w:rFonts w:ascii="Arial" w:hAnsi="Arial" w:cs="Arial"/>
                <w:b/>
              </w:rPr>
            </w:pPr>
            <w:r w:rsidRPr="00E877AA">
              <w:rPr>
                <w:rFonts w:ascii="Arial" w:hAnsi="Arial" w:cs="Arial"/>
                <w:b/>
              </w:rPr>
              <w:t>1</w:t>
            </w:r>
            <w:r w:rsidR="00576BFD" w:rsidRPr="00E877AA">
              <w:rPr>
                <w:rFonts w:ascii="Arial" w:hAnsi="Arial" w:cs="Arial"/>
                <w:b/>
              </w:rPr>
              <w:t>337</w:t>
            </w:r>
          </w:p>
        </w:tc>
      </w:tr>
      <w:tr w:rsidR="008B1327" w:rsidRPr="00E877AA" w:rsidTr="001B219F">
        <w:trPr>
          <w:trHeight w:val="194"/>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tcPr>
          <w:p w:rsidR="008B1327" w:rsidRPr="00E877AA" w:rsidRDefault="008B1327" w:rsidP="00166E77">
            <w:pPr>
              <w:autoSpaceDE w:val="0"/>
              <w:autoSpaceDN w:val="0"/>
              <w:adjustRightInd w:val="0"/>
              <w:spacing w:after="0"/>
              <w:jc w:val="both"/>
              <w:rPr>
                <w:rFonts w:ascii="Arial" w:hAnsi="Arial" w:cs="Arial"/>
              </w:rPr>
            </w:pPr>
            <w:r w:rsidRPr="00E877AA">
              <w:rPr>
                <w:rFonts w:ascii="Arial" w:hAnsi="Arial" w:cs="Arial"/>
              </w:rPr>
              <w:t>2018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tcPr>
          <w:p w:rsidR="008B1327" w:rsidRPr="00E877AA" w:rsidRDefault="00D6480B" w:rsidP="00D6480B">
            <w:pPr>
              <w:autoSpaceDE w:val="0"/>
              <w:autoSpaceDN w:val="0"/>
              <w:adjustRightInd w:val="0"/>
              <w:spacing w:after="0"/>
              <w:jc w:val="both"/>
              <w:rPr>
                <w:rFonts w:ascii="Arial" w:hAnsi="Arial" w:cs="Arial"/>
                <w:b/>
              </w:rPr>
            </w:pPr>
            <w:r w:rsidRPr="00E877AA">
              <w:rPr>
                <w:rFonts w:ascii="Arial" w:hAnsi="Arial" w:cs="Arial"/>
                <w:b/>
              </w:rPr>
              <w:t>1399</w:t>
            </w:r>
          </w:p>
        </w:tc>
      </w:tr>
      <w:tr w:rsidR="00D6480B" w:rsidRPr="00E877AA" w:rsidTr="001B219F">
        <w:trPr>
          <w:trHeight w:val="194"/>
        </w:trPr>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tcPr>
          <w:p w:rsidR="00D6480B" w:rsidRPr="00E877AA" w:rsidRDefault="00D6480B" w:rsidP="00166E77">
            <w:pPr>
              <w:autoSpaceDE w:val="0"/>
              <w:autoSpaceDN w:val="0"/>
              <w:adjustRightInd w:val="0"/>
              <w:spacing w:after="0"/>
              <w:jc w:val="both"/>
              <w:rPr>
                <w:rFonts w:ascii="Arial" w:hAnsi="Arial" w:cs="Arial"/>
              </w:rPr>
            </w:pPr>
            <w:r w:rsidRPr="00E877AA">
              <w:rPr>
                <w:rFonts w:ascii="Arial" w:hAnsi="Arial" w:cs="Arial"/>
              </w:rPr>
              <w:t>2019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70" w:type="dxa"/>
              <w:bottom w:w="0" w:type="dxa"/>
              <w:right w:w="70" w:type="dxa"/>
            </w:tcMar>
            <w:vAlign w:val="bottom"/>
          </w:tcPr>
          <w:p w:rsidR="00D6480B" w:rsidRPr="00E877AA" w:rsidRDefault="00A31369" w:rsidP="00166E77">
            <w:pPr>
              <w:autoSpaceDE w:val="0"/>
              <w:autoSpaceDN w:val="0"/>
              <w:adjustRightInd w:val="0"/>
              <w:spacing w:after="0"/>
              <w:jc w:val="both"/>
              <w:rPr>
                <w:rFonts w:ascii="Arial" w:hAnsi="Arial" w:cs="Arial"/>
                <w:b/>
              </w:rPr>
            </w:pPr>
            <w:r w:rsidRPr="00E877AA">
              <w:rPr>
                <w:rFonts w:ascii="Arial" w:hAnsi="Arial" w:cs="Arial"/>
                <w:b/>
              </w:rPr>
              <w:t>183</w:t>
            </w:r>
            <w:r w:rsidR="000D3396" w:rsidRPr="00E877AA">
              <w:rPr>
                <w:rFonts w:ascii="Arial" w:hAnsi="Arial" w:cs="Arial"/>
                <w:b/>
              </w:rPr>
              <w:t>**</w:t>
            </w:r>
          </w:p>
        </w:tc>
      </w:tr>
    </w:tbl>
    <w:p w:rsidR="001B219F" w:rsidRPr="00E877AA" w:rsidRDefault="00BE504D" w:rsidP="00166E77">
      <w:pPr>
        <w:autoSpaceDE w:val="0"/>
        <w:autoSpaceDN w:val="0"/>
        <w:adjustRightInd w:val="0"/>
        <w:spacing w:after="0"/>
        <w:rPr>
          <w:rFonts w:ascii="Arial" w:hAnsi="Arial" w:cs="Arial"/>
        </w:rPr>
      </w:pPr>
      <w:r w:rsidRPr="00E877AA">
        <w:rPr>
          <w:noProof/>
          <w:lang w:eastAsia="cs-CZ"/>
        </w:rPr>
        <w:drawing>
          <wp:inline distT="0" distB="0" distL="0" distR="0" wp14:anchorId="63226393" wp14:editId="3952F923">
            <wp:extent cx="4662616" cy="3319848"/>
            <wp:effectExtent l="0" t="0" r="24130" b="1397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D3396" w:rsidRPr="00E877AA" w:rsidRDefault="000D3396" w:rsidP="00166E77">
      <w:pPr>
        <w:autoSpaceDE w:val="0"/>
        <w:autoSpaceDN w:val="0"/>
        <w:adjustRightInd w:val="0"/>
        <w:spacing w:after="0"/>
        <w:rPr>
          <w:rFonts w:ascii="Arial" w:hAnsi="Arial" w:cs="Arial"/>
        </w:rPr>
      </w:pPr>
    </w:p>
    <w:p w:rsidR="004B0328" w:rsidRPr="00E877AA" w:rsidRDefault="004B0328" w:rsidP="00166E77">
      <w:pPr>
        <w:autoSpaceDE w:val="0"/>
        <w:autoSpaceDN w:val="0"/>
        <w:adjustRightInd w:val="0"/>
        <w:spacing w:after="0"/>
        <w:jc w:val="both"/>
        <w:rPr>
          <w:rFonts w:ascii="Arial" w:hAnsi="Arial" w:cs="Arial"/>
          <w:sz w:val="18"/>
          <w:szCs w:val="18"/>
        </w:rPr>
      </w:pPr>
      <w:r w:rsidRPr="00E877AA">
        <w:rPr>
          <w:rFonts w:ascii="Arial" w:hAnsi="Arial" w:cs="Arial"/>
        </w:rPr>
        <w:t xml:space="preserve">* </w:t>
      </w:r>
      <w:r w:rsidRPr="00E877AA">
        <w:rPr>
          <w:rFonts w:ascii="Arial" w:hAnsi="Arial" w:cs="Arial"/>
          <w:sz w:val="18"/>
          <w:szCs w:val="18"/>
        </w:rPr>
        <w:t>v roce 2013 finanční arbitr současně řešil i 93</w:t>
      </w:r>
      <w:r w:rsidR="00894557" w:rsidRPr="00E877AA">
        <w:rPr>
          <w:rFonts w:ascii="Arial" w:hAnsi="Arial" w:cs="Arial"/>
          <w:sz w:val="18"/>
          <w:szCs w:val="18"/>
        </w:rPr>
        <w:t>.</w:t>
      </w:r>
      <w:r w:rsidRPr="00E877AA">
        <w:rPr>
          <w:rFonts w:ascii="Arial" w:hAnsi="Arial" w:cs="Arial"/>
          <w:sz w:val="18"/>
          <w:szCs w:val="18"/>
        </w:rPr>
        <w:t>139 hromadně podaných sporů o poplatek za</w:t>
      </w:r>
      <w:r w:rsidR="00894557" w:rsidRPr="00E877AA">
        <w:rPr>
          <w:rFonts w:ascii="Arial" w:hAnsi="Arial" w:cs="Arial"/>
          <w:sz w:val="18"/>
          <w:szCs w:val="18"/>
        </w:rPr>
        <w:t> </w:t>
      </w:r>
      <w:r w:rsidRPr="00E877AA">
        <w:rPr>
          <w:rFonts w:ascii="Arial" w:hAnsi="Arial" w:cs="Arial"/>
          <w:sz w:val="18"/>
          <w:szCs w:val="18"/>
        </w:rPr>
        <w:t>správu úvěru (informace o</w:t>
      </w:r>
      <w:r w:rsidR="006E4C1E" w:rsidRPr="00E877AA">
        <w:rPr>
          <w:rFonts w:ascii="Arial" w:hAnsi="Arial" w:cs="Arial"/>
          <w:sz w:val="18"/>
          <w:szCs w:val="18"/>
        </w:rPr>
        <w:t> </w:t>
      </w:r>
      <w:r w:rsidRPr="00E877AA">
        <w:rPr>
          <w:rFonts w:ascii="Arial" w:hAnsi="Arial" w:cs="Arial"/>
          <w:sz w:val="18"/>
          <w:szCs w:val="18"/>
        </w:rPr>
        <w:t>vyřízení sporů obsahovala</w:t>
      </w:r>
      <w:r w:rsidR="00134C2D" w:rsidRPr="00E877AA">
        <w:rPr>
          <w:rFonts w:ascii="Arial" w:hAnsi="Arial" w:cs="Arial"/>
          <w:sz w:val="18"/>
          <w:szCs w:val="18"/>
        </w:rPr>
        <w:t xml:space="preserve"> Výroční</w:t>
      </w:r>
      <w:r w:rsidRPr="00E877AA">
        <w:rPr>
          <w:rFonts w:ascii="Arial" w:hAnsi="Arial" w:cs="Arial"/>
          <w:sz w:val="18"/>
          <w:szCs w:val="18"/>
        </w:rPr>
        <w:t xml:space="preserve"> zpráva o činnosti finančního arbitra za rok 2014)</w:t>
      </w:r>
    </w:p>
    <w:p w:rsidR="00A95E9E" w:rsidRPr="00E877AA" w:rsidRDefault="00172F96" w:rsidP="00166E77">
      <w:pPr>
        <w:autoSpaceDE w:val="0"/>
        <w:autoSpaceDN w:val="0"/>
        <w:adjustRightInd w:val="0"/>
        <w:spacing w:after="0"/>
        <w:jc w:val="both"/>
        <w:rPr>
          <w:rFonts w:ascii="Arial" w:hAnsi="Arial" w:cs="Arial"/>
          <w:sz w:val="18"/>
          <w:szCs w:val="18"/>
        </w:rPr>
      </w:pPr>
      <w:r w:rsidRPr="00E877AA">
        <w:rPr>
          <w:rFonts w:ascii="Arial" w:hAnsi="Arial" w:cs="Arial"/>
          <w:sz w:val="18"/>
          <w:szCs w:val="18"/>
        </w:rPr>
        <w:t xml:space="preserve">** stav ke dni </w:t>
      </w:r>
      <w:r w:rsidR="00E36657" w:rsidRPr="00E877AA">
        <w:rPr>
          <w:rFonts w:ascii="Arial" w:hAnsi="Arial" w:cs="Arial"/>
          <w:sz w:val="18"/>
          <w:szCs w:val="18"/>
        </w:rPr>
        <w:t>28</w:t>
      </w:r>
      <w:r w:rsidRPr="00E877AA">
        <w:rPr>
          <w:rFonts w:ascii="Arial" w:hAnsi="Arial" w:cs="Arial"/>
          <w:sz w:val="18"/>
          <w:szCs w:val="18"/>
        </w:rPr>
        <w:t>. </w:t>
      </w:r>
      <w:r w:rsidR="00E36657" w:rsidRPr="00E877AA">
        <w:rPr>
          <w:rFonts w:ascii="Arial" w:hAnsi="Arial" w:cs="Arial"/>
          <w:sz w:val="18"/>
          <w:szCs w:val="18"/>
        </w:rPr>
        <w:t>2</w:t>
      </w:r>
      <w:r w:rsidRPr="00E877AA">
        <w:rPr>
          <w:rFonts w:ascii="Arial" w:hAnsi="Arial" w:cs="Arial"/>
          <w:sz w:val="18"/>
          <w:szCs w:val="18"/>
        </w:rPr>
        <w:t>. </w:t>
      </w:r>
      <w:r w:rsidR="00E36657" w:rsidRPr="00E877AA">
        <w:rPr>
          <w:rFonts w:ascii="Arial" w:hAnsi="Arial" w:cs="Arial"/>
          <w:sz w:val="18"/>
          <w:szCs w:val="18"/>
        </w:rPr>
        <w:t>2019</w:t>
      </w:r>
    </w:p>
    <w:p w:rsidR="00225A22" w:rsidRPr="00E877AA" w:rsidRDefault="00C11798" w:rsidP="00166E77">
      <w:pPr>
        <w:pStyle w:val="Bntextzprvy"/>
        <w:spacing w:before="240"/>
        <w:rPr>
          <w:rFonts w:cs="Arial"/>
          <w:b/>
          <w:i/>
          <w:szCs w:val="22"/>
        </w:rPr>
      </w:pPr>
      <w:r w:rsidRPr="00E877AA">
        <w:rPr>
          <w:rFonts w:cs="Arial"/>
          <w:b/>
          <w:i/>
          <w:szCs w:val="22"/>
        </w:rPr>
        <w:t>Rozdělení zahájených řízení</w:t>
      </w:r>
      <w:r w:rsidR="008B1327" w:rsidRPr="00E877AA">
        <w:rPr>
          <w:rFonts w:cs="Arial"/>
          <w:b/>
          <w:i/>
          <w:szCs w:val="22"/>
        </w:rPr>
        <w:t xml:space="preserve"> </w:t>
      </w:r>
      <w:r w:rsidRPr="00E877AA">
        <w:rPr>
          <w:rFonts w:cs="Arial"/>
          <w:b/>
          <w:i/>
          <w:szCs w:val="22"/>
        </w:rPr>
        <w:t>podle oblastí v</w:t>
      </w:r>
      <w:r w:rsidR="00F70136" w:rsidRPr="00E877AA">
        <w:rPr>
          <w:rFonts w:cs="Arial"/>
          <w:b/>
          <w:i/>
          <w:szCs w:val="22"/>
        </w:rPr>
        <w:t> </w:t>
      </w:r>
      <w:r w:rsidRPr="00E877AA">
        <w:rPr>
          <w:rFonts w:cs="Arial"/>
          <w:b/>
          <w:i/>
          <w:szCs w:val="22"/>
        </w:rPr>
        <w:t>roce 20</w:t>
      </w:r>
      <w:r w:rsidR="00586870" w:rsidRPr="00E877AA">
        <w:rPr>
          <w:rFonts w:cs="Arial"/>
          <w:b/>
          <w:i/>
          <w:szCs w:val="22"/>
        </w:rPr>
        <w:t>1</w:t>
      </w:r>
      <w:r w:rsidR="000800D9" w:rsidRPr="00E877AA">
        <w:rPr>
          <w:rFonts w:cs="Arial"/>
          <w:b/>
          <w:i/>
          <w:szCs w:val="22"/>
        </w:rPr>
        <w:t>8</w:t>
      </w:r>
    </w:p>
    <w:p w:rsidR="00790C21" w:rsidRPr="00E877AA" w:rsidRDefault="00790C21" w:rsidP="00166E77">
      <w:pPr>
        <w:autoSpaceDE w:val="0"/>
        <w:autoSpaceDN w:val="0"/>
        <w:adjustRightInd w:val="0"/>
        <w:spacing w:after="0"/>
        <w:jc w:val="both"/>
        <w:rPr>
          <w:rFonts w:ascii="Arial" w:hAnsi="Arial" w:cs="Arial"/>
          <w:color w:val="000000"/>
        </w:rPr>
      </w:pPr>
      <w:r w:rsidRPr="00E877AA">
        <w:rPr>
          <w:rFonts w:ascii="Arial" w:hAnsi="Arial" w:cs="Arial"/>
        </w:rPr>
        <w:t xml:space="preserve">Nejvíce návrhů na zahájení řízení přijatých v roce </w:t>
      </w:r>
      <w:r w:rsidR="00DE796E" w:rsidRPr="00E877AA">
        <w:rPr>
          <w:rFonts w:ascii="Arial" w:hAnsi="Arial" w:cs="Arial"/>
        </w:rPr>
        <w:t xml:space="preserve">2018 </w:t>
      </w:r>
      <w:r w:rsidRPr="00E877AA">
        <w:rPr>
          <w:rFonts w:ascii="Arial" w:hAnsi="Arial" w:cs="Arial"/>
        </w:rPr>
        <w:t xml:space="preserve">stejně jako v předchozím období představovaly spory ze životního pojištění a ze </w:t>
      </w:r>
      <w:r w:rsidRPr="00E877AA">
        <w:rPr>
          <w:rFonts w:ascii="Arial" w:hAnsi="Arial" w:cs="Arial"/>
          <w:color w:val="000000"/>
        </w:rPr>
        <w:t>spotřebitelských úvěrů. Nejméně sporů přitom napadá ze směnárenské činnosti</w:t>
      </w:r>
      <w:r w:rsidR="002F7E08" w:rsidRPr="00E877AA">
        <w:rPr>
          <w:rFonts w:ascii="Arial" w:hAnsi="Arial" w:cs="Arial"/>
          <w:color w:val="000000"/>
        </w:rPr>
        <w:t xml:space="preserve"> a z kolektivního investování</w:t>
      </w:r>
      <w:r w:rsidRPr="00E877AA">
        <w:rPr>
          <w:rFonts w:ascii="Arial" w:hAnsi="Arial" w:cs="Arial"/>
          <w:color w:val="000000"/>
        </w:rPr>
        <w:t>.</w:t>
      </w:r>
    </w:p>
    <w:p w:rsidR="00C95FF2" w:rsidRPr="00E877AA" w:rsidRDefault="00C95FF2" w:rsidP="00166E77">
      <w:pPr>
        <w:autoSpaceDE w:val="0"/>
        <w:autoSpaceDN w:val="0"/>
        <w:adjustRightInd w:val="0"/>
        <w:spacing w:after="0"/>
        <w:jc w:val="both"/>
        <w:rPr>
          <w:rFonts w:ascii="Arial" w:hAnsi="Arial" w:cs="Arial"/>
          <w:sz w:val="18"/>
          <w:szCs w:val="18"/>
        </w:rPr>
      </w:pPr>
    </w:p>
    <w:tbl>
      <w:tblPr>
        <w:tblpPr w:leftFromText="141" w:rightFromText="141" w:vertAnchor="text" w:horzAnchor="page" w:tblpX="7234" w:tblpY="67"/>
        <w:tblW w:w="3471" w:type="dxa"/>
        <w:tblCellMar>
          <w:left w:w="70" w:type="dxa"/>
          <w:right w:w="70" w:type="dxa"/>
        </w:tblCellMar>
        <w:tblLook w:val="04A0" w:firstRow="1" w:lastRow="0" w:firstColumn="1" w:lastColumn="0" w:noHBand="0" w:noVBand="1"/>
      </w:tblPr>
      <w:tblGrid>
        <w:gridCol w:w="2435"/>
        <w:gridCol w:w="1036"/>
      </w:tblGrid>
      <w:tr w:rsidR="00344C2C" w:rsidRPr="00E877AA" w:rsidTr="00344C2C">
        <w:trPr>
          <w:trHeight w:val="292"/>
        </w:trPr>
        <w:tc>
          <w:tcPr>
            <w:tcW w:w="2435" w:type="dxa"/>
            <w:tcBorders>
              <w:top w:val="single" w:sz="4" w:space="0" w:color="auto"/>
              <w:left w:val="single" w:sz="4" w:space="0" w:color="auto"/>
              <w:bottom w:val="single" w:sz="4" w:space="0" w:color="auto"/>
              <w:right w:val="single" w:sz="4" w:space="0" w:color="auto"/>
            </w:tcBorders>
            <w:shd w:val="clear" w:color="000000" w:fill="B0C4DE"/>
            <w:hideMark/>
          </w:tcPr>
          <w:p w:rsidR="00344C2C" w:rsidRPr="00E877AA" w:rsidRDefault="00344C2C" w:rsidP="00344C2C">
            <w:pPr>
              <w:spacing w:after="0"/>
              <w:rPr>
                <w:rFonts w:ascii="Arial" w:eastAsia="Times New Roman" w:hAnsi="Arial" w:cs="Arial"/>
                <w:b/>
                <w:bCs/>
                <w:color w:val="000000"/>
                <w:lang w:eastAsia="cs-CZ"/>
              </w:rPr>
            </w:pPr>
            <w:r w:rsidRPr="00E877AA">
              <w:rPr>
                <w:rFonts w:ascii="Arial" w:eastAsia="Times New Roman" w:hAnsi="Arial" w:cs="Arial"/>
                <w:b/>
                <w:bCs/>
                <w:color w:val="000000"/>
                <w:lang w:eastAsia="cs-CZ"/>
              </w:rPr>
              <w:t>Oblast</w:t>
            </w:r>
          </w:p>
        </w:tc>
        <w:tc>
          <w:tcPr>
            <w:tcW w:w="1036" w:type="dxa"/>
            <w:tcBorders>
              <w:top w:val="single" w:sz="4" w:space="0" w:color="auto"/>
              <w:left w:val="nil"/>
              <w:bottom w:val="single" w:sz="4" w:space="0" w:color="auto"/>
              <w:right w:val="single" w:sz="4" w:space="0" w:color="auto"/>
            </w:tcBorders>
            <w:shd w:val="clear" w:color="000000" w:fill="B0C4DE"/>
            <w:hideMark/>
          </w:tcPr>
          <w:p w:rsidR="00344C2C" w:rsidRPr="00E877AA" w:rsidRDefault="00344C2C" w:rsidP="00344C2C">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Počet</w:t>
            </w:r>
          </w:p>
        </w:tc>
      </w:tr>
      <w:tr w:rsidR="00344C2C" w:rsidRPr="00E877AA" w:rsidTr="00344C2C">
        <w:trPr>
          <w:trHeight w:val="292"/>
        </w:trPr>
        <w:tc>
          <w:tcPr>
            <w:tcW w:w="2435" w:type="dxa"/>
            <w:tcBorders>
              <w:top w:val="single" w:sz="4" w:space="0" w:color="auto"/>
              <w:left w:val="single" w:sz="4" w:space="0" w:color="auto"/>
              <w:bottom w:val="single" w:sz="4" w:space="0" w:color="auto"/>
              <w:right w:val="single" w:sz="4" w:space="0" w:color="auto"/>
            </w:tcBorders>
            <w:shd w:val="clear" w:color="auto" w:fill="auto"/>
            <w:hideMark/>
          </w:tcPr>
          <w:p w:rsidR="00344C2C" w:rsidRPr="00E877AA" w:rsidRDefault="00351030" w:rsidP="00351030">
            <w:pPr>
              <w:spacing w:after="0"/>
              <w:rPr>
                <w:rFonts w:ascii="Arial" w:eastAsia="Times New Roman" w:hAnsi="Arial" w:cs="Arial"/>
                <w:color w:val="000000"/>
                <w:lang w:eastAsia="cs-CZ"/>
              </w:rPr>
            </w:pPr>
            <w:r w:rsidRPr="00E877AA">
              <w:rPr>
                <w:rFonts w:ascii="Arial" w:eastAsia="Times New Roman" w:hAnsi="Arial" w:cs="Arial"/>
                <w:color w:val="000000"/>
                <w:lang w:eastAsia="cs-CZ"/>
              </w:rPr>
              <w:t>Životní pojištění</w:t>
            </w:r>
          </w:p>
        </w:tc>
        <w:tc>
          <w:tcPr>
            <w:tcW w:w="1036" w:type="dxa"/>
            <w:tcBorders>
              <w:top w:val="nil"/>
              <w:left w:val="nil"/>
              <w:bottom w:val="single" w:sz="4" w:space="0" w:color="auto"/>
              <w:right w:val="single" w:sz="4" w:space="0" w:color="auto"/>
            </w:tcBorders>
            <w:shd w:val="clear" w:color="auto" w:fill="auto"/>
            <w:hideMark/>
          </w:tcPr>
          <w:p w:rsidR="00344C2C" w:rsidRPr="00E877AA" w:rsidRDefault="00351030" w:rsidP="00344C2C">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626</w:t>
            </w:r>
          </w:p>
        </w:tc>
      </w:tr>
      <w:tr w:rsidR="00344C2C" w:rsidRPr="00E877AA" w:rsidTr="00344C2C">
        <w:trPr>
          <w:trHeight w:val="292"/>
        </w:trPr>
        <w:tc>
          <w:tcPr>
            <w:tcW w:w="2435" w:type="dxa"/>
            <w:tcBorders>
              <w:top w:val="single" w:sz="4" w:space="0" w:color="auto"/>
              <w:left w:val="single" w:sz="4" w:space="0" w:color="auto"/>
              <w:bottom w:val="single" w:sz="4" w:space="0" w:color="auto"/>
              <w:right w:val="single" w:sz="4" w:space="0" w:color="auto"/>
            </w:tcBorders>
            <w:shd w:val="clear" w:color="auto" w:fill="auto"/>
            <w:hideMark/>
          </w:tcPr>
          <w:p w:rsidR="00344C2C" w:rsidRPr="00E877AA" w:rsidRDefault="00351030" w:rsidP="00344C2C">
            <w:pPr>
              <w:spacing w:after="0"/>
              <w:rPr>
                <w:rFonts w:ascii="Arial" w:eastAsia="Times New Roman" w:hAnsi="Arial" w:cs="Arial"/>
                <w:color w:val="000000"/>
                <w:lang w:eastAsia="cs-CZ"/>
              </w:rPr>
            </w:pPr>
            <w:r w:rsidRPr="00E877AA">
              <w:rPr>
                <w:rFonts w:ascii="Arial" w:eastAsia="Times New Roman" w:hAnsi="Arial" w:cs="Arial"/>
                <w:color w:val="000000"/>
                <w:lang w:eastAsia="cs-CZ"/>
              </w:rPr>
              <w:t>Stavební spoření</w:t>
            </w:r>
          </w:p>
        </w:tc>
        <w:tc>
          <w:tcPr>
            <w:tcW w:w="1036" w:type="dxa"/>
            <w:tcBorders>
              <w:top w:val="nil"/>
              <w:left w:val="nil"/>
              <w:bottom w:val="single" w:sz="4" w:space="0" w:color="auto"/>
              <w:right w:val="single" w:sz="4" w:space="0" w:color="auto"/>
            </w:tcBorders>
            <w:shd w:val="clear" w:color="auto" w:fill="auto"/>
            <w:hideMark/>
          </w:tcPr>
          <w:p w:rsidR="00344C2C" w:rsidRPr="00E877AA" w:rsidRDefault="00351030" w:rsidP="00344C2C">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56</w:t>
            </w:r>
          </w:p>
        </w:tc>
      </w:tr>
      <w:tr w:rsidR="00344C2C" w:rsidRPr="00E877AA" w:rsidTr="00344C2C">
        <w:trPr>
          <w:trHeight w:val="292"/>
        </w:trPr>
        <w:tc>
          <w:tcPr>
            <w:tcW w:w="2435" w:type="dxa"/>
            <w:tcBorders>
              <w:top w:val="single" w:sz="4" w:space="0" w:color="auto"/>
              <w:left w:val="single" w:sz="4" w:space="0" w:color="auto"/>
              <w:bottom w:val="single" w:sz="4" w:space="0" w:color="auto"/>
              <w:right w:val="single" w:sz="4" w:space="0" w:color="auto"/>
            </w:tcBorders>
            <w:shd w:val="clear" w:color="auto" w:fill="auto"/>
            <w:hideMark/>
          </w:tcPr>
          <w:p w:rsidR="00344C2C" w:rsidRPr="00E877AA" w:rsidRDefault="00E42503" w:rsidP="00E42503">
            <w:pPr>
              <w:spacing w:after="0"/>
              <w:rPr>
                <w:rFonts w:ascii="Arial" w:eastAsia="Times New Roman" w:hAnsi="Arial" w:cs="Arial"/>
                <w:color w:val="000000"/>
                <w:lang w:eastAsia="cs-CZ"/>
              </w:rPr>
            </w:pPr>
            <w:r w:rsidRPr="00E877AA">
              <w:rPr>
                <w:rFonts w:ascii="Arial" w:eastAsia="Times New Roman" w:hAnsi="Arial" w:cs="Arial"/>
                <w:color w:val="000000"/>
                <w:lang w:eastAsia="cs-CZ"/>
              </w:rPr>
              <w:t>Spotřebitelský úvěr</w:t>
            </w:r>
          </w:p>
        </w:tc>
        <w:tc>
          <w:tcPr>
            <w:tcW w:w="1036" w:type="dxa"/>
            <w:tcBorders>
              <w:top w:val="nil"/>
              <w:left w:val="nil"/>
              <w:bottom w:val="single" w:sz="4" w:space="0" w:color="auto"/>
              <w:right w:val="single" w:sz="4" w:space="0" w:color="auto"/>
            </w:tcBorders>
            <w:shd w:val="clear" w:color="auto" w:fill="auto"/>
            <w:hideMark/>
          </w:tcPr>
          <w:p w:rsidR="00344C2C" w:rsidRPr="00E877AA" w:rsidRDefault="00E42503" w:rsidP="00344C2C">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514</w:t>
            </w:r>
          </w:p>
        </w:tc>
      </w:tr>
      <w:tr w:rsidR="00344C2C" w:rsidRPr="00E877AA" w:rsidTr="00344C2C">
        <w:trPr>
          <w:trHeight w:val="292"/>
        </w:trPr>
        <w:tc>
          <w:tcPr>
            <w:tcW w:w="2435" w:type="dxa"/>
            <w:tcBorders>
              <w:top w:val="single" w:sz="4" w:space="0" w:color="auto"/>
              <w:left w:val="single" w:sz="4" w:space="0" w:color="auto"/>
              <w:bottom w:val="single" w:sz="4" w:space="0" w:color="auto"/>
              <w:right w:val="single" w:sz="4" w:space="0" w:color="auto"/>
            </w:tcBorders>
            <w:shd w:val="clear" w:color="auto" w:fill="auto"/>
            <w:hideMark/>
          </w:tcPr>
          <w:p w:rsidR="00344C2C" w:rsidRPr="00E877AA" w:rsidRDefault="00E42503" w:rsidP="00351030">
            <w:pPr>
              <w:spacing w:after="0"/>
              <w:rPr>
                <w:rFonts w:ascii="Arial" w:eastAsia="Times New Roman" w:hAnsi="Arial" w:cs="Arial"/>
                <w:color w:val="000000"/>
                <w:lang w:eastAsia="cs-CZ"/>
              </w:rPr>
            </w:pPr>
            <w:r w:rsidRPr="00E877AA">
              <w:rPr>
                <w:rFonts w:ascii="Arial" w:eastAsia="Times New Roman" w:hAnsi="Arial" w:cs="Arial"/>
                <w:color w:val="000000"/>
                <w:lang w:eastAsia="cs-CZ"/>
              </w:rPr>
              <w:t>Platební služby</w:t>
            </w:r>
          </w:p>
        </w:tc>
        <w:tc>
          <w:tcPr>
            <w:tcW w:w="1036" w:type="dxa"/>
            <w:tcBorders>
              <w:top w:val="nil"/>
              <w:left w:val="nil"/>
              <w:bottom w:val="single" w:sz="4" w:space="0" w:color="auto"/>
              <w:right w:val="single" w:sz="4" w:space="0" w:color="auto"/>
            </w:tcBorders>
            <w:shd w:val="clear" w:color="auto" w:fill="auto"/>
            <w:hideMark/>
          </w:tcPr>
          <w:p w:rsidR="00344C2C" w:rsidRPr="00E877AA" w:rsidRDefault="00E42503" w:rsidP="00351030">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130</w:t>
            </w:r>
          </w:p>
        </w:tc>
      </w:tr>
      <w:tr w:rsidR="00344C2C" w:rsidRPr="00E877AA" w:rsidTr="00344C2C">
        <w:trPr>
          <w:trHeight w:val="292"/>
        </w:trPr>
        <w:tc>
          <w:tcPr>
            <w:tcW w:w="2435" w:type="dxa"/>
            <w:tcBorders>
              <w:top w:val="single" w:sz="4" w:space="0" w:color="auto"/>
              <w:left w:val="single" w:sz="4" w:space="0" w:color="auto"/>
              <w:bottom w:val="single" w:sz="4" w:space="0" w:color="auto"/>
              <w:right w:val="single" w:sz="4" w:space="0" w:color="auto"/>
            </w:tcBorders>
            <w:shd w:val="clear" w:color="auto" w:fill="auto"/>
            <w:hideMark/>
          </w:tcPr>
          <w:p w:rsidR="00344C2C" w:rsidRPr="00E877AA" w:rsidRDefault="00351030" w:rsidP="00344C2C">
            <w:pPr>
              <w:spacing w:after="0"/>
              <w:rPr>
                <w:rFonts w:ascii="Arial" w:eastAsia="Times New Roman" w:hAnsi="Arial" w:cs="Arial"/>
                <w:color w:val="000000"/>
                <w:lang w:eastAsia="cs-CZ"/>
              </w:rPr>
            </w:pPr>
            <w:r w:rsidRPr="00E877AA">
              <w:rPr>
                <w:rFonts w:ascii="Arial" w:eastAsia="Times New Roman" w:hAnsi="Arial" w:cs="Arial"/>
                <w:color w:val="000000"/>
                <w:lang w:eastAsia="cs-CZ"/>
              </w:rPr>
              <w:t>Kolektivní investování</w:t>
            </w:r>
            <w:r w:rsidRPr="00E877AA" w:rsidDel="00351030">
              <w:rPr>
                <w:rFonts w:ascii="Arial" w:eastAsia="Times New Roman" w:hAnsi="Arial" w:cs="Arial"/>
                <w:color w:val="000000"/>
                <w:lang w:eastAsia="cs-CZ"/>
              </w:rPr>
              <w:t xml:space="preserve"> </w:t>
            </w:r>
          </w:p>
        </w:tc>
        <w:tc>
          <w:tcPr>
            <w:tcW w:w="1036" w:type="dxa"/>
            <w:tcBorders>
              <w:top w:val="nil"/>
              <w:left w:val="nil"/>
              <w:bottom w:val="single" w:sz="4" w:space="0" w:color="auto"/>
              <w:right w:val="single" w:sz="4" w:space="0" w:color="auto"/>
            </w:tcBorders>
            <w:shd w:val="clear" w:color="auto" w:fill="auto"/>
            <w:hideMark/>
          </w:tcPr>
          <w:p w:rsidR="00344C2C" w:rsidRPr="00E877AA" w:rsidRDefault="00351030" w:rsidP="00351030">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3</w:t>
            </w:r>
          </w:p>
        </w:tc>
      </w:tr>
      <w:tr w:rsidR="00344C2C" w:rsidRPr="00E877AA" w:rsidTr="00344C2C">
        <w:trPr>
          <w:trHeight w:val="292"/>
        </w:trPr>
        <w:tc>
          <w:tcPr>
            <w:tcW w:w="2435" w:type="dxa"/>
            <w:tcBorders>
              <w:top w:val="single" w:sz="4" w:space="0" w:color="auto"/>
              <w:left w:val="single" w:sz="4" w:space="0" w:color="auto"/>
              <w:bottom w:val="single" w:sz="4" w:space="0" w:color="auto"/>
              <w:right w:val="single" w:sz="4" w:space="0" w:color="auto"/>
            </w:tcBorders>
            <w:shd w:val="clear" w:color="auto" w:fill="auto"/>
            <w:hideMark/>
          </w:tcPr>
          <w:p w:rsidR="00344C2C" w:rsidRPr="00E877AA" w:rsidRDefault="00351030" w:rsidP="00344C2C">
            <w:pPr>
              <w:spacing w:after="0"/>
              <w:rPr>
                <w:rFonts w:ascii="Arial" w:eastAsia="Times New Roman" w:hAnsi="Arial" w:cs="Arial"/>
                <w:color w:val="000000"/>
                <w:lang w:eastAsia="cs-CZ"/>
              </w:rPr>
            </w:pPr>
            <w:r w:rsidRPr="00E877AA">
              <w:rPr>
                <w:rFonts w:ascii="Arial" w:eastAsia="Times New Roman" w:hAnsi="Arial" w:cs="Arial"/>
                <w:color w:val="000000"/>
                <w:lang w:eastAsia="cs-CZ"/>
              </w:rPr>
              <w:t>Retailové investice</w:t>
            </w:r>
            <w:r w:rsidRPr="00E877AA" w:rsidDel="00351030">
              <w:rPr>
                <w:rFonts w:ascii="Arial" w:eastAsia="Times New Roman" w:hAnsi="Arial" w:cs="Arial"/>
                <w:color w:val="000000"/>
                <w:lang w:eastAsia="cs-CZ"/>
              </w:rPr>
              <w:t xml:space="preserve"> </w:t>
            </w:r>
          </w:p>
        </w:tc>
        <w:tc>
          <w:tcPr>
            <w:tcW w:w="1036" w:type="dxa"/>
            <w:tcBorders>
              <w:top w:val="nil"/>
              <w:left w:val="nil"/>
              <w:bottom w:val="single" w:sz="4" w:space="0" w:color="auto"/>
              <w:right w:val="single" w:sz="4" w:space="0" w:color="auto"/>
            </w:tcBorders>
            <w:shd w:val="clear" w:color="auto" w:fill="auto"/>
            <w:hideMark/>
          </w:tcPr>
          <w:p w:rsidR="00344C2C" w:rsidRPr="00E877AA" w:rsidRDefault="00351030" w:rsidP="00344C2C">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36</w:t>
            </w:r>
          </w:p>
        </w:tc>
      </w:tr>
      <w:tr w:rsidR="00344C2C" w:rsidRPr="00E877AA" w:rsidTr="00344C2C">
        <w:trPr>
          <w:trHeight w:val="292"/>
        </w:trPr>
        <w:tc>
          <w:tcPr>
            <w:tcW w:w="2435" w:type="dxa"/>
            <w:tcBorders>
              <w:top w:val="single" w:sz="4" w:space="0" w:color="auto"/>
              <w:left w:val="single" w:sz="4" w:space="0" w:color="auto"/>
              <w:bottom w:val="single" w:sz="4" w:space="0" w:color="auto"/>
              <w:right w:val="single" w:sz="4" w:space="0" w:color="auto"/>
            </w:tcBorders>
            <w:shd w:val="clear" w:color="auto" w:fill="auto"/>
            <w:hideMark/>
          </w:tcPr>
          <w:p w:rsidR="00344C2C" w:rsidRPr="00E877AA" w:rsidRDefault="00351030" w:rsidP="00344C2C">
            <w:pPr>
              <w:spacing w:after="0"/>
              <w:rPr>
                <w:rFonts w:ascii="Arial" w:eastAsia="Times New Roman" w:hAnsi="Arial" w:cs="Arial"/>
                <w:color w:val="000000"/>
                <w:lang w:eastAsia="cs-CZ"/>
              </w:rPr>
            </w:pPr>
            <w:r w:rsidRPr="00E877AA">
              <w:rPr>
                <w:rFonts w:ascii="Arial" w:eastAsia="Times New Roman" w:hAnsi="Arial" w:cs="Arial"/>
                <w:color w:val="000000"/>
                <w:lang w:eastAsia="cs-CZ"/>
              </w:rPr>
              <w:t>Směnárenská činnost</w:t>
            </w:r>
            <w:r w:rsidRPr="00E877AA" w:rsidDel="00351030">
              <w:rPr>
                <w:rFonts w:ascii="Arial" w:eastAsia="Times New Roman" w:hAnsi="Arial" w:cs="Arial"/>
                <w:color w:val="000000"/>
                <w:lang w:eastAsia="cs-CZ"/>
              </w:rPr>
              <w:t xml:space="preserve"> </w:t>
            </w:r>
          </w:p>
        </w:tc>
        <w:tc>
          <w:tcPr>
            <w:tcW w:w="1036" w:type="dxa"/>
            <w:tcBorders>
              <w:top w:val="nil"/>
              <w:left w:val="nil"/>
              <w:bottom w:val="single" w:sz="4" w:space="0" w:color="auto"/>
              <w:right w:val="single" w:sz="4" w:space="0" w:color="auto"/>
            </w:tcBorders>
            <w:shd w:val="clear" w:color="auto" w:fill="auto"/>
            <w:hideMark/>
          </w:tcPr>
          <w:p w:rsidR="00344C2C" w:rsidRPr="00E877AA" w:rsidRDefault="00351030" w:rsidP="00344C2C">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25</w:t>
            </w:r>
          </w:p>
        </w:tc>
      </w:tr>
      <w:tr w:rsidR="00344C2C" w:rsidRPr="00E877AA" w:rsidTr="00344C2C">
        <w:trPr>
          <w:trHeight w:val="292"/>
        </w:trPr>
        <w:tc>
          <w:tcPr>
            <w:tcW w:w="2435" w:type="dxa"/>
            <w:tcBorders>
              <w:top w:val="single" w:sz="4" w:space="0" w:color="auto"/>
              <w:left w:val="single" w:sz="4" w:space="0" w:color="auto"/>
              <w:bottom w:val="single" w:sz="4" w:space="0" w:color="auto"/>
              <w:right w:val="single" w:sz="4" w:space="0" w:color="auto"/>
            </w:tcBorders>
            <w:shd w:val="clear" w:color="auto" w:fill="auto"/>
            <w:hideMark/>
          </w:tcPr>
          <w:p w:rsidR="00344C2C" w:rsidRPr="00E877AA" w:rsidRDefault="00351030" w:rsidP="00344C2C">
            <w:pPr>
              <w:spacing w:after="0"/>
              <w:rPr>
                <w:rFonts w:ascii="Arial" w:eastAsia="Times New Roman" w:hAnsi="Arial" w:cs="Arial"/>
                <w:color w:val="000000"/>
                <w:lang w:eastAsia="cs-CZ"/>
              </w:rPr>
            </w:pPr>
            <w:r w:rsidRPr="00E877AA">
              <w:rPr>
                <w:rFonts w:ascii="Arial" w:eastAsia="Times New Roman" w:hAnsi="Arial" w:cs="Arial"/>
                <w:color w:val="000000"/>
                <w:lang w:eastAsia="cs-CZ"/>
              </w:rPr>
              <w:t>Ostatní (mimo působnost)</w:t>
            </w:r>
          </w:p>
        </w:tc>
        <w:tc>
          <w:tcPr>
            <w:tcW w:w="1036" w:type="dxa"/>
            <w:tcBorders>
              <w:top w:val="nil"/>
              <w:left w:val="nil"/>
              <w:bottom w:val="single" w:sz="4" w:space="0" w:color="auto"/>
              <w:right w:val="single" w:sz="4" w:space="0" w:color="auto"/>
            </w:tcBorders>
            <w:shd w:val="clear" w:color="auto" w:fill="auto"/>
            <w:hideMark/>
          </w:tcPr>
          <w:p w:rsidR="00344C2C" w:rsidRPr="00E877AA" w:rsidRDefault="00351030" w:rsidP="00344C2C">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9</w:t>
            </w:r>
          </w:p>
        </w:tc>
      </w:tr>
      <w:tr w:rsidR="00344C2C" w:rsidRPr="00E877AA" w:rsidTr="00344C2C">
        <w:trPr>
          <w:trHeight w:val="292"/>
        </w:trPr>
        <w:tc>
          <w:tcPr>
            <w:tcW w:w="2435" w:type="dxa"/>
            <w:tcBorders>
              <w:top w:val="single" w:sz="4" w:space="0" w:color="auto"/>
              <w:left w:val="single" w:sz="4" w:space="0" w:color="auto"/>
              <w:bottom w:val="single" w:sz="4" w:space="0" w:color="auto"/>
              <w:right w:val="single" w:sz="4" w:space="0" w:color="auto"/>
            </w:tcBorders>
            <w:shd w:val="clear" w:color="auto" w:fill="auto"/>
            <w:hideMark/>
          </w:tcPr>
          <w:p w:rsidR="00344C2C" w:rsidRPr="00E877AA" w:rsidRDefault="00344C2C" w:rsidP="00344C2C">
            <w:pPr>
              <w:spacing w:after="0"/>
              <w:rPr>
                <w:rFonts w:ascii="Arial" w:eastAsia="Times New Roman" w:hAnsi="Arial" w:cs="Arial"/>
                <w:b/>
                <w:bCs/>
                <w:color w:val="000000"/>
                <w:lang w:eastAsia="cs-CZ"/>
              </w:rPr>
            </w:pPr>
            <w:r w:rsidRPr="00E877AA">
              <w:rPr>
                <w:rFonts w:ascii="Arial" w:eastAsia="Times New Roman" w:hAnsi="Arial" w:cs="Arial"/>
                <w:b/>
                <w:bCs/>
                <w:color w:val="000000"/>
                <w:lang w:eastAsia="cs-CZ"/>
              </w:rPr>
              <w:t>Celkem</w:t>
            </w:r>
          </w:p>
        </w:tc>
        <w:tc>
          <w:tcPr>
            <w:tcW w:w="1036" w:type="dxa"/>
            <w:tcBorders>
              <w:top w:val="nil"/>
              <w:left w:val="nil"/>
              <w:bottom w:val="single" w:sz="4" w:space="0" w:color="auto"/>
              <w:right w:val="single" w:sz="4" w:space="0" w:color="auto"/>
            </w:tcBorders>
            <w:shd w:val="clear" w:color="auto" w:fill="auto"/>
            <w:hideMark/>
          </w:tcPr>
          <w:p w:rsidR="00344C2C" w:rsidRPr="00E877AA" w:rsidRDefault="00344C2C" w:rsidP="00344C2C">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1</w:t>
            </w:r>
            <w:r w:rsidR="00D5663A" w:rsidRPr="00E877AA">
              <w:rPr>
                <w:rFonts w:ascii="Arial" w:eastAsia="Times New Roman" w:hAnsi="Arial" w:cs="Arial"/>
                <w:b/>
                <w:bCs/>
                <w:color w:val="000000"/>
                <w:lang w:eastAsia="cs-CZ"/>
              </w:rPr>
              <w:t xml:space="preserve"> </w:t>
            </w:r>
            <w:r w:rsidRPr="00E877AA">
              <w:rPr>
                <w:rFonts w:ascii="Arial" w:eastAsia="Times New Roman" w:hAnsi="Arial" w:cs="Arial"/>
                <w:b/>
                <w:bCs/>
                <w:color w:val="000000"/>
                <w:lang w:eastAsia="cs-CZ"/>
              </w:rPr>
              <w:t>399</w:t>
            </w:r>
          </w:p>
        </w:tc>
      </w:tr>
    </w:tbl>
    <w:p w:rsidR="00790C21" w:rsidRPr="00E877AA" w:rsidRDefault="00351030" w:rsidP="00166E77">
      <w:pPr>
        <w:pStyle w:val="Bntextzprvy"/>
        <w:spacing w:before="0" w:after="0"/>
        <w:rPr>
          <w:rFonts w:cs="Arial"/>
          <w:b/>
          <w:szCs w:val="22"/>
        </w:rPr>
      </w:pPr>
      <w:r w:rsidRPr="00E877AA">
        <w:rPr>
          <w:noProof/>
        </w:rPr>
        <w:t xml:space="preserve"> </w:t>
      </w:r>
      <w:r w:rsidRPr="00E877AA">
        <w:rPr>
          <w:noProof/>
        </w:rPr>
        <w:drawing>
          <wp:inline distT="0" distB="0" distL="0" distR="0" wp14:anchorId="3F2C7B6C" wp14:editId="2887B18E">
            <wp:extent cx="3616411" cy="2240692"/>
            <wp:effectExtent l="0" t="0" r="22225" b="2667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46100" w:rsidRPr="00E877AA" w:rsidRDefault="00E918B6" w:rsidP="00E1489B">
      <w:pPr>
        <w:pStyle w:val="Bntextzprvy"/>
        <w:keepNext/>
        <w:rPr>
          <w:rFonts w:cs="Arial"/>
          <w:szCs w:val="22"/>
        </w:rPr>
      </w:pPr>
      <w:r w:rsidRPr="00E877AA">
        <w:rPr>
          <w:rFonts w:cs="Arial"/>
          <w:szCs w:val="22"/>
        </w:rPr>
        <w:lastRenderedPageBreak/>
        <w:t>V roce 201</w:t>
      </w:r>
      <w:r w:rsidR="00344C2C" w:rsidRPr="00E877AA">
        <w:rPr>
          <w:rFonts w:cs="Arial"/>
          <w:szCs w:val="22"/>
        </w:rPr>
        <w:t>8</w:t>
      </w:r>
      <w:r w:rsidRPr="00E877AA">
        <w:rPr>
          <w:rFonts w:cs="Arial"/>
          <w:szCs w:val="22"/>
        </w:rPr>
        <w:t xml:space="preserve"> </w:t>
      </w:r>
      <w:r w:rsidR="00974822" w:rsidRPr="00E877AA">
        <w:rPr>
          <w:rFonts w:cs="Arial"/>
          <w:szCs w:val="22"/>
        </w:rPr>
        <w:t xml:space="preserve">samozřejmě </w:t>
      </w:r>
      <w:r w:rsidRPr="00E877AA">
        <w:rPr>
          <w:rFonts w:cs="Arial"/>
          <w:szCs w:val="22"/>
        </w:rPr>
        <w:t>probíhala i řízení, která byla zahájena v předchozích obdobích</w:t>
      </w:r>
      <w:r w:rsidR="00840D9A" w:rsidRPr="00E877AA">
        <w:rPr>
          <w:rFonts w:cs="Arial"/>
          <w:szCs w:val="22"/>
        </w:rPr>
        <w:t xml:space="preserve">, </w:t>
      </w:r>
      <w:r w:rsidR="00746100" w:rsidRPr="00E877AA">
        <w:rPr>
          <w:rFonts w:cs="Arial"/>
          <w:szCs w:val="22"/>
        </w:rPr>
        <w:t>vedle řízení zahájených v roce 201</w:t>
      </w:r>
      <w:r w:rsidR="00344C2C" w:rsidRPr="00E877AA">
        <w:rPr>
          <w:rFonts w:cs="Arial"/>
          <w:szCs w:val="22"/>
        </w:rPr>
        <w:t>8</w:t>
      </w:r>
      <w:r w:rsidR="00746100" w:rsidRPr="00E877AA">
        <w:rPr>
          <w:rFonts w:cs="Arial"/>
          <w:szCs w:val="22"/>
        </w:rPr>
        <w:t xml:space="preserve">, probíhalo ještě </w:t>
      </w:r>
      <w:r w:rsidR="00344C2C" w:rsidRPr="00E877AA">
        <w:rPr>
          <w:rFonts w:cs="Arial"/>
          <w:szCs w:val="22"/>
        </w:rPr>
        <w:t>2</w:t>
      </w:r>
      <w:r w:rsidR="00D5663A" w:rsidRPr="00E877AA">
        <w:rPr>
          <w:rFonts w:cs="Arial"/>
          <w:szCs w:val="22"/>
        </w:rPr>
        <w:t xml:space="preserve"> </w:t>
      </w:r>
      <w:r w:rsidR="00344C2C" w:rsidRPr="00E877AA">
        <w:rPr>
          <w:rFonts w:cs="Arial"/>
          <w:szCs w:val="22"/>
        </w:rPr>
        <w:t>220</w:t>
      </w:r>
      <w:r w:rsidR="000E68FE" w:rsidRPr="00E877AA">
        <w:rPr>
          <w:rFonts w:cs="Arial"/>
          <w:szCs w:val="22"/>
        </w:rPr>
        <w:t xml:space="preserve"> </w:t>
      </w:r>
      <w:r w:rsidR="00746100" w:rsidRPr="00E877AA">
        <w:rPr>
          <w:rFonts w:cs="Arial"/>
          <w:szCs w:val="22"/>
        </w:rPr>
        <w:t xml:space="preserve">řízení, </w:t>
      </w:r>
      <w:r w:rsidR="00840D9A" w:rsidRPr="00E877AA">
        <w:rPr>
          <w:rFonts w:cs="Arial"/>
          <w:szCs w:val="22"/>
        </w:rPr>
        <w:t xml:space="preserve">celkem </w:t>
      </w:r>
      <w:r w:rsidR="00746100" w:rsidRPr="00E877AA">
        <w:rPr>
          <w:rFonts w:cs="Arial"/>
          <w:szCs w:val="22"/>
        </w:rPr>
        <w:t xml:space="preserve">tedy </w:t>
      </w:r>
      <w:r w:rsidR="00840D9A" w:rsidRPr="00E877AA">
        <w:rPr>
          <w:rFonts w:cs="Arial"/>
          <w:szCs w:val="22"/>
        </w:rPr>
        <w:t>probíhalo</w:t>
      </w:r>
      <w:r w:rsidR="0089097C" w:rsidRPr="00E877AA">
        <w:rPr>
          <w:rFonts w:cs="Arial"/>
          <w:szCs w:val="22"/>
        </w:rPr>
        <w:t xml:space="preserve"> </w:t>
      </w:r>
      <w:r w:rsidR="00344C2C" w:rsidRPr="00E877AA">
        <w:rPr>
          <w:rFonts w:cs="Arial"/>
          <w:szCs w:val="22"/>
        </w:rPr>
        <w:t>3</w:t>
      </w:r>
      <w:r w:rsidR="00D5663A" w:rsidRPr="00E877AA">
        <w:rPr>
          <w:rFonts w:cs="Arial"/>
          <w:szCs w:val="22"/>
        </w:rPr>
        <w:t xml:space="preserve"> </w:t>
      </w:r>
      <w:r w:rsidR="00344C2C" w:rsidRPr="00E877AA">
        <w:rPr>
          <w:rFonts w:cs="Arial"/>
          <w:szCs w:val="22"/>
        </w:rPr>
        <w:t>619</w:t>
      </w:r>
      <w:r w:rsidR="009D2DB3" w:rsidRPr="00E877AA">
        <w:rPr>
          <w:rFonts w:cs="Arial"/>
          <w:szCs w:val="22"/>
        </w:rPr>
        <w:t xml:space="preserve"> </w:t>
      </w:r>
      <w:r w:rsidR="0089097C" w:rsidRPr="00E877AA">
        <w:rPr>
          <w:rFonts w:cs="Arial"/>
          <w:szCs w:val="22"/>
        </w:rPr>
        <w:t>řízení</w:t>
      </w:r>
      <w:r w:rsidR="00FB0433" w:rsidRPr="00E877AA">
        <w:rPr>
          <w:rFonts w:cs="Arial"/>
          <w:szCs w:val="22"/>
        </w:rPr>
        <w:t>.</w:t>
      </w:r>
    </w:p>
    <w:p w:rsidR="000955B0" w:rsidRPr="00E877AA" w:rsidRDefault="00E918B6" w:rsidP="00166E77">
      <w:pPr>
        <w:pStyle w:val="Bntextzprvy"/>
        <w:rPr>
          <w:rFonts w:cs="Arial"/>
          <w:szCs w:val="22"/>
        </w:rPr>
      </w:pPr>
      <w:r w:rsidRPr="00E877AA">
        <w:rPr>
          <w:rFonts w:cs="Arial"/>
          <w:szCs w:val="22"/>
        </w:rPr>
        <w:t>Probíhajícím řízením se rozumí</w:t>
      </w:r>
      <w:r w:rsidR="00D17D91" w:rsidRPr="00E877AA">
        <w:rPr>
          <w:rFonts w:cs="Arial"/>
          <w:szCs w:val="22"/>
        </w:rPr>
        <w:t xml:space="preserve"> i</w:t>
      </w:r>
      <w:r w:rsidRPr="00E877AA">
        <w:rPr>
          <w:rFonts w:cs="Arial"/>
          <w:szCs w:val="22"/>
        </w:rPr>
        <w:t xml:space="preserve"> řízení, které bylo přerušeno ze zákonných důvodů </w:t>
      </w:r>
      <w:r w:rsidR="00C95FF2" w:rsidRPr="00E877AA">
        <w:rPr>
          <w:rFonts w:cs="Arial"/>
          <w:szCs w:val="22"/>
        </w:rPr>
        <w:t xml:space="preserve">(probíhající insolvenční řízení instituce nebo navrhovatele) </w:t>
      </w:r>
      <w:r w:rsidRPr="00E877AA">
        <w:rPr>
          <w:rFonts w:cs="Arial"/>
          <w:szCs w:val="22"/>
        </w:rPr>
        <w:t>nebo na</w:t>
      </w:r>
      <w:r w:rsidR="00A95E9E" w:rsidRPr="00E877AA">
        <w:rPr>
          <w:rFonts w:cs="Arial"/>
          <w:szCs w:val="22"/>
        </w:rPr>
        <w:t> </w:t>
      </w:r>
      <w:r w:rsidR="0089097C" w:rsidRPr="00E877AA">
        <w:rPr>
          <w:rFonts w:cs="Arial"/>
          <w:szCs w:val="22"/>
        </w:rPr>
        <w:t>žádost navrhovatele</w:t>
      </w:r>
      <w:r w:rsidR="00C95FF2" w:rsidRPr="00E877AA">
        <w:rPr>
          <w:rFonts w:cs="Arial"/>
          <w:szCs w:val="22"/>
        </w:rPr>
        <w:t xml:space="preserve"> (vyčkání soudního přezkumu jiného rozhodnutí finančního arbitra v obdobné věci</w:t>
      </w:r>
      <w:r w:rsidR="00633F51" w:rsidRPr="00E877AA">
        <w:rPr>
          <w:rFonts w:cs="Arial"/>
          <w:szCs w:val="22"/>
        </w:rPr>
        <w:t>); řízení, ve kterém navrhovatel odstraňuje nedostatky návrhu na zahájení řízení nebo návrh doplňuje a požádá o poskytnutí delší lhůty;</w:t>
      </w:r>
      <w:r w:rsidR="0089097C" w:rsidRPr="00E877AA">
        <w:rPr>
          <w:rFonts w:cs="Arial"/>
          <w:szCs w:val="22"/>
        </w:rPr>
        <w:t xml:space="preserve"> </w:t>
      </w:r>
      <w:r w:rsidR="002F5006" w:rsidRPr="00E877AA">
        <w:rPr>
          <w:rFonts w:cs="Arial"/>
          <w:szCs w:val="22"/>
        </w:rPr>
        <w:t>a současně řízení, ve kter</w:t>
      </w:r>
      <w:r w:rsidR="006E0C17" w:rsidRPr="00E877AA">
        <w:rPr>
          <w:rFonts w:cs="Arial"/>
          <w:szCs w:val="22"/>
        </w:rPr>
        <w:t>ém</w:t>
      </w:r>
      <w:r w:rsidR="002F5006" w:rsidRPr="00E877AA">
        <w:rPr>
          <w:rFonts w:cs="Arial"/>
          <w:szCs w:val="22"/>
        </w:rPr>
        <w:t xml:space="preserve"> probíh</w:t>
      </w:r>
      <w:r w:rsidR="006E0C17" w:rsidRPr="00E877AA">
        <w:rPr>
          <w:rFonts w:cs="Arial"/>
          <w:szCs w:val="22"/>
        </w:rPr>
        <w:t>á</w:t>
      </w:r>
      <w:r w:rsidR="002F5006" w:rsidRPr="00E877AA">
        <w:rPr>
          <w:rFonts w:cs="Arial"/>
          <w:szCs w:val="22"/>
        </w:rPr>
        <w:t xml:space="preserve"> shromažďování podkladů, jednání o smírném řešení sporu nebo příprava rozhodnutí ve</w:t>
      </w:r>
      <w:r w:rsidR="006E1263" w:rsidRPr="00E877AA">
        <w:rPr>
          <w:rFonts w:cs="Arial"/>
          <w:szCs w:val="22"/>
        </w:rPr>
        <w:t> </w:t>
      </w:r>
      <w:r w:rsidR="002F5006" w:rsidRPr="00E877AA">
        <w:rPr>
          <w:rFonts w:cs="Arial"/>
          <w:szCs w:val="22"/>
        </w:rPr>
        <w:t xml:space="preserve">věci nebo </w:t>
      </w:r>
      <w:r w:rsidR="004B3042" w:rsidRPr="00E877AA">
        <w:rPr>
          <w:rFonts w:cs="Arial"/>
          <w:szCs w:val="22"/>
        </w:rPr>
        <w:t xml:space="preserve">řízení o námitkách, tedy řízení, </w:t>
      </w:r>
      <w:r w:rsidRPr="00E877AA">
        <w:rPr>
          <w:rFonts w:cs="Arial"/>
          <w:szCs w:val="22"/>
        </w:rPr>
        <w:t>kter</w:t>
      </w:r>
      <w:r w:rsidR="006E0C17" w:rsidRPr="00E877AA">
        <w:rPr>
          <w:rFonts w:cs="Arial"/>
          <w:szCs w:val="22"/>
        </w:rPr>
        <w:t>é</w:t>
      </w:r>
      <w:r w:rsidRPr="00E877AA">
        <w:rPr>
          <w:rFonts w:cs="Arial"/>
          <w:szCs w:val="22"/>
        </w:rPr>
        <w:t xml:space="preserve"> nebyl</w:t>
      </w:r>
      <w:r w:rsidR="006E0C17" w:rsidRPr="00E877AA">
        <w:rPr>
          <w:rFonts w:cs="Arial"/>
          <w:szCs w:val="22"/>
        </w:rPr>
        <w:t>o</w:t>
      </w:r>
      <w:r w:rsidRPr="00E877AA">
        <w:rPr>
          <w:rFonts w:cs="Arial"/>
          <w:szCs w:val="22"/>
        </w:rPr>
        <w:t xml:space="preserve"> do</w:t>
      </w:r>
      <w:r w:rsidR="00E706FA" w:rsidRPr="00E877AA">
        <w:rPr>
          <w:rFonts w:cs="Arial"/>
          <w:szCs w:val="22"/>
        </w:rPr>
        <w:t> </w:t>
      </w:r>
      <w:r w:rsidRPr="00E877AA">
        <w:rPr>
          <w:rFonts w:cs="Arial"/>
          <w:szCs w:val="22"/>
        </w:rPr>
        <w:t>31. 12. 201</w:t>
      </w:r>
      <w:r w:rsidR="00DE796E" w:rsidRPr="00E877AA">
        <w:rPr>
          <w:rFonts w:cs="Arial"/>
          <w:szCs w:val="22"/>
        </w:rPr>
        <w:t>8</w:t>
      </w:r>
      <w:r w:rsidRPr="00E877AA">
        <w:rPr>
          <w:rFonts w:cs="Arial"/>
          <w:szCs w:val="22"/>
        </w:rPr>
        <w:t xml:space="preserve"> pravomocně skončen</w:t>
      </w:r>
      <w:r w:rsidR="006E0C17" w:rsidRPr="00E877AA">
        <w:rPr>
          <w:rFonts w:cs="Arial"/>
          <w:szCs w:val="22"/>
        </w:rPr>
        <w:t>o</w:t>
      </w:r>
      <w:r w:rsidR="002F7E08" w:rsidRPr="00E877AA">
        <w:rPr>
          <w:rFonts w:cs="Arial"/>
          <w:szCs w:val="22"/>
        </w:rPr>
        <w:t>.</w:t>
      </w:r>
    </w:p>
    <w:p w:rsidR="00764260" w:rsidRPr="00E877AA" w:rsidRDefault="00764260" w:rsidP="00166E77">
      <w:pPr>
        <w:pStyle w:val="Bntextzprvy"/>
        <w:spacing w:after="0"/>
        <w:rPr>
          <w:rFonts w:cs="Arial"/>
          <w:b/>
          <w:szCs w:val="22"/>
        </w:rPr>
      </w:pPr>
      <w:r w:rsidRPr="00E877AA">
        <w:rPr>
          <w:rFonts w:cs="Arial"/>
          <w:b/>
          <w:szCs w:val="22"/>
        </w:rPr>
        <w:t>Rozdělení</w:t>
      </w:r>
      <w:r w:rsidR="00D947E0" w:rsidRPr="00E877AA">
        <w:rPr>
          <w:rFonts w:cs="Arial"/>
          <w:b/>
          <w:szCs w:val="22"/>
        </w:rPr>
        <w:t xml:space="preserve"> všech </w:t>
      </w:r>
      <w:r w:rsidR="00232551" w:rsidRPr="00E877AA">
        <w:rPr>
          <w:rFonts w:cs="Arial"/>
          <w:b/>
          <w:szCs w:val="22"/>
        </w:rPr>
        <w:t>řešených sporů v roce 201</w:t>
      </w:r>
      <w:r w:rsidR="00D947E0" w:rsidRPr="00E877AA">
        <w:rPr>
          <w:rFonts w:cs="Arial"/>
          <w:b/>
          <w:szCs w:val="22"/>
        </w:rPr>
        <w:t>8</w:t>
      </w:r>
      <w:r w:rsidRPr="00E877AA">
        <w:rPr>
          <w:rFonts w:cs="Arial"/>
          <w:b/>
          <w:szCs w:val="22"/>
        </w:rPr>
        <w:t xml:space="preserve"> podle oblastí</w:t>
      </w:r>
      <w:r w:rsidR="00D947E0" w:rsidRPr="00E877AA">
        <w:rPr>
          <w:rFonts w:cs="Arial"/>
          <w:b/>
          <w:szCs w:val="22"/>
        </w:rPr>
        <w:t xml:space="preserve"> včetně sporů z předešlých období</w:t>
      </w:r>
    </w:p>
    <w:p w:rsidR="00764260" w:rsidRPr="00E877AA" w:rsidRDefault="00764260" w:rsidP="00166E77">
      <w:pPr>
        <w:pStyle w:val="Bntextzprvy"/>
        <w:spacing w:before="0" w:after="0"/>
        <w:rPr>
          <w:rFonts w:cs="Arial"/>
          <w:szCs w:val="22"/>
        </w:rPr>
      </w:pPr>
    </w:p>
    <w:tbl>
      <w:tblPr>
        <w:tblpPr w:leftFromText="141" w:rightFromText="141" w:vertAnchor="text" w:horzAnchor="margin" w:tblpXSpec="right" w:tblpY="108"/>
        <w:tblW w:w="3559" w:type="dxa"/>
        <w:tblCellMar>
          <w:left w:w="70" w:type="dxa"/>
          <w:right w:w="70" w:type="dxa"/>
        </w:tblCellMar>
        <w:tblLook w:val="04A0" w:firstRow="1" w:lastRow="0" w:firstColumn="1" w:lastColumn="0" w:noHBand="0" w:noVBand="1"/>
      </w:tblPr>
      <w:tblGrid>
        <w:gridCol w:w="2580"/>
        <w:gridCol w:w="979"/>
      </w:tblGrid>
      <w:tr w:rsidR="00D947E0" w:rsidRPr="00E877AA" w:rsidTr="00D947E0">
        <w:trPr>
          <w:trHeight w:val="129"/>
        </w:trPr>
        <w:tc>
          <w:tcPr>
            <w:tcW w:w="2580" w:type="dxa"/>
            <w:tcBorders>
              <w:top w:val="single" w:sz="4" w:space="0" w:color="auto"/>
              <w:left w:val="single" w:sz="4" w:space="0" w:color="auto"/>
              <w:bottom w:val="single" w:sz="4" w:space="0" w:color="auto"/>
              <w:right w:val="single" w:sz="4" w:space="0" w:color="auto"/>
            </w:tcBorders>
            <w:shd w:val="clear" w:color="000000" w:fill="B0C4DE"/>
            <w:hideMark/>
          </w:tcPr>
          <w:p w:rsidR="00D947E0" w:rsidRPr="00E877AA" w:rsidRDefault="00D947E0" w:rsidP="00D947E0">
            <w:pPr>
              <w:spacing w:after="0"/>
              <w:rPr>
                <w:rFonts w:ascii="Arial" w:eastAsia="Times New Roman" w:hAnsi="Arial" w:cs="Arial"/>
                <w:b/>
                <w:bCs/>
                <w:color w:val="000000"/>
                <w:lang w:eastAsia="cs-CZ"/>
              </w:rPr>
            </w:pPr>
            <w:r w:rsidRPr="00E877AA">
              <w:rPr>
                <w:rFonts w:ascii="Arial" w:eastAsia="Times New Roman" w:hAnsi="Arial" w:cs="Arial"/>
                <w:b/>
                <w:bCs/>
                <w:color w:val="000000"/>
                <w:lang w:eastAsia="cs-CZ"/>
              </w:rPr>
              <w:t>Oblast</w:t>
            </w:r>
          </w:p>
        </w:tc>
        <w:tc>
          <w:tcPr>
            <w:tcW w:w="979" w:type="dxa"/>
            <w:tcBorders>
              <w:top w:val="single" w:sz="4" w:space="0" w:color="auto"/>
              <w:left w:val="nil"/>
              <w:bottom w:val="single" w:sz="4" w:space="0" w:color="auto"/>
              <w:right w:val="single" w:sz="4" w:space="0" w:color="auto"/>
            </w:tcBorders>
            <w:shd w:val="clear" w:color="000000" w:fill="B0C4DE"/>
            <w:hideMark/>
          </w:tcPr>
          <w:p w:rsidR="00D947E0" w:rsidRPr="00E877AA" w:rsidRDefault="00D947E0" w:rsidP="00D947E0">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Počet</w:t>
            </w:r>
          </w:p>
        </w:tc>
      </w:tr>
      <w:tr w:rsidR="00D947E0" w:rsidRPr="00E877AA" w:rsidTr="00D947E0">
        <w:trPr>
          <w:trHeight w:val="129"/>
        </w:trPr>
        <w:tc>
          <w:tcPr>
            <w:tcW w:w="2580" w:type="dxa"/>
            <w:tcBorders>
              <w:top w:val="single" w:sz="4" w:space="0" w:color="auto"/>
              <w:left w:val="single" w:sz="4" w:space="0" w:color="auto"/>
              <w:bottom w:val="single" w:sz="4" w:space="0" w:color="auto"/>
              <w:right w:val="single" w:sz="4" w:space="0" w:color="auto"/>
            </w:tcBorders>
            <w:shd w:val="clear" w:color="auto" w:fill="auto"/>
            <w:hideMark/>
          </w:tcPr>
          <w:p w:rsidR="00D947E0" w:rsidRPr="00E877AA" w:rsidRDefault="009F5488" w:rsidP="00E42503">
            <w:pPr>
              <w:spacing w:after="0"/>
              <w:rPr>
                <w:rFonts w:ascii="Arial" w:eastAsia="Times New Roman" w:hAnsi="Arial" w:cs="Arial"/>
                <w:color w:val="000000"/>
                <w:lang w:eastAsia="cs-CZ"/>
              </w:rPr>
            </w:pPr>
            <w:r w:rsidRPr="00E877AA">
              <w:rPr>
                <w:rFonts w:ascii="Arial" w:eastAsia="Times New Roman" w:hAnsi="Arial" w:cs="Arial"/>
                <w:color w:val="000000"/>
                <w:lang w:eastAsia="cs-CZ"/>
              </w:rPr>
              <w:t>Kolektivní investování</w:t>
            </w:r>
          </w:p>
        </w:tc>
        <w:tc>
          <w:tcPr>
            <w:tcW w:w="979" w:type="dxa"/>
            <w:tcBorders>
              <w:top w:val="nil"/>
              <w:left w:val="nil"/>
              <w:bottom w:val="single" w:sz="4" w:space="0" w:color="auto"/>
              <w:right w:val="single" w:sz="4" w:space="0" w:color="auto"/>
            </w:tcBorders>
            <w:shd w:val="clear" w:color="auto" w:fill="auto"/>
            <w:hideMark/>
          </w:tcPr>
          <w:p w:rsidR="00D947E0" w:rsidRPr="00E877AA" w:rsidRDefault="00D947E0" w:rsidP="00D947E0">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25</w:t>
            </w:r>
          </w:p>
        </w:tc>
      </w:tr>
      <w:tr w:rsidR="00D947E0" w:rsidRPr="00E877AA" w:rsidTr="00D947E0">
        <w:trPr>
          <w:trHeight w:val="129"/>
        </w:trPr>
        <w:tc>
          <w:tcPr>
            <w:tcW w:w="2580" w:type="dxa"/>
            <w:tcBorders>
              <w:top w:val="single" w:sz="4" w:space="0" w:color="auto"/>
              <w:left w:val="single" w:sz="4" w:space="0" w:color="auto"/>
              <w:bottom w:val="single" w:sz="4" w:space="0" w:color="auto"/>
              <w:right w:val="single" w:sz="4" w:space="0" w:color="auto"/>
            </w:tcBorders>
            <w:shd w:val="clear" w:color="auto" w:fill="auto"/>
            <w:hideMark/>
          </w:tcPr>
          <w:p w:rsidR="00D947E0" w:rsidRPr="00E877AA" w:rsidRDefault="009F5488" w:rsidP="00D947E0">
            <w:pPr>
              <w:spacing w:after="0"/>
              <w:rPr>
                <w:rFonts w:ascii="Arial" w:eastAsia="Times New Roman" w:hAnsi="Arial" w:cs="Arial"/>
                <w:color w:val="000000"/>
                <w:lang w:eastAsia="cs-CZ"/>
              </w:rPr>
            </w:pPr>
            <w:r>
              <w:rPr>
                <w:rFonts w:ascii="Arial" w:eastAsia="Times New Roman" w:hAnsi="Arial" w:cs="Arial"/>
                <w:color w:val="000000"/>
                <w:lang w:eastAsia="cs-CZ"/>
              </w:rPr>
              <w:t>Ostatní</w:t>
            </w:r>
          </w:p>
        </w:tc>
        <w:tc>
          <w:tcPr>
            <w:tcW w:w="979" w:type="dxa"/>
            <w:tcBorders>
              <w:top w:val="nil"/>
              <w:left w:val="nil"/>
              <w:bottom w:val="single" w:sz="4" w:space="0" w:color="auto"/>
              <w:right w:val="single" w:sz="4" w:space="0" w:color="auto"/>
            </w:tcBorders>
            <w:shd w:val="clear" w:color="auto" w:fill="auto"/>
            <w:hideMark/>
          </w:tcPr>
          <w:p w:rsidR="00D947E0" w:rsidRPr="00E877AA" w:rsidRDefault="00D947E0" w:rsidP="00D947E0">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9</w:t>
            </w:r>
          </w:p>
        </w:tc>
      </w:tr>
      <w:tr w:rsidR="00D947E0" w:rsidRPr="00E877AA" w:rsidTr="00D947E0">
        <w:trPr>
          <w:trHeight w:val="129"/>
        </w:trPr>
        <w:tc>
          <w:tcPr>
            <w:tcW w:w="2580" w:type="dxa"/>
            <w:tcBorders>
              <w:top w:val="single" w:sz="4" w:space="0" w:color="auto"/>
              <w:left w:val="single" w:sz="4" w:space="0" w:color="auto"/>
              <w:bottom w:val="single" w:sz="4" w:space="0" w:color="auto"/>
              <w:right w:val="single" w:sz="4" w:space="0" w:color="auto"/>
            </w:tcBorders>
            <w:shd w:val="clear" w:color="auto" w:fill="auto"/>
            <w:hideMark/>
          </w:tcPr>
          <w:p w:rsidR="00D947E0" w:rsidRPr="00E877AA" w:rsidRDefault="009F5488" w:rsidP="009F5488">
            <w:pPr>
              <w:spacing w:after="0"/>
              <w:rPr>
                <w:rFonts w:ascii="Arial" w:eastAsia="Times New Roman" w:hAnsi="Arial" w:cs="Arial"/>
                <w:color w:val="000000"/>
                <w:lang w:eastAsia="cs-CZ"/>
              </w:rPr>
            </w:pPr>
            <w:r w:rsidRPr="00E877AA">
              <w:rPr>
                <w:rFonts w:ascii="Arial" w:eastAsia="Times New Roman" w:hAnsi="Arial" w:cs="Arial"/>
                <w:color w:val="000000"/>
                <w:lang w:eastAsia="cs-CZ"/>
              </w:rPr>
              <w:t xml:space="preserve">Platební služby </w:t>
            </w:r>
          </w:p>
        </w:tc>
        <w:tc>
          <w:tcPr>
            <w:tcW w:w="979" w:type="dxa"/>
            <w:tcBorders>
              <w:top w:val="nil"/>
              <w:left w:val="nil"/>
              <w:bottom w:val="single" w:sz="4" w:space="0" w:color="auto"/>
              <w:right w:val="single" w:sz="4" w:space="0" w:color="auto"/>
            </w:tcBorders>
            <w:shd w:val="clear" w:color="auto" w:fill="auto"/>
            <w:hideMark/>
          </w:tcPr>
          <w:p w:rsidR="00D947E0" w:rsidRPr="00E877AA" w:rsidRDefault="00D947E0" w:rsidP="00D947E0">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287</w:t>
            </w:r>
          </w:p>
        </w:tc>
      </w:tr>
      <w:tr w:rsidR="00D947E0" w:rsidRPr="00E877AA" w:rsidTr="00D947E0">
        <w:trPr>
          <w:trHeight w:val="129"/>
        </w:trPr>
        <w:tc>
          <w:tcPr>
            <w:tcW w:w="2580" w:type="dxa"/>
            <w:tcBorders>
              <w:top w:val="single" w:sz="4" w:space="0" w:color="auto"/>
              <w:left w:val="single" w:sz="4" w:space="0" w:color="auto"/>
              <w:bottom w:val="single" w:sz="4" w:space="0" w:color="auto"/>
              <w:right w:val="single" w:sz="4" w:space="0" w:color="auto"/>
            </w:tcBorders>
            <w:shd w:val="clear" w:color="auto" w:fill="auto"/>
            <w:hideMark/>
          </w:tcPr>
          <w:p w:rsidR="00D947E0" w:rsidRPr="00E877AA" w:rsidRDefault="009F5488" w:rsidP="00D947E0">
            <w:pPr>
              <w:spacing w:after="0"/>
              <w:rPr>
                <w:rFonts w:ascii="Arial" w:eastAsia="Times New Roman" w:hAnsi="Arial" w:cs="Arial"/>
                <w:color w:val="000000"/>
                <w:lang w:eastAsia="cs-CZ"/>
              </w:rPr>
            </w:pPr>
            <w:r w:rsidRPr="00E877AA">
              <w:rPr>
                <w:rFonts w:ascii="Arial" w:eastAsia="Times New Roman" w:hAnsi="Arial" w:cs="Arial"/>
                <w:color w:val="000000"/>
                <w:lang w:eastAsia="cs-CZ"/>
              </w:rPr>
              <w:t>Retailové investice</w:t>
            </w:r>
          </w:p>
        </w:tc>
        <w:tc>
          <w:tcPr>
            <w:tcW w:w="979" w:type="dxa"/>
            <w:tcBorders>
              <w:top w:val="nil"/>
              <w:left w:val="nil"/>
              <w:bottom w:val="single" w:sz="4" w:space="0" w:color="auto"/>
              <w:right w:val="single" w:sz="4" w:space="0" w:color="auto"/>
            </w:tcBorders>
            <w:shd w:val="clear" w:color="auto" w:fill="auto"/>
            <w:hideMark/>
          </w:tcPr>
          <w:p w:rsidR="00D947E0" w:rsidRPr="00E877AA" w:rsidRDefault="00D947E0" w:rsidP="00D947E0">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54</w:t>
            </w:r>
          </w:p>
        </w:tc>
      </w:tr>
      <w:tr w:rsidR="00D947E0" w:rsidRPr="00E877AA" w:rsidTr="00D947E0">
        <w:trPr>
          <w:trHeight w:val="129"/>
        </w:trPr>
        <w:tc>
          <w:tcPr>
            <w:tcW w:w="2580" w:type="dxa"/>
            <w:tcBorders>
              <w:top w:val="single" w:sz="4" w:space="0" w:color="auto"/>
              <w:left w:val="single" w:sz="4" w:space="0" w:color="auto"/>
              <w:bottom w:val="single" w:sz="4" w:space="0" w:color="auto"/>
              <w:right w:val="single" w:sz="4" w:space="0" w:color="auto"/>
            </w:tcBorders>
            <w:shd w:val="clear" w:color="auto" w:fill="auto"/>
            <w:hideMark/>
          </w:tcPr>
          <w:p w:rsidR="00D947E0" w:rsidRPr="00E877AA" w:rsidRDefault="009F5488" w:rsidP="00D947E0">
            <w:pPr>
              <w:spacing w:after="0"/>
              <w:rPr>
                <w:rFonts w:ascii="Arial" w:eastAsia="Times New Roman" w:hAnsi="Arial" w:cs="Arial"/>
                <w:color w:val="000000"/>
                <w:lang w:eastAsia="cs-CZ"/>
              </w:rPr>
            </w:pPr>
            <w:r w:rsidRPr="00E877AA">
              <w:rPr>
                <w:rFonts w:ascii="Arial" w:eastAsia="Times New Roman" w:hAnsi="Arial" w:cs="Arial"/>
                <w:color w:val="000000"/>
                <w:lang w:eastAsia="cs-CZ"/>
              </w:rPr>
              <w:t>Směnárenská činnost</w:t>
            </w:r>
          </w:p>
        </w:tc>
        <w:tc>
          <w:tcPr>
            <w:tcW w:w="979" w:type="dxa"/>
            <w:tcBorders>
              <w:top w:val="nil"/>
              <w:left w:val="nil"/>
              <w:bottom w:val="single" w:sz="4" w:space="0" w:color="auto"/>
              <w:right w:val="single" w:sz="4" w:space="0" w:color="auto"/>
            </w:tcBorders>
            <w:shd w:val="clear" w:color="auto" w:fill="auto"/>
            <w:hideMark/>
          </w:tcPr>
          <w:p w:rsidR="00D947E0" w:rsidRPr="00E877AA" w:rsidRDefault="00D947E0" w:rsidP="00D947E0">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40</w:t>
            </w:r>
          </w:p>
        </w:tc>
      </w:tr>
      <w:tr w:rsidR="00D947E0" w:rsidRPr="00E877AA" w:rsidTr="00D947E0">
        <w:trPr>
          <w:trHeight w:val="129"/>
        </w:trPr>
        <w:tc>
          <w:tcPr>
            <w:tcW w:w="2580" w:type="dxa"/>
            <w:tcBorders>
              <w:top w:val="single" w:sz="4" w:space="0" w:color="auto"/>
              <w:left w:val="single" w:sz="4" w:space="0" w:color="auto"/>
              <w:bottom w:val="single" w:sz="4" w:space="0" w:color="auto"/>
              <w:right w:val="single" w:sz="4" w:space="0" w:color="auto"/>
            </w:tcBorders>
            <w:shd w:val="clear" w:color="auto" w:fill="auto"/>
            <w:hideMark/>
          </w:tcPr>
          <w:p w:rsidR="00D947E0" w:rsidRPr="00E877AA" w:rsidRDefault="009F5488" w:rsidP="00E42503">
            <w:pPr>
              <w:spacing w:after="0"/>
              <w:rPr>
                <w:rFonts w:ascii="Arial" w:eastAsia="Times New Roman" w:hAnsi="Arial" w:cs="Arial"/>
                <w:color w:val="000000"/>
                <w:lang w:eastAsia="cs-CZ"/>
              </w:rPr>
            </w:pPr>
            <w:r w:rsidRPr="00E877AA">
              <w:rPr>
                <w:rFonts w:ascii="Arial" w:eastAsia="Times New Roman" w:hAnsi="Arial" w:cs="Arial"/>
                <w:color w:val="000000"/>
                <w:lang w:eastAsia="cs-CZ"/>
              </w:rPr>
              <w:t>Spotřebitelský úvěr</w:t>
            </w:r>
          </w:p>
        </w:tc>
        <w:tc>
          <w:tcPr>
            <w:tcW w:w="979" w:type="dxa"/>
            <w:tcBorders>
              <w:top w:val="nil"/>
              <w:left w:val="nil"/>
              <w:bottom w:val="single" w:sz="4" w:space="0" w:color="auto"/>
              <w:right w:val="single" w:sz="4" w:space="0" w:color="auto"/>
            </w:tcBorders>
            <w:shd w:val="clear" w:color="auto" w:fill="auto"/>
            <w:hideMark/>
          </w:tcPr>
          <w:p w:rsidR="00D947E0" w:rsidRPr="00E877AA" w:rsidRDefault="00D947E0" w:rsidP="00D947E0">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807</w:t>
            </w:r>
          </w:p>
        </w:tc>
      </w:tr>
      <w:tr w:rsidR="00D947E0" w:rsidRPr="00E877AA" w:rsidTr="00D947E0">
        <w:trPr>
          <w:trHeight w:val="129"/>
        </w:trPr>
        <w:tc>
          <w:tcPr>
            <w:tcW w:w="2580" w:type="dxa"/>
            <w:tcBorders>
              <w:top w:val="single" w:sz="4" w:space="0" w:color="auto"/>
              <w:left w:val="single" w:sz="4" w:space="0" w:color="auto"/>
              <w:bottom w:val="single" w:sz="4" w:space="0" w:color="auto"/>
              <w:right w:val="single" w:sz="4" w:space="0" w:color="auto"/>
            </w:tcBorders>
            <w:shd w:val="clear" w:color="auto" w:fill="auto"/>
            <w:hideMark/>
          </w:tcPr>
          <w:p w:rsidR="00D947E0" w:rsidRPr="00E877AA" w:rsidRDefault="009F5488" w:rsidP="00D947E0">
            <w:pPr>
              <w:spacing w:after="0"/>
              <w:rPr>
                <w:rFonts w:ascii="Arial" w:eastAsia="Times New Roman" w:hAnsi="Arial" w:cs="Arial"/>
                <w:color w:val="000000"/>
                <w:lang w:eastAsia="cs-CZ"/>
              </w:rPr>
            </w:pPr>
            <w:r>
              <w:rPr>
                <w:rFonts w:ascii="Arial" w:eastAsia="Times New Roman" w:hAnsi="Arial" w:cs="Arial"/>
                <w:color w:val="000000"/>
                <w:lang w:eastAsia="cs-CZ"/>
              </w:rPr>
              <w:t>Stavební spoření</w:t>
            </w:r>
          </w:p>
        </w:tc>
        <w:tc>
          <w:tcPr>
            <w:tcW w:w="979" w:type="dxa"/>
            <w:tcBorders>
              <w:top w:val="nil"/>
              <w:left w:val="nil"/>
              <w:bottom w:val="single" w:sz="4" w:space="0" w:color="auto"/>
              <w:right w:val="single" w:sz="4" w:space="0" w:color="auto"/>
            </w:tcBorders>
            <w:shd w:val="clear" w:color="auto" w:fill="auto"/>
            <w:hideMark/>
          </w:tcPr>
          <w:p w:rsidR="00D947E0" w:rsidRPr="00E877AA" w:rsidRDefault="00D947E0" w:rsidP="00D947E0">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119</w:t>
            </w:r>
          </w:p>
        </w:tc>
      </w:tr>
      <w:tr w:rsidR="00D947E0" w:rsidRPr="00E877AA" w:rsidTr="00D947E0">
        <w:trPr>
          <w:trHeight w:val="129"/>
        </w:trPr>
        <w:tc>
          <w:tcPr>
            <w:tcW w:w="2580" w:type="dxa"/>
            <w:tcBorders>
              <w:top w:val="single" w:sz="4" w:space="0" w:color="auto"/>
              <w:left w:val="single" w:sz="4" w:space="0" w:color="auto"/>
              <w:bottom w:val="single" w:sz="4" w:space="0" w:color="auto"/>
              <w:right w:val="single" w:sz="4" w:space="0" w:color="auto"/>
            </w:tcBorders>
            <w:shd w:val="clear" w:color="auto" w:fill="auto"/>
            <w:hideMark/>
          </w:tcPr>
          <w:p w:rsidR="00D947E0" w:rsidRPr="00E877AA" w:rsidRDefault="0096394A" w:rsidP="00D947E0">
            <w:pPr>
              <w:spacing w:after="0"/>
              <w:rPr>
                <w:rFonts w:ascii="Arial" w:eastAsia="Times New Roman" w:hAnsi="Arial" w:cs="Arial"/>
                <w:color w:val="000000"/>
                <w:lang w:eastAsia="cs-CZ"/>
              </w:rPr>
            </w:pPr>
            <w:r w:rsidRPr="00E877AA">
              <w:rPr>
                <w:rFonts w:ascii="Arial" w:eastAsia="Times New Roman" w:hAnsi="Arial" w:cs="Arial"/>
                <w:color w:val="000000"/>
                <w:lang w:eastAsia="cs-CZ"/>
              </w:rPr>
              <w:t>Životní pojištění</w:t>
            </w:r>
          </w:p>
        </w:tc>
        <w:tc>
          <w:tcPr>
            <w:tcW w:w="979" w:type="dxa"/>
            <w:tcBorders>
              <w:top w:val="nil"/>
              <w:left w:val="nil"/>
              <w:bottom w:val="single" w:sz="4" w:space="0" w:color="auto"/>
              <w:right w:val="single" w:sz="4" w:space="0" w:color="auto"/>
            </w:tcBorders>
            <w:shd w:val="clear" w:color="auto" w:fill="auto"/>
            <w:hideMark/>
          </w:tcPr>
          <w:p w:rsidR="00D947E0" w:rsidRPr="00E877AA" w:rsidRDefault="00D947E0" w:rsidP="00D947E0">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2</w:t>
            </w:r>
            <w:r w:rsidR="00D5663A" w:rsidRPr="00E877AA">
              <w:rPr>
                <w:rFonts w:ascii="Arial" w:eastAsia="Times New Roman" w:hAnsi="Arial" w:cs="Arial"/>
                <w:color w:val="000000"/>
                <w:lang w:eastAsia="cs-CZ"/>
              </w:rPr>
              <w:t xml:space="preserve"> </w:t>
            </w:r>
            <w:r w:rsidRPr="00E877AA">
              <w:rPr>
                <w:rFonts w:ascii="Arial" w:eastAsia="Times New Roman" w:hAnsi="Arial" w:cs="Arial"/>
                <w:color w:val="000000"/>
                <w:lang w:eastAsia="cs-CZ"/>
              </w:rPr>
              <w:t>278</w:t>
            </w:r>
          </w:p>
        </w:tc>
      </w:tr>
      <w:tr w:rsidR="00D947E0" w:rsidRPr="00E877AA" w:rsidTr="00D947E0">
        <w:trPr>
          <w:trHeight w:val="129"/>
        </w:trPr>
        <w:tc>
          <w:tcPr>
            <w:tcW w:w="2580" w:type="dxa"/>
            <w:tcBorders>
              <w:top w:val="single" w:sz="4" w:space="0" w:color="auto"/>
              <w:left w:val="single" w:sz="4" w:space="0" w:color="auto"/>
              <w:bottom w:val="single" w:sz="4" w:space="0" w:color="auto"/>
              <w:right w:val="single" w:sz="4" w:space="0" w:color="auto"/>
            </w:tcBorders>
            <w:shd w:val="clear" w:color="auto" w:fill="auto"/>
            <w:hideMark/>
          </w:tcPr>
          <w:p w:rsidR="00D947E0" w:rsidRPr="00E877AA" w:rsidRDefault="00D947E0" w:rsidP="00D947E0">
            <w:pPr>
              <w:spacing w:after="0"/>
              <w:rPr>
                <w:rFonts w:ascii="Arial" w:eastAsia="Times New Roman" w:hAnsi="Arial" w:cs="Arial"/>
                <w:b/>
                <w:bCs/>
                <w:color w:val="000000"/>
                <w:lang w:eastAsia="cs-CZ"/>
              </w:rPr>
            </w:pPr>
            <w:r w:rsidRPr="00E877AA">
              <w:rPr>
                <w:rFonts w:ascii="Arial" w:eastAsia="Times New Roman" w:hAnsi="Arial" w:cs="Arial"/>
                <w:b/>
                <w:bCs/>
                <w:color w:val="000000"/>
                <w:lang w:eastAsia="cs-CZ"/>
              </w:rPr>
              <w:t>Celkem</w:t>
            </w:r>
          </w:p>
        </w:tc>
        <w:tc>
          <w:tcPr>
            <w:tcW w:w="979" w:type="dxa"/>
            <w:tcBorders>
              <w:top w:val="nil"/>
              <w:left w:val="nil"/>
              <w:bottom w:val="single" w:sz="4" w:space="0" w:color="auto"/>
              <w:right w:val="single" w:sz="4" w:space="0" w:color="auto"/>
            </w:tcBorders>
            <w:shd w:val="clear" w:color="auto" w:fill="auto"/>
            <w:hideMark/>
          </w:tcPr>
          <w:p w:rsidR="00D947E0" w:rsidRPr="00E877AA" w:rsidRDefault="00D947E0" w:rsidP="00D947E0">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3</w:t>
            </w:r>
            <w:r w:rsidR="00D5663A" w:rsidRPr="00E877AA">
              <w:rPr>
                <w:rFonts w:ascii="Arial" w:eastAsia="Times New Roman" w:hAnsi="Arial" w:cs="Arial"/>
                <w:b/>
                <w:bCs/>
                <w:color w:val="000000"/>
                <w:lang w:eastAsia="cs-CZ"/>
              </w:rPr>
              <w:t xml:space="preserve"> </w:t>
            </w:r>
            <w:r w:rsidRPr="00E877AA">
              <w:rPr>
                <w:rFonts w:ascii="Arial" w:eastAsia="Times New Roman" w:hAnsi="Arial" w:cs="Arial"/>
                <w:b/>
                <w:bCs/>
                <w:color w:val="000000"/>
                <w:lang w:eastAsia="cs-CZ"/>
              </w:rPr>
              <w:t>619</w:t>
            </w:r>
          </w:p>
        </w:tc>
      </w:tr>
    </w:tbl>
    <w:p w:rsidR="004450AB" w:rsidRPr="00E877AA" w:rsidRDefault="008060DB" w:rsidP="00166E77">
      <w:pPr>
        <w:pStyle w:val="Bntextzprvy"/>
        <w:spacing w:before="0" w:after="0"/>
        <w:rPr>
          <w:rFonts w:cs="Arial"/>
          <w:szCs w:val="22"/>
        </w:rPr>
      </w:pPr>
      <w:r w:rsidRPr="00E877AA">
        <w:rPr>
          <w:noProof/>
        </w:rPr>
        <w:drawing>
          <wp:inline distT="0" distB="0" distL="0" distR="0" wp14:anchorId="78B36DD3" wp14:editId="16891E4F">
            <wp:extent cx="3789405" cy="2010033"/>
            <wp:effectExtent l="0" t="0" r="20955" b="952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Pr="00E877AA">
        <w:rPr>
          <w:noProof/>
        </w:rPr>
        <w:t xml:space="preserve"> </w:t>
      </w:r>
    </w:p>
    <w:p w:rsidR="00211626" w:rsidRPr="00E877AA" w:rsidRDefault="00596483" w:rsidP="00166E77">
      <w:pPr>
        <w:keepNext/>
        <w:autoSpaceDE w:val="0"/>
        <w:autoSpaceDN w:val="0"/>
        <w:adjustRightInd w:val="0"/>
        <w:spacing w:before="240" w:after="240"/>
        <w:jc w:val="both"/>
        <w:rPr>
          <w:rFonts w:ascii="Arial" w:hAnsi="Arial" w:cs="Arial"/>
          <w:i/>
        </w:rPr>
      </w:pPr>
      <w:r w:rsidRPr="00E877AA">
        <w:rPr>
          <w:rFonts w:ascii="Arial" w:hAnsi="Arial" w:cs="Arial"/>
          <w:i/>
        </w:rPr>
        <w:t>Platební služby</w:t>
      </w:r>
    </w:p>
    <w:p w:rsidR="00F87F5A" w:rsidRPr="00E877AA" w:rsidRDefault="00323E61" w:rsidP="00166E77">
      <w:pPr>
        <w:autoSpaceDE w:val="0"/>
        <w:autoSpaceDN w:val="0"/>
        <w:adjustRightInd w:val="0"/>
        <w:spacing w:before="120" w:after="0"/>
        <w:jc w:val="both"/>
        <w:rPr>
          <w:rFonts w:ascii="Arial" w:hAnsi="Arial" w:cs="Arial"/>
        </w:rPr>
      </w:pPr>
      <w:r w:rsidRPr="00E877AA">
        <w:rPr>
          <w:rFonts w:ascii="Arial" w:hAnsi="Arial" w:cs="Arial"/>
        </w:rPr>
        <w:t>Nejčastějším typem sporů při poskytování platebních služeb zůstávají spory z</w:t>
      </w:r>
      <w:r w:rsidR="00863F8B" w:rsidRPr="00E877AA">
        <w:rPr>
          <w:rFonts w:ascii="Arial" w:hAnsi="Arial" w:cs="Arial"/>
        </w:rPr>
        <w:t> </w:t>
      </w:r>
      <w:r w:rsidRPr="00E877AA">
        <w:rPr>
          <w:rFonts w:ascii="Arial" w:hAnsi="Arial" w:cs="Arial"/>
        </w:rPr>
        <w:t xml:space="preserve">neautorizovaných platebních transakcí, </w:t>
      </w:r>
      <w:r w:rsidR="00F87F5A" w:rsidRPr="00E877AA">
        <w:rPr>
          <w:rFonts w:ascii="Arial" w:hAnsi="Arial" w:cs="Arial"/>
        </w:rPr>
        <w:t xml:space="preserve">zpravidla </w:t>
      </w:r>
      <w:r w:rsidRPr="00E877AA">
        <w:rPr>
          <w:rFonts w:ascii="Arial" w:hAnsi="Arial" w:cs="Arial"/>
        </w:rPr>
        <w:t>v souvislosti s používáním platebních prostředků jako je internetové bankovnictví nebo platební karta; v případě platební karty jsou to především spory, kdy po odcizení platební karty dojde k výběrům hotovosti z </w:t>
      </w:r>
      <w:r w:rsidR="00C8000E" w:rsidRPr="00E877AA">
        <w:rPr>
          <w:rFonts w:ascii="Arial" w:hAnsi="Arial" w:cs="Arial"/>
        </w:rPr>
        <w:t>bankomatu za použití čísla PIN.</w:t>
      </w:r>
    </w:p>
    <w:p w:rsidR="00F87F5A" w:rsidRPr="00E877AA" w:rsidRDefault="00323E61" w:rsidP="00166E77">
      <w:pPr>
        <w:autoSpaceDE w:val="0"/>
        <w:autoSpaceDN w:val="0"/>
        <w:adjustRightInd w:val="0"/>
        <w:spacing w:before="120" w:after="0"/>
        <w:jc w:val="both"/>
        <w:rPr>
          <w:rFonts w:ascii="Arial" w:hAnsi="Arial" w:cs="Arial"/>
        </w:rPr>
      </w:pPr>
      <w:r w:rsidRPr="00E877AA">
        <w:rPr>
          <w:rFonts w:ascii="Arial" w:hAnsi="Arial" w:cs="Arial"/>
        </w:rPr>
        <w:t>Časté byly také spory o správnost provedené platební transakce, zejména v souvislosti s použitím bankomatu, např. spor o výši hotovosti vložené do bankomatu, kdy navrhovatel tvrdí, že částka, kterou vkládal, byla vyšší, než částka připsaná poskytovatelem platebních služeb na účet, anebo spor o výši hotovosti vybrané z bankomatu, kdy navrhovatel tvrdí, že obdržel jinou (nižší) částku, než kterou žádal, anebo že mu poskytovatel platebních služeb odepsal z účtu jinou (vyšší</w:t>
      </w:r>
      <w:r w:rsidR="00C8000E" w:rsidRPr="00E877AA">
        <w:rPr>
          <w:rFonts w:ascii="Arial" w:hAnsi="Arial" w:cs="Arial"/>
        </w:rPr>
        <w:t>) částku, než skutečně vybíral.</w:t>
      </w:r>
    </w:p>
    <w:p w:rsidR="00323E61" w:rsidRPr="00E877AA" w:rsidRDefault="00323E61" w:rsidP="00166E77">
      <w:pPr>
        <w:autoSpaceDE w:val="0"/>
        <w:autoSpaceDN w:val="0"/>
        <w:adjustRightInd w:val="0"/>
        <w:spacing w:before="120" w:after="0"/>
        <w:jc w:val="both"/>
        <w:rPr>
          <w:rFonts w:ascii="Arial" w:hAnsi="Arial" w:cs="Arial"/>
        </w:rPr>
      </w:pPr>
      <w:r w:rsidRPr="00E877AA">
        <w:rPr>
          <w:rFonts w:ascii="Arial" w:hAnsi="Arial" w:cs="Arial"/>
        </w:rPr>
        <w:t>Finanční arbitr také řešil spory vzniklé v souvislosti s výkonem rozhodnutí přikázáním pohledávky z účtu vedeného poskytovatelem platebních služeb, kterými jsou spory o výplatu částky odpovídající dvojnásobku životního minima jednotlivce z účtu, anebo spory o správnost výše peněžních prostředků zaslaných poskytovatelem platebn</w:t>
      </w:r>
      <w:r w:rsidR="00595D73" w:rsidRPr="00E877AA">
        <w:rPr>
          <w:rFonts w:ascii="Arial" w:hAnsi="Arial" w:cs="Arial"/>
        </w:rPr>
        <w:t>ích služeb na výkon rozhodnutí.</w:t>
      </w:r>
    </w:p>
    <w:p w:rsidR="00596483" w:rsidRPr="00E877AA" w:rsidRDefault="00596483" w:rsidP="00166E77">
      <w:pPr>
        <w:keepNext/>
        <w:autoSpaceDE w:val="0"/>
        <w:autoSpaceDN w:val="0"/>
        <w:adjustRightInd w:val="0"/>
        <w:spacing w:before="240" w:after="240"/>
        <w:jc w:val="both"/>
        <w:rPr>
          <w:rFonts w:ascii="Arial" w:hAnsi="Arial" w:cs="Arial"/>
          <w:i/>
        </w:rPr>
      </w:pPr>
      <w:r w:rsidRPr="00E877AA">
        <w:rPr>
          <w:rFonts w:ascii="Arial" w:hAnsi="Arial" w:cs="Arial"/>
          <w:i/>
        </w:rPr>
        <w:t>Spotřebitelský úvěr</w:t>
      </w:r>
    </w:p>
    <w:p w:rsidR="008D320C" w:rsidRPr="00E877AA" w:rsidRDefault="008D320C" w:rsidP="008D320C">
      <w:pPr>
        <w:pStyle w:val="Bntextzprvy"/>
      </w:pPr>
      <w:r w:rsidRPr="00E877AA">
        <w:t>Nejčastějším sporem v oblasti úvěrů se staly spory o posouzení platnosti úvěrové smlouvy v důsledku porušení povinnosti řádně posoudit úvěruschopnost dlužníka.</w:t>
      </w:r>
    </w:p>
    <w:p w:rsidR="008D320C" w:rsidRPr="00E877AA" w:rsidRDefault="008D320C" w:rsidP="008D320C">
      <w:pPr>
        <w:pStyle w:val="Bntextzprvy"/>
      </w:pPr>
      <w:r w:rsidRPr="00E877AA">
        <w:t>Vedle toho byl častým předmětem sporu i poplatek za předčasné splacení úvěru, nejčastěji hypotečního úvěru.</w:t>
      </w:r>
    </w:p>
    <w:p w:rsidR="008D320C" w:rsidRPr="00E877AA" w:rsidRDefault="008D320C" w:rsidP="008D320C">
      <w:pPr>
        <w:pStyle w:val="Bntextzprvy"/>
      </w:pPr>
      <w:r w:rsidRPr="00E877AA">
        <w:t>Finanční arbitr řešil i spory o nepřiměřené výši odměny za poskytnutí úvěru, a to zejména u úvěrů s krátkou dobou splatnosti. Časté byly také spory, v nichž se spotřebitel domáhal úročení diskontní sazbou ČNB v důsledku neuvedení povinných informací</w:t>
      </w:r>
      <w:r w:rsidR="00D22F19" w:rsidRPr="00E877AA">
        <w:t xml:space="preserve"> ve smlouvě o spotřebitelském úvěru, resp. neuvedení informací (údaj o RPSN) ve správné výši.</w:t>
      </w:r>
    </w:p>
    <w:p w:rsidR="00D22F19" w:rsidRPr="00E877AA" w:rsidRDefault="008D320C" w:rsidP="008D320C">
      <w:pPr>
        <w:pStyle w:val="Bntextzprvy"/>
      </w:pPr>
      <w:r w:rsidRPr="00E877AA">
        <w:lastRenderedPageBreak/>
        <w:t>Předmětem sporů byly i zápisy v registrech dlužníků, kdy se na finančního arbitra obraceli spotřebitelé s požadavky na přezkoumání, zda o nich poskytovatelé úvěrů sdíleli v registrech oprávněně informace o jejich závazcích. Dále se jednalo o určení výše dluhu u nestandardních</w:t>
      </w:r>
      <w:r w:rsidR="00D22F19" w:rsidRPr="00E877AA">
        <w:t xml:space="preserve"> </w:t>
      </w:r>
      <w:r w:rsidRPr="00E877AA">
        <w:t>úvěrových produktů</w:t>
      </w:r>
      <w:r w:rsidR="00D22F19" w:rsidRPr="00E877AA">
        <w:t>, resp. produktů, které jsou pro spotřebitele složitější na pochopení</w:t>
      </w:r>
      <w:r w:rsidRPr="00E877AA">
        <w:t xml:space="preserve"> (meziúvěr ze stavebního spoření, kreditní karta).</w:t>
      </w:r>
    </w:p>
    <w:p w:rsidR="008D320C" w:rsidRPr="00E877AA" w:rsidRDefault="008D320C" w:rsidP="008D320C">
      <w:pPr>
        <w:pStyle w:val="Bntextzprvy"/>
      </w:pPr>
      <w:r w:rsidRPr="00E877AA">
        <w:t xml:space="preserve">V některých případech </w:t>
      </w:r>
      <w:r w:rsidR="00D22F19" w:rsidRPr="00E877AA">
        <w:t xml:space="preserve">finanční arbitr </w:t>
      </w:r>
      <w:r w:rsidRPr="00E877AA">
        <w:t>nemohl spor řešit</w:t>
      </w:r>
      <w:r w:rsidR="00D22F19" w:rsidRPr="00E877AA">
        <w:t xml:space="preserve"> a musel řízení zastavit</w:t>
      </w:r>
      <w:r w:rsidRPr="00E877AA">
        <w:t>, protože v řízení vyšlo najevo, že smlouva by</w:t>
      </w:r>
      <w:r w:rsidR="00D22F19" w:rsidRPr="00E877AA">
        <w:t>la sjednána jako podnikatelská a navrhovateli se nepodařilo prokázat jeho tvrzení, že se ve skutečnosti jednalo o úvěr spotřebitelský.</w:t>
      </w:r>
    </w:p>
    <w:p w:rsidR="00596483" w:rsidRPr="00E877AA" w:rsidRDefault="00596483" w:rsidP="00166E77">
      <w:pPr>
        <w:keepNext/>
        <w:autoSpaceDE w:val="0"/>
        <w:autoSpaceDN w:val="0"/>
        <w:adjustRightInd w:val="0"/>
        <w:spacing w:before="240" w:after="240"/>
        <w:jc w:val="both"/>
        <w:rPr>
          <w:rFonts w:ascii="Arial" w:hAnsi="Arial" w:cs="Arial"/>
          <w:i/>
        </w:rPr>
      </w:pPr>
      <w:r w:rsidRPr="00E877AA">
        <w:rPr>
          <w:rFonts w:ascii="Arial" w:hAnsi="Arial" w:cs="Arial"/>
          <w:i/>
        </w:rPr>
        <w:t>Stavební spoření</w:t>
      </w:r>
    </w:p>
    <w:p w:rsidR="005351D6" w:rsidRPr="00E877AA" w:rsidRDefault="005351D6" w:rsidP="00166E77">
      <w:pPr>
        <w:autoSpaceDE w:val="0"/>
        <w:autoSpaceDN w:val="0"/>
        <w:adjustRightInd w:val="0"/>
        <w:spacing w:before="120" w:after="0"/>
        <w:jc w:val="both"/>
        <w:rPr>
          <w:rFonts w:ascii="Arial" w:hAnsi="Arial" w:cs="Arial"/>
        </w:rPr>
      </w:pPr>
      <w:r w:rsidRPr="00E877AA">
        <w:rPr>
          <w:rFonts w:ascii="Arial" w:hAnsi="Arial" w:cs="Arial"/>
        </w:rPr>
        <w:t xml:space="preserve">Nejčastějšími spory ze stavebního spoření </w:t>
      </w:r>
      <w:r w:rsidR="00863F8B" w:rsidRPr="00E877AA">
        <w:rPr>
          <w:rFonts w:ascii="Arial" w:hAnsi="Arial" w:cs="Arial"/>
        </w:rPr>
        <w:t>byly</w:t>
      </w:r>
      <w:r w:rsidRPr="00E877AA">
        <w:rPr>
          <w:rFonts w:ascii="Arial" w:hAnsi="Arial" w:cs="Arial"/>
        </w:rPr>
        <w:t xml:space="preserve"> spory o platnost jednostranného ukončení smlouvy o stavebním spoření ze strany stavební spořitelny, o platnost jednostranné změny smlouvy o</w:t>
      </w:r>
      <w:r w:rsidR="00863F8B" w:rsidRPr="00E877AA">
        <w:rPr>
          <w:rFonts w:ascii="Arial" w:hAnsi="Arial" w:cs="Arial"/>
        </w:rPr>
        <w:t> </w:t>
      </w:r>
      <w:r w:rsidRPr="00E877AA">
        <w:rPr>
          <w:rFonts w:ascii="Arial" w:hAnsi="Arial" w:cs="Arial"/>
        </w:rPr>
        <w:t>stavebním spoření v podobě snížení úrokové sazby z vkladů, a dále spory z vedení účtu stavebního spoření, zejména o výši poplatku za vedení účtu stavebního spoření, o výši vyplácené státní podpory nebo o výši úroků z vkladů stavebního spoření.</w:t>
      </w:r>
    </w:p>
    <w:p w:rsidR="00596483" w:rsidRPr="00E877AA" w:rsidRDefault="00596483" w:rsidP="00166E77">
      <w:pPr>
        <w:keepNext/>
        <w:autoSpaceDE w:val="0"/>
        <w:autoSpaceDN w:val="0"/>
        <w:adjustRightInd w:val="0"/>
        <w:spacing w:before="240" w:after="240"/>
        <w:jc w:val="both"/>
        <w:rPr>
          <w:rFonts w:ascii="Arial" w:hAnsi="Arial" w:cs="Arial"/>
          <w:i/>
        </w:rPr>
      </w:pPr>
      <w:r w:rsidRPr="00E877AA">
        <w:rPr>
          <w:rFonts w:ascii="Arial" w:hAnsi="Arial" w:cs="Arial"/>
          <w:i/>
        </w:rPr>
        <w:t>Životní pojištění</w:t>
      </w:r>
    </w:p>
    <w:p w:rsidR="00EF61B3" w:rsidRPr="00E877AA" w:rsidRDefault="00EF61B3" w:rsidP="00166E77">
      <w:pPr>
        <w:autoSpaceDE w:val="0"/>
        <w:autoSpaceDN w:val="0"/>
        <w:spacing w:before="120" w:after="0"/>
        <w:jc w:val="both"/>
        <w:rPr>
          <w:rFonts w:ascii="Arial" w:hAnsi="Arial" w:cs="Arial"/>
        </w:rPr>
      </w:pPr>
      <w:r w:rsidRPr="00E877AA">
        <w:rPr>
          <w:rFonts w:ascii="Arial" w:hAnsi="Arial" w:cs="Arial"/>
        </w:rPr>
        <w:t xml:space="preserve">Nejčastějším typem sporu ze životního pojištění </w:t>
      </w:r>
      <w:r w:rsidR="00232551" w:rsidRPr="00E877AA">
        <w:rPr>
          <w:rFonts w:ascii="Arial" w:hAnsi="Arial" w:cs="Arial"/>
        </w:rPr>
        <w:t xml:space="preserve">byla </w:t>
      </w:r>
      <w:r w:rsidRPr="00E877AA">
        <w:rPr>
          <w:rFonts w:ascii="Arial" w:hAnsi="Arial" w:cs="Arial"/>
        </w:rPr>
        <w:t>snaha o zneplatnění uzavřené pojistné smlouvy a vydání zaplaceného pojistného s odůvodněním, že spotřebitel měl zájem o spořicí produkt a že ho pojišťovací zprostředkovatel nebo pojišťovna uvedli v omyl při uzavírání pojistné smlouvy</w:t>
      </w:r>
      <w:r w:rsidR="00F87F5A" w:rsidRPr="00E877AA">
        <w:rPr>
          <w:rFonts w:ascii="Arial" w:hAnsi="Arial" w:cs="Arial"/>
        </w:rPr>
        <w:t xml:space="preserve"> o povaze produktu</w:t>
      </w:r>
      <w:r w:rsidR="006F05FE" w:rsidRPr="00E877AA">
        <w:rPr>
          <w:rFonts w:ascii="Arial" w:hAnsi="Arial" w:cs="Arial"/>
        </w:rPr>
        <w:t>.</w:t>
      </w:r>
    </w:p>
    <w:p w:rsidR="00596483" w:rsidRPr="00E877AA" w:rsidRDefault="00EF61B3" w:rsidP="00166E77">
      <w:pPr>
        <w:autoSpaceDE w:val="0"/>
        <w:autoSpaceDN w:val="0"/>
        <w:adjustRightInd w:val="0"/>
        <w:spacing w:before="120" w:after="0"/>
        <w:jc w:val="both"/>
        <w:rPr>
          <w:rFonts w:ascii="Arial" w:hAnsi="Arial" w:cs="Arial"/>
        </w:rPr>
      </w:pPr>
      <w:r w:rsidRPr="00E877AA">
        <w:rPr>
          <w:rFonts w:ascii="Arial" w:hAnsi="Arial" w:cs="Arial"/>
        </w:rPr>
        <w:t xml:space="preserve">Další početnou skupinu sporů ze životního pojištění představují spory, v nichž se spotřebitelé domáhají </w:t>
      </w:r>
      <w:r w:rsidR="00863F8B" w:rsidRPr="00E877AA">
        <w:rPr>
          <w:rFonts w:ascii="Arial" w:hAnsi="Arial" w:cs="Arial"/>
        </w:rPr>
        <w:t xml:space="preserve">určení </w:t>
      </w:r>
      <w:r w:rsidRPr="00E877AA">
        <w:rPr>
          <w:rFonts w:ascii="Arial" w:hAnsi="Arial" w:cs="Arial"/>
        </w:rPr>
        <w:t>neplatnosti pojistné smlouvy v části o poplatcích (poplatky za správu pojištění, za</w:t>
      </w:r>
      <w:r w:rsidR="008232FA" w:rsidRPr="00E877AA">
        <w:rPr>
          <w:rFonts w:ascii="Arial" w:hAnsi="Arial" w:cs="Arial"/>
        </w:rPr>
        <w:t> </w:t>
      </w:r>
      <w:r w:rsidRPr="00E877AA">
        <w:rPr>
          <w:rFonts w:ascii="Arial" w:hAnsi="Arial" w:cs="Arial"/>
        </w:rPr>
        <w:t>uzavření smlouvy, za převzatá rizika atd.), protože poplatky jsou ve smlouvě skryté nebo v ní nejsou vůbec sjednány.</w:t>
      </w:r>
    </w:p>
    <w:p w:rsidR="00427AB4" w:rsidRPr="00E877AA" w:rsidRDefault="00427AB4" w:rsidP="00166E77">
      <w:pPr>
        <w:autoSpaceDE w:val="0"/>
        <w:autoSpaceDN w:val="0"/>
        <w:adjustRightInd w:val="0"/>
        <w:spacing w:before="120" w:after="0"/>
        <w:jc w:val="both"/>
        <w:rPr>
          <w:rFonts w:ascii="Arial" w:hAnsi="Arial" w:cs="Arial"/>
        </w:rPr>
      </w:pPr>
      <w:r w:rsidRPr="00E877AA">
        <w:rPr>
          <w:rFonts w:ascii="Arial" w:hAnsi="Arial" w:cs="Arial"/>
        </w:rPr>
        <w:t>Spotřebitelé vedou před finančním arbitrem spory s většinou životních pojišťoven působ</w:t>
      </w:r>
      <w:r w:rsidR="00803EC8" w:rsidRPr="00E877AA">
        <w:rPr>
          <w:rFonts w:ascii="Arial" w:hAnsi="Arial" w:cs="Arial"/>
        </w:rPr>
        <w:t>ících na českém pojistném trhu.</w:t>
      </w:r>
    </w:p>
    <w:p w:rsidR="00427AB4" w:rsidRPr="00E877AA" w:rsidRDefault="00427AB4" w:rsidP="00166E77">
      <w:pPr>
        <w:autoSpaceDE w:val="0"/>
        <w:autoSpaceDN w:val="0"/>
        <w:adjustRightInd w:val="0"/>
        <w:spacing w:before="120" w:after="0"/>
        <w:jc w:val="both"/>
        <w:rPr>
          <w:rFonts w:ascii="Arial" w:hAnsi="Arial" w:cs="Arial"/>
        </w:rPr>
      </w:pPr>
      <w:r w:rsidRPr="00E877AA">
        <w:rPr>
          <w:rFonts w:ascii="Arial" w:hAnsi="Arial" w:cs="Arial"/>
        </w:rPr>
        <w:t xml:space="preserve">Finanční arbitr tak posuzoval platnost velkého počtu pojistných smluv co do typu pojištění, resp. pojistného nebo finančního produktu. I </w:t>
      </w:r>
      <w:r w:rsidR="00803EC8" w:rsidRPr="00E877AA">
        <w:rPr>
          <w:rFonts w:ascii="Arial" w:hAnsi="Arial" w:cs="Arial"/>
        </w:rPr>
        <w:t>když</w:t>
      </w:r>
      <w:r w:rsidRPr="00E877AA">
        <w:rPr>
          <w:rFonts w:ascii="Arial" w:hAnsi="Arial" w:cs="Arial"/>
        </w:rPr>
        <w:t xml:space="preserve"> se finančnímu arbitrovi i ve sporech ze životního pojištění podařilo dosahovat smírného řešení sporů, </w:t>
      </w:r>
      <w:r w:rsidR="00CF0B29" w:rsidRPr="00E877AA">
        <w:rPr>
          <w:rFonts w:ascii="Arial" w:hAnsi="Arial" w:cs="Arial"/>
        </w:rPr>
        <w:t xml:space="preserve">přesto musel vydat a vydává mnoho rozhodnutí ve věci, ve kterých vyslovuje neplatnost celých pojistných smluv nebo naopak zamítá návrhy pro úplné promlčení </w:t>
      </w:r>
      <w:r w:rsidR="00803EC8" w:rsidRPr="00E877AA">
        <w:rPr>
          <w:rFonts w:ascii="Arial" w:hAnsi="Arial" w:cs="Arial"/>
        </w:rPr>
        <w:t>vznesených nároků spotřebitelů.</w:t>
      </w:r>
    </w:p>
    <w:p w:rsidR="00CF0B29" w:rsidRPr="00E877AA" w:rsidRDefault="00CF0B29" w:rsidP="00166E77">
      <w:pPr>
        <w:autoSpaceDE w:val="0"/>
        <w:autoSpaceDN w:val="0"/>
        <w:adjustRightInd w:val="0"/>
        <w:spacing w:before="120" w:after="0"/>
        <w:jc w:val="both"/>
        <w:rPr>
          <w:rFonts w:ascii="Arial" w:hAnsi="Arial" w:cs="Arial"/>
        </w:rPr>
      </w:pPr>
      <w:r w:rsidRPr="00E877AA">
        <w:rPr>
          <w:rFonts w:ascii="Arial" w:hAnsi="Arial" w:cs="Arial"/>
        </w:rPr>
        <w:t>Většina rozhodnutí finančního arbitra vydaných ve věci ve sporech ze životního pojištění je dále jednou či oběma stranami sporu předkládá</w:t>
      </w:r>
      <w:r w:rsidR="00803EC8" w:rsidRPr="00E877AA">
        <w:rPr>
          <w:rFonts w:ascii="Arial" w:hAnsi="Arial" w:cs="Arial"/>
        </w:rPr>
        <w:t>na</w:t>
      </w:r>
      <w:r w:rsidRPr="00E877AA">
        <w:rPr>
          <w:rFonts w:ascii="Arial" w:hAnsi="Arial" w:cs="Arial"/>
        </w:rPr>
        <w:t xml:space="preserve"> k soudnímu přezkumu, když spotřebitelům se nelíbí, že finanční arbitr přihlíží k námitce promlčení, kterou pojišťovny vznáší</w:t>
      </w:r>
      <w:r w:rsidR="006F05FE" w:rsidRPr="00E877AA">
        <w:rPr>
          <w:rFonts w:ascii="Arial" w:hAnsi="Arial" w:cs="Arial"/>
        </w:rPr>
        <w:t>,</w:t>
      </w:r>
      <w:r w:rsidRPr="00E877AA">
        <w:rPr>
          <w:rFonts w:ascii="Arial" w:hAnsi="Arial" w:cs="Arial"/>
        </w:rPr>
        <w:t xml:space="preserve"> nebo když nevysloví neplatnost každé pojistné smlouvy, pojišťovnám se naopak nelíbí, když finanční arbitr vysloví neplatnost smluvního ujedn</w:t>
      </w:r>
      <w:r w:rsidR="006F05FE" w:rsidRPr="00E877AA">
        <w:rPr>
          <w:rFonts w:ascii="Arial" w:hAnsi="Arial" w:cs="Arial"/>
        </w:rPr>
        <w:t>ání nebo celé pojistné smlouvy.</w:t>
      </w:r>
    </w:p>
    <w:p w:rsidR="00CF0B29" w:rsidRPr="00E877AA" w:rsidRDefault="00CF0B29" w:rsidP="00166E77">
      <w:pPr>
        <w:autoSpaceDE w:val="0"/>
        <w:autoSpaceDN w:val="0"/>
        <w:adjustRightInd w:val="0"/>
        <w:spacing w:before="120" w:after="0"/>
        <w:jc w:val="both"/>
        <w:rPr>
          <w:rFonts w:ascii="Arial" w:hAnsi="Arial" w:cs="Arial"/>
        </w:rPr>
      </w:pPr>
      <w:r w:rsidRPr="00E877AA">
        <w:rPr>
          <w:rFonts w:ascii="Arial" w:hAnsi="Arial" w:cs="Arial"/>
        </w:rPr>
        <w:t>Z dosavadních soudních přezkumů daly dva soudy prvního stupně za pravdu finančnímu arbitrovi v otázce posouzení námitky promlčení, jeden soud prvního stupně rozhodnutí finančního arbitra o</w:t>
      </w:r>
      <w:r w:rsidR="006F05FE" w:rsidRPr="00E877AA">
        <w:rPr>
          <w:rFonts w:ascii="Arial" w:hAnsi="Arial" w:cs="Arial"/>
        </w:rPr>
        <w:t> </w:t>
      </w:r>
      <w:r w:rsidRPr="00E877AA">
        <w:rPr>
          <w:rFonts w:ascii="Arial" w:hAnsi="Arial" w:cs="Arial"/>
        </w:rPr>
        <w:t>vyslovení neplatnosti pojistné smlouvy pro omyl spotřebitele při jejím uzavření zrušil</w:t>
      </w:r>
      <w:r w:rsidR="000A30C0" w:rsidRPr="00E877AA">
        <w:rPr>
          <w:rFonts w:ascii="Arial" w:hAnsi="Arial" w:cs="Arial"/>
        </w:rPr>
        <w:t>, protože omyl na straně spotřebitele nedovodil a jednání spotřebitele tak posoudil přísněji než finanční arbitr; strany tohoto sporu se však v konečném důsledku finančně narovnaly</w:t>
      </w:r>
      <w:r w:rsidR="008924ED" w:rsidRPr="00E877AA">
        <w:rPr>
          <w:rFonts w:ascii="Arial" w:hAnsi="Arial" w:cs="Arial"/>
        </w:rPr>
        <w:t xml:space="preserve"> a spor skončil smírně</w:t>
      </w:r>
      <w:r w:rsidR="000A30C0" w:rsidRPr="00E877AA">
        <w:rPr>
          <w:rFonts w:ascii="Arial" w:hAnsi="Arial" w:cs="Arial"/>
        </w:rPr>
        <w:t xml:space="preserve">. </w:t>
      </w:r>
    </w:p>
    <w:p w:rsidR="00596483" w:rsidRPr="00E877AA" w:rsidRDefault="00596483" w:rsidP="00166E77">
      <w:pPr>
        <w:keepNext/>
        <w:autoSpaceDE w:val="0"/>
        <w:autoSpaceDN w:val="0"/>
        <w:adjustRightInd w:val="0"/>
        <w:spacing w:before="240" w:after="240"/>
        <w:jc w:val="both"/>
        <w:rPr>
          <w:rFonts w:ascii="Arial" w:hAnsi="Arial" w:cs="Arial"/>
          <w:i/>
        </w:rPr>
      </w:pPr>
      <w:r w:rsidRPr="00E877AA">
        <w:rPr>
          <w:rFonts w:ascii="Arial" w:hAnsi="Arial" w:cs="Arial"/>
          <w:i/>
        </w:rPr>
        <w:t>Investování</w:t>
      </w:r>
    </w:p>
    <w:p w:rsidR="00790C21" w:rsidRPr="00E877AA" w:rsidRDefault="005351D6" w:rsidP="00166E77">
      <w:pPr>
        <w:autoSpaceDE w:val="0"/>
        <w:autoSpaceDN w:val="0"/>
        <w:adjustRightInd w:val="0"/>
        <w:spacing w:before="120" w:after="0"/>
        <w:jc w:val="both"/>
        <w:rPr>
          <w:rFonts w:ascii="Arial" w:hAnsi="Arial" w:cs="Arial"/>
        </w:rPr>
      </w:pPr>
      <w:r w:rsidRPr="00E877AA">
        <w:rPr>
          <w:rFonts w:ascii="Arial" w:hAnsi="Arial" w:cs="Arial"/>
        </w:rPr>
        <w:t xml:space="preserve">Počet sporů v oblasti kolektivního investování a investičních služeb (tzv. retailové investice) </w:t>
      </w:r>
      <w:r w:rsidR="00863F8B" w:rsidRPr="00E877AA">
        <w:rPr>
          <w:rFonts w:ascii="Arial" w:hAnsi="Arial" w:cs="Arial"/>
        </w:rPr>
        <w:t>byl</w:t>
      </w:r>
      <w:r w:rsidRPr="00E877AA">
        <w:rPr>
          <w:rFonts w:ascii="Arial" w:hAnsi="Arial" w:cs="Arial"/>
        </w:rPr>
        <w:t xml:space="preserve"> ve</w:t>
      </w:r>
      <w:r w:rsidR="008232FA" w:rsidRPr="00E877AA">
        <w:rPr>
          <w:rFonts w:ascii="Arial" w:hAnsi="Arial" w:cs="Arial"/>
        </w:rPr>
        <w:t> </w:t>
      </w:r>
      <w:r w:rsidRPr="00E877AA">
        <w:rPr>
          <w:rFonts w:ascii="Arial" w:hAnsi="Arial" w:cs="Arial"/>
        </w:rPr>
        <w:t>srovnání s jinými oblastmi působnosti finančního arbitra nižší, nicméně tyto spory jsou skutkově rozmanitější, protože předměty jednotlivých sporů se značně liší a jejich posouzení zasahuje do</w:t>
      </w:r>
      <w:r w:rsidR="008232FA" w:rsidRPr="00E877AA">
        <w:rPr>
          <w:rFonts w:ascii="Arial" w:hAnsi="Arial" w:cs="Arial"/>
        </w:rPr>
        <w:t> </w:t>
      </w:r>
      <w:r w:rsidRPr="00E877AA">
        <w:rPr>
          <w:rFonts w:ascii="Arial" w:hAnsi="Arial" w:cs="Arial"/>
        </w:rPr>
        <w:t>mnoha oblastí finančního trhu, jejichž právní úprava je fragmentovaná a přitom v souhrnu objemná. Posouzení sporů z retailových investic je tak z důvodu velkého rozsahu právních předpisů upravujících oblast kapitálového trhu, různorodosti činitelů a aktivit na finančním trhu a</w:t>
      </w:r>
      <w:r w:rsidR="009B6B05" w:rsidRPr="00E877AA">
        <w:rPr>
          <w:rFonts w:ascii="Arial" w:hAnsi="Arial" w:cs="Arial"/>
        </w:rPr>
        <w:t> </w:t>
      </w:r>
      <w:r w:rsidRPr="00E877AA">
        <w:rPr>
          <w:rFonts w:ascii="Arial" w:hAnsi="Arial" w:cs="Arial"/>
        </w:rPr>
        <w:t xml:space="preserve">velké míry internacionalizace, podstatně časově a personálně náročné. </w:t>
      </w:r>
    </w:p>
    <w:p w:rsidR="00596483" w:rsidRPr="00E877AA" w:rsidRDefault="00790C21" w:rsidP="00166E77">
      <w:pPr>
        <w:autoSpaceDE w:val="0"/>
        <w:autoSpaceDN w:val="0"/>
        <w:adjustRightInd w:val="0"/>
        <w:spacing w:before="120" w:after="0"/>
        <w:jc w:val="both"/>
        <w:rPr>
          <w:rFonts w:ascii="Arial" w:hAnsi="Arial" w:cs="Arial"/>
        </w:rPr>
      </w:pPr>
      <w:r w:rsidRPr="00E877AA">
        <w:rPr>
          <w:rFonts w:ascii="Arial" w:hAnsi="Arial" w:cs="Arial"/>
        </w:rPr>
        <w:lastRenderedPageBreak/>
        <w:t>Spo</w:t>
      </w:r>
      <w:r w:rsidR="005351D6" w:rsidRPr="00E877AA">
        <w:rPr>
          <w:rFonts w:ascii="Arial" w:hAnsi="Arial" w:cs="Arial"/>
        </w:rPr>
        <w:t>r</w:t>
      </w:r>
      <w:r w:rsidRPr="00E877AA">
        <w:rPr>
          <w:rFonts w:ascii="Arial" w:hAnsi="Arial" w:cs="Arial"/>
        </w:rPr>
        <w:t xml:space="preserve">y z retailových investic jsou zejména spory </w:t>
      </w:r>
      <w:r w:rsidR="005351D6" w:rsidRPr="00E877AA">
        <w:rPr>
          <w:rFonts w:ascii="Arial" w:hAnsi="Arial" w:cs="Arial"/>
        </w:rPr>
        <w:t>o výši na počátku splatného poplatku za</w:t>
      </w:r>
      <w:r w:rsidR="000A30C0" w:rsidRPr="00E877AA">
        <w:rPr>
          <w:rFonts w:ascii="Arial" w:hAnsi="Arial" w:cs="Arial"/>
        </w:rPr>
        <w:t> </w:t>
      </w:r>
      <w:r w:rsidR="005351D6" w:rsidRPr="00E877AA">
        <w:rPr>
          <w:rFonts w:ascii="Arial" w:hAnsi="Arial" w:cs="Arial"/>
        </w:rPr>
        <w:t xml:space="preserve">zprostředkování investice do kolektivního investování, vadná investiční doporučení investičních zprostředkovatelů k investování do vysoce rizikových finančních produktů, </w:t>
      </w:r>
      <w:proofErr w:type="spellStart"/>
      <w:r w:rsidR="005351D6" w:rsidRPr="00E877AA">
        <w:rPr>
          <w:rFonts w:ascii="Arial" w:hAnsi="Arial" w:cs="Arial"/>
        </w:rPr>
        <w:t>misseling</w:t>
      </w:r>
      <w:proofErr w:type="spellEnd"/>
      <w:r w:rsidR="005351D6" w:rsidRPr="00E877AA">
        <w:rPr>
          <w:rFonts w:ascii="Arial" w:hAnsi="Arial" w:cs="Arial"/>
        </w:rPr>
        <w:t xml:space="preserve"> finančních produktů a </w:t>
      </w:r>
      <w:r w:rsidRPr="00E877AA">
        <w:rPr>
          <w:rFonts w:ascii="Arial" w:hAnsi="Arial" w:cs="Arial"/>
        </w:rPr>
        <w:t xml:space="preserve">náhradu škody z </w:t>
      </w:r>
      <w:r w:rsidR="005351D6" w:rsidRPr="00E877AA">
        <w:rPr>
          <w:rFonts w:ascii="Arial" w:hAnsi="Arial" w:cs="Arial"/>
        </w:rPr>
        <w:t xml:space="preserve">porušení informačních povinností při jejich distribuci až po </w:t>
      </w:r>
      <w:r w:rsidRPr="00E877AA">
        <w:rPr>
          <w:rFonts w:ascii="Arial" w:hAnsi="Arial" w:cs="Arial"/>
        </w:rPr>
        <w:t>spory o</w:t>
      </w:r>
      <w:r w:rsidR="009B6B05" w:rsidRPr="00E877AA">
        <w:rPr>
          <w:rFonts w:ascii="Arial" w:hAnsi="Arial" w:cs="Arial"/>
        </w:rPr>
        <w:t> </w:t>
      </w:r>
      <w:r w:rsidRPr="00E877AA">
        <w:rPr>
          <w:rFonts w:ascii="Arial" w:hAnsi="Arial" w:cs="Arial"/>
        </w:rPr>
        <w:t>náhradu</w:t>
      </w:r>
      <w:r w:rsidR="005351D6" w:rsidRPr="00E877AA">
        <w:rPr>
          <w:rFonts w:ascii="Arial" w:hAnsi="Arial" w:cs="Arial"/>
        </w:rPr>
        <w:t xml:space="preserve"> škody za ztrátu na</w:t>
      </w:r>
      <w:r w:rsidR="008232FA" w:rsidRPr="00E877AA">
        <w:rPr>
          <w:rFonts w:ascii="Arial" w:hAnsi="Arial" w:cs="Arial"/>
        </w:rPr>
        <w:t> </w:t>
      </w:r>
      <w:r w:rsidR="005351D6" w:rsidRPr="00E877AA">
        <w:rPr>
          <w:rFonts w:ascii="Arial" w:hAnsi="Arial" w:cs="Arial"/>
        </w:rPr>
        <w:t>investici spotřebitele.</w:t>
      </w:r>
    </w:p>
    <w:p w:rsidR="00742F54" w:rsidRPr="00E877AA" w:rsidRDefault="00585F26" w:rsidP="00166E77">
      <w:pPr>
        <w:keepNext/>
        <w:autoSpaceDE w:val="0"/>
        <w:autoSpaceDN w:val="0"/>
        <w:adjustRightInd w:val="0"/>
        <w:spacing w:before="240" w:after="240"/>
        <w:jc w:val="both"/>
        <w:rPr>
          <w:rFonts w:ascii="Arial" w:hAnsi="Arial" w:cs="Arial"/>
          <w:i/>
        </w:rPr>
      </w:pPr>
      <w:r w:rsidRPr="00E877AA">
        <w:rPr>
          <w:rFonts w:ascii="Arial" w:hAnsi="Arial" w:cs="Arial"/>
          <w:i/>
        </w:rPr>
        <w:t>Směna měn</w:t>
      </w:r>
    </w:p>
    <w:p w:rsidR="00633F51" w:rsidRPr="00E877AA" w:rsidRDefault="00323E61" w:rsidP="00166E77">
      <w:pPr>
        <w:pStyle w:val="Bntextzprvy"/>
      </w:pPr>
      <w:r w:rsidRPr="00E877AA">
        <w:t xml:space="preserve">Nejčastějšími, resp. jedinými spory ze směnárenských obchodů </w:t>
      </w:r>
      <w:r w:rsidR="00232551" w:rsidRPr="00E877AA">
        <w:t>byly</w:t>
      </w:r>
      <w:r w:rsidRPr="00E877AA">
        <w:t xml:space="preserve"> spory o výši směnného kurzu a výši poplatku za provedení směnárenského obchodu, když navrhovateli jsou převážně zahraniční turisté a institucemi jsou výhradně směnárníci, a nikoli jiné osoby oprávněné provozovat směnárenskou činnost. </w:t>
      </w:r>
    </w:p>
    <w:p w:rsidR="00323E61" w:rsidRPr="00E877AA" w:rsidRDefault="00323E61" w:rsidP="00166E77">
      <w:pPr>
        <w:pStyle w:val="Bntextzprvy"/>
      </w:pPr>
      <w:r w:rsidRPr="00E877AA">
        <w:t>V těchto sporech finanční arbitr posuzuje, zda směnárník splnil vůči klientovi infomační povinnost, pokud jde podmínky směny, anebo zda pochybení vzniklo na straně klienta v tom smyslu, že se s informacemi poskytnutými směnárníkem řádně neseznámil.</w:t>
      </w:r>
    </w:p>
    <w:p w:rsidR="0064647C" w:rsidRPr="00E877AA" w:rsidRDefault="0064647C" w:rsidP="00166E77">
      <w:pPr>
        <w:pStyle w:val="Bntextzprvy"/>
      </w:pPr>
      <w:r w:rsidRPr="00E877AA">
        <w:rPr>
          <w:rFonts w:cs="Arial"/>
          <w:szCs w:val="22"/>
        </w:rPr>
        <w:t xml:space="preserve">Od 1. 4. 2019 vstoupí v účinnost novela zákona o směnárenské činnosti, která zakotví právo zákazníka odstoupit od směnárenského obchodu nebo jeho části, v této oblasti sporů </w:t>
      </w:r>
      <w:r w:rsidR="00633F51" w:rsidRPr="00E877AA">
        <w:rPr>
          <w:rFonts w:cs="Arial"/>
          <w:szCs w:val="22"/>
        </w:rPr>
        <w:t xml:space="preserve">tak lze očekávat </w:t>
      </w:r>
      <w:r w:rsidR="00E706FA" w:rsidRPr="00E877AA">
        <w:rPr>
          <w:rFonts w:cs="Arial"/>
          <w:szCs w:val="22"/>
        </w:rPr>
        <w:t xml:space="preserve">spory o platnost odstoupení od směnárenského obchodu nebo spíše než spory bude finanční arbitr poskytovat rady, jak od směnárenského obchodu </w:t>
      </w:r>
      <w:r w:rsidR="008924ED" w:rsidRPr="00E877AA">
        <w:rPr>
          <w:rFonts w:cs="Arial"/>
          <w:szCs w:val="22"/>
        </w:rPr>
        <w:t xml:space="preserve">během zákonem stanovené 3hodinové lhůty </w:t>
      </w:r>
      <w:r w:rsidR="00E706FA" w:rsidRPr="00E877AA">
        <w:rPr>
          <w:rFonts w:cs="Arial"/>
          <w:szCs w:val="22"/>
        </w:rPr>
        <w:t xml:space="preserve">odstoupit. </w:t>
      </w:r>
    </w:p>
    <w:p w:rsidR="00F60F86" w:rsidRPr="00E877AA" w:rsidRDefault="00F60F86" w:rsidP="00166E77">
      <w:pPr>
        <w:keepNext/>
        <w:spacing w:after="0"/>
        <w:jc w:val="both"/>
        <w:rPr>
          <w:rFonts w:ascii="Arial" w:hAnsi="Arial" w:cs="Arial"/>
          <w:b/>
          <w:i/>
        </w:rPr>
      </w:pPr>
      <w:r w:rsidRPr="00E877AA">
        <w:rPr>
          <w:rFonts w:ascii="Arial" w:hAnsi="Arial" w:cs="Arial"/>
          <w:b/>
          <w:i/>
        </w:rPr>
        <w:t>Výsledky rozhodovací činnosti</w:t>
      </w:r>
      <w:r w:rsidR="008924ED" w:rsidRPr="00E877AA">
        <w:rPr>
          <w:rFonts w:ascii="Arial" w:hAnsi="Arial" w:cs="Arial"/>
          <w:b/>
          <w:i/>
        </w:rPr>
        <w:t xml:space="preserve"> a délka řízení</w:t>
      </w:r>
    </w:p>
    <w:p w:rsidR="007E2713" w:rsidRPr="00E877AA" w:rsidRDefault="00225A22" w:rsidP="00166E77">
      <w:pPr>
        <w:pStyle w:val="Bntextzprvy"/>
        <w:rPr>
          <w:rFonts w:cs="Arial"/>
          <w:szCs w:val="22"/>
        </w:rPr>
      </w:pPr>
      <w:r w:rsidRPr="00E877AA">
        <w:rPr>
          <w:rFonts w:cs="Arial"/>
          <w:szCs w:val="22"/>
        </w:rPr>
        <w:t xml:space="preserve">Jednodušší řízení, ve kterém byly obě strany sporu součinné, a předmět sporu byl od počátku řízení zřejmý a finanční arbitr již právní otázky se sporem související v minulosti řešil a je k dispozici i použitelná soudní judikatura, o kterou se může finanční arbitr opřít, trvá při zachování všech procesních práv a povinností </w:t>
      </w:r>
      <w:r w:rsidR="0059037C" w:rsidRPr="00E877AA">
        <w:rPr>
          <w:rFonts w:cs="Arial"/>
          <w:szCs w:val="22"/>
        </w:rPr>
        <w:t xml:space="preserve">minimálně </w:t>
      </w:r>
      <w:r w:rsidR="008924ED" w:rsidRPr="00E877AA">
        <w:rPr>
          <w:rFonts w:cs="Arial"/>
          <w:szCs w:val="22"/>
        </w:rPr>
        <w:t>4 měsíce.</w:t>
      </w:r>
      <w:r w:rsidR="006756A3">
        <w:rPr>
          <w:rFonts w:cs="Arial"/>
          <w:szCs w:val="22"/>
        </w:rPr>
        <w:t xml:space="preserve"> </w:t>
      </w:r>
      <w:r w:rsidRPr="00E877AA">
        <w:rPr>
          <w:rFonts w:cs="Arial"/>
          <w:szCs w:val="22"/>
        </w:rPr>
        <w:t xml:space="preserve">Ve složitějších případech se pohybuje délka řízení okolo </w:t>
      </w:r>
      <w:r w:rsidR="0059037C" w:rsidRPr="00E877AA">
        <w:rPr>
          <w:rFonts w:cs="Arial"/>
          <w:szCs w:val="22"/>
        </w:rPr>
        <w:t xml:space="preserve">10 až 12 </w:t>
      </w:r>
      <w:r w:rsidR="008924ED" w:rsidRPr="00E877AA">
        <w:rPr>
          <w:rFonts w:cs="Arial"/>
          <w:szCs w:val="22"/>
        </w:rPr>
        <w:t>měsíců.</w:t>
      </w:r>
      <w:r w:rsidR="006756A3">
        <w:rPr>
          <w:rFonts w:cs="Arial"/>
          <w:szCs w:val="22"/>
        </w:rPr>
        <w:t xml:space="preserve"> </w:t>
      </w:r>
      <w:r w:rsidRPr="00E877AA">
        <w:rPr>
          <w:rFonts w:cs="Arial"/>
          <w:szCs w:val="22"/>
        </w:rPr>
        <w:t xml:space="preserve">Ve zvlášť složitých případech, kterých je většina, a to co do právní stránky, náročnosti ve shromažďování podkladů a následného jednání o smírném řešení sporu, </w:t>
      </w:r>
      <w:r w:rsidR="00232551" w:rsidRPr="00E877AA">
        <w:rPr>
          <w:rFonts w:cs="Arial"/>
          <w:szCs w:val="22"/>
        </w:rPr>
        <w:t xml:space="preserve">může </w:t>
      </w:r>
      <w:r w:rsidRPr="00E877AA">
        <w:rPr>
          <w:rFonts w:cs="Arial"/>
          <w:szCs w:val="22"/>
        </w:rPr>
        <w:t>trv</w:t>
      </w:r>
      <w:r w:rsidR="00232551" w:rsidRPr="00E877AA">
        <w:rPr>
          <w:rFonts w:cs="Arial"/>
          <w:szCs w:val="22"/>
        </w:rPr>
        <w:t>at</w:t>
      </w:r>
      <w:r w:rsidRPr="00E877AA">
        <w:rPr>
          <w:rFonts w:cs="Arial"/>
          <w:szCs w:val="22"/>
        </w:rPr>
        <w:t xml:space="preserve"> řízení sam</w:t>
      </w:r>
      <w:r w:rsidR="008924ED" w:rsidRPr="00E877AA">
        <w:rPr>
          <w:rFonts w:cs="Arial"/>
          <w:szCs w:val="22"/>
        </w:rPr>
        <w:t>ozřejmě déle.</w:t>
      </w:r>
    </w:p>
    <w:p w:rsidR="00225A22" w:rsidRPr="00E877AA" w:rsidRDefault="00225A22" w:rsidP="00166E77">
      <w:pPr>
        <w:pStyle w:val="Bntextzprvy"/>
        <w:rPr>
          <w:rFonts w:cs="Arial"/>
          <w:szCs w:val="22"/>
        </w:rPr>
      </w:pPr>
      <w:r w:rsidRPr="00E877AA">
        <w:rPr>
          <w:rFonts w:cs="Arial"/>
          <w:szCs w:val="22"/>
        </w:rPr>
        <w:t>Vedle toho, ve sporech s obdobným předmětem proti stejné instituci finanční arbitr nejdříve projedná předmět sporu v jednom řízení tak, aby mezi finančním arbitrem a institucí nebyly o smírném jednání pochybnosti a následně pak smírné řešení sporu projedná v ostatních řízení</w:t>
      </w:r>
      <w:r w:rsidR="00F40ED9" w:rsidRPr="00E877AA">
        <w:rPr>
          <w:rFonts w:cs="Arial"/>
          <w:szCs w:val="22"/>
        </w:rPr>
        <w:t>ch</w:t>
      </w:r>
      <w:r w:rsidRPr="00E877AA">
        <w:rPr>
          <w:rFonts w:cs="Arial"/>
          <w:szCs w:val="22"/>
        </w:rPr>
        <w:t>, protože vždy se jednotlivá řízení mohou odlišovat a finanční plnění je potřeba velmi pečlivě ověřit a stanovit.</w:t>
      </w:r>
    </w:p>
    <w:p w:rsidR="0059037C" w:rsidRPr="00E877AA" w:rsidRDefault="0059037C" w:rsidP="00166E77">
      <w:pPr>
        <w:pStyle w:val="Bntextzprvy"/>
        <w:rPr>
          <w:rFonts w:cs="Arial"/>
          <w:szCs w:val="22"/>
        </w:rPr>
      </w:pPr>
      <w:r w:rsidRPr="00E877AA">
        <w:rPr>
          <w:rFonts w:cs="Arial"/>
          <w:szCs w:val="22"/>
        </w:rPr>
        <w:t>Délku řízení před finančním arbitrem zásadně ovlivňuje snaha finančního arbitra dovést strany sporu ke smíru nebo ke zpětvzetí návrhu pro jeho nedůvodnost. Rozhodování sporu bez důsledné snahy o smírné řešení sporu by vedlo k zatížení spotřebitelů soudním řízení a jeho náklady i</w:t>
      </w:r>
      <w:r w:rsidR="009B6B05" w:rsidRPr="00E877AA">
        <w:rPr>
          <w:rFonts w:cs="Arial"/>
          <w:szCs w:val="22"/>
        </w:rPr>
        <w:t> </w:t>
      </w:r>
      <w:r w:rsidRPr="00E877AA">
        <w:rPr>
          <w:rFonts w:cs="Arial"/>
          <w:szCs w:val="22"/>
        </w:rPr>
        <w:t xml:space="preserve">zatížení soudní soustavy. </w:t>
      </w:r>
    </w:p>
    <w:p w:rsidR="007E77EA" w:rsidRPr="00E877AA" w:rsidRDefault="00225A22" w:rsidP="00D35164">
      <w:pPr>
        <w:spacing w:after="0"/>
        <w:rPr>
          <w:rFonts w:ascii="Arial" w:hAnsi="Arial" w:cs="Arial"/>
          <w:b/>
        </w:rPr>
      </w:pPr>
      <w:r w:rsidRPr="00E877AA">
        <w:rPr>
          <w:rFonts w:ascii="Arial" w:hAnsi="Arial" w:cs="Arial"/>
          <w:b/>
        </w:rPr>
        <w:t xml:space="preserve">Aktuální stav </w:t>
      </w:r>
      <w:r w:rsidR="00801398" w:rsidRPr="00E877AA">
        <w:rPr>
          <w:rFonts w:ascii="Arial" w:hAnsi="Arial" w:cs="Arial"/>
          <w:b/>
        </w:rPr>
        <w:t>vedených řízení</w:t>
      </w:r>
      <w:r w:rsidR="000D3396" w:rsidRPr="00E877AA">
        <w:rPr>
          <w:rFonts w:ascii="Arial" w:hAnsi="Arial" w:cs="Arial"/>
          <w:b/>
        </w:rPr>
        <w:t xml:space="preserve"> </w:t>
      </w:r>
      <w:r w:rsidR="00ED2F9F" w:rsidRPr="00E877AA">
        <w:rPr>
          <w:rFonts w:ascii="Arial" w:hAnsi="Arial" w:cs="Arial"/>
          <w:b/>
        </w:rPr>
        <w:t>vedených v roce 2018</w:t>
      </w:r>
      <w:r w:rsidR="00916697">
        <w:rPr>
          <w:rFonts w:ascii="Arial" w:hAnsi="Arial" w:cs="Arial"/>
          <w:b/>
        </w:rPr>
        <w:t>*</w:t>
      </w:r>
      <w:r w:rsidR="00ED2F9F" w:rsidRPr="00E877AA">
        <w:rPr>
          <w:rFonts w:ascii="Arial" w:hAnsi="Arial" w:cs="Arial"/>
          <w:b/>
        </w:rPr>
        <w:t xml:space="preserve"> ke dni </w:t>
      </w:r>
      <w:r w:rsidR="000D3396" w:rsidRPr="00E877AA">
        <w:rPr>
          <w:rFonts w:ascii="Arial" w:hAnsi="Arial" w:cs="Arial"/>
          <w:b/>
        </w:rPr>
        <w:t>k 28. 2. 2019</w:t>
      </w:r>
    </w:p>
    <w:p w:rsidR="007E2713" w:rsidRPr="00E877AA" w:rsidRDefault="007E2713" w:rsidP="00D35164">
      <w:pPr>
        <w:spacing w:after="0"/>
        <w:rPr>
          <w:rFonts w:ascii="Arial" w:hAnsi="Arial" w:cs="Arial"/>
          <w:b/>
        </w:rPr>
      </w:pPr>
    </w:p>
    <w:tbl>
      <w:tblPr>
        <w:tblW w:w="5007" w:type="pct"/>
        <w:tblCellMar>
          <w:left w:w="70" w:type="dxa"/>
          <w:right w:w="70" w:type="dxa"/>
        </w:tblCellMar>
        <w:tblLook w:val="04A0" w:firstRow="1" w:lastRow="0" w:firstColumn="1" w:lastColumn="0" w:noHBand="0" w:noVBand="1"/>
      </w:tblPr>
      <w:tblGrid>
        <w:gridCol w:w="9046"/>
        <w:gridCol w:w="746"/>
      </w:tblGrid>
      <w:tr w:rsidR="007E77EA" w:rsidRPr="00E877AA" w:rsidTr="005D0878">
        <w:trPr>
          <w:trHeight w:val="345"/>
        </w:trPr>
        <w:tc>
          <w:tcPr>
            <w:tcW w:w="4619" w:type="pct"/>
            <w:tcBorders>
              <w:top w:val="single" w:sz="8" w:space="0" w:color="D3D3D3"/>
              <w:left w:val="single" w:sz="8" w:space="0" w:color="D3D3D3"/>
              <w:bottom w:val="single" w:sz="8" w:space="0" w:color="D3D3D3"/>
              <w:right w:val="single" w:sz="8" w:space="0" w:color="D3D3D3"/>
            </w:tcBorders>
            <w:shd w:val="clear" w:color="000000" w:fill="B0C4DE"/>
            <w:hideMark/>
          </w:tcPr>
          <w:p w:rsidR="007E77EA" w:rsidRPr="00E877AA" w:rsidRDefault="007E77EA" w:rsidP="007E77EA">
            <w:pPr>
              <w:spacing w:after="0"/>
              <w:rPr>
                <w:rFonts w:ascii="Arial" w:eastAsia="Times New Roman" w:hAnsi="Arial" w:cs="Arial"/>
                <w:b/>
                <w:bCs/>
                <w:color w:val="000000"/>
                <w:lang w:eastAsia="cs-CZ"/>
              </w:rPr>
            </w:pPr>
            <w:r w:rsidRPr="00E877AA">
              <w:rPr>
                <w:rFonts w:ascii="Arial" w:eastAsia="Times New Roman" w:hAnsi="Arial" w:cs="Arial"/>
                <w:b/>
                <w:bCs/>
                <w:color w:val="000000"/>
                <w:lang w:eastAsia="cs-CZ"/>
              </w:rPr>
              <w:t>Výsledek</w:t>
            </w:r>
          </w:p>
        </w:tc>
        <w:tc>
          <w:tcPr>
            <w:tcW w:w="381" w:type="pct"/>
            <w:tcBorders>
              <w:top w:val="single" w:sz="8" w:space="0" w:color="D3D3D3"/>
              <w:left w:val="nil"/>
              <w:bottom w:val="single" w:sz="8" w:space="0" w:color="D3D3D3"/>
              <w:right w:val="single" w:sz="8" w:space="0" w:color="D3D3D3"/>
            </w:tcBorders>
            <w:shd w:val="clear" w:color="000000" w:fill="B0C4DE"/>
            <w:hideMark/>
          </w:tcPr>
          <w:p w:rsidR="007E77EA" w:rsidRPr="00E877AA" w:rsidRDefault="007E77EA" w:rsidP="007E77EA">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Počet</w:t>
            </w:r>
          </w:p>
        </w:tc>
      </w:tr>
      <w:tr w:rsidR="007E77EA" w:rsidRPr="00E877AA" w:rsidTr="005D0878">
        <w:trPr>
          <w:trHeight w:val="260"/>
        </w:trPr>
        <w:tc>
          <w:tcPr>
            <w:tcW w:w="4619" w:type="pct"/>
            <w:tcBorders>
              <w:top w:val="nil"/>
              <w:left w:val="single" w:sz="8" w:space="0" w:color="D3D3D3"/>
              <w:bottom w:val="single" w:sz="8" w:space="0" w:color="D3D3D3"/>
              <w:right w:val="single" w:sz="8" w:space="0" w:color="D3D3D3"/>
            </w:tcBorders>
            <w:shd w:val="clear" w:color="000000" w:fill="FFFFFF"/>
            <w:hideMark/>
          </w:tcPr>
          <w:p w:rsidR="007E77EA" w:rsidRPr="00E877AA" w:rsidRDefault="007E77EA" w:rsidP="00595D73">
            <w:pPr>
              <w:spacing w:after="0"/>
              <w:rPr>
                <w:rFonts w:ascii="Arial" w:eastAsia="Times New Roman" w:hAnsi="Arial" w:cs="Arial"/>
                <w:color w:val="000000"/>
                <w:lang w:eastAsia="cs-CZ"/>
              </w:rPr>
            </w:pPr>
            <w:r w:rsidRPr="00E877AA">
              <w:rPr>
                <w:rFonts w:ascii="Arial" w:eastAsia="Times New Roman" w:hAnsi="Arial" w:cs="Arial"/>
                <w:color w:val="000000"/>
                <w:lang w:eastAsia="cs-CZ"/>
              </w:rPr>
              <w:t xml:space="preserve">pravomocně skončeno do </w:t>
            </w:r>
            <w:r w:rsidR="00ED2F9F" w:rsidRPr="00E877AA">
              <w:rPr>
                <w:rFonts w:ascii="Arial" w:eastAsia="Times New Roman" w:hAnsi="Arial" w:cs="Arial"/>
                <w:color w:val="000000"/>
                <w:lang w:eastAsia="cs-CZ"/>
              </w:rPr>
              <w:t>31</w:t>
            </w:r>
            <w:r w:rsidR="005D0878" w:rsidRPr="00E877AA">
              <w:rPr>
                <w:rFonts w:ascii="Arial" w:eastAsia="Times New Roman" w:hAnsi="Arial" w:cs="Arial"/>
                <w:color w:val="000000"/>
                <w:lang w:eastAsia="cs-CZ"/>
              </w:rPr>
              <w:t xml:space="preserve">. </w:t>
            </w:r>
            <w:r w:rsidR="00ED2F9F" w:rsidRPr="00E877AA">
              <w:rPr>
                <w:rFonts w:ascii="Arial" w:eastAsia="Times New Roman" w:hAnsi="Arial" w:cs="Arial"/>
                <w:color w:val="000000"/>
                <w:lang w:eastAsia="cs-CZ"/>
              </w:rPr>
              <w:t>12</w:t>
            </w:r>
            <w:r w:rsidRPr="00E877AA">
              <w:rPr>
                <w:rFonts w:ascii="Arial" w:eastAsia="Times New Roman" w:hAnsi="Arial" w:cs="Arial"/>
                <w:color w:val="000000"/>
                <w:lang w:eastAsia="cs-CZ"/>
              </w:rPr>
              <w:t>. 201</w:t>
            </w:r>
            <w:r w:rsidR="00595D73" w:rsidRPr="00E877AA">
              <w:rPr>
                <w:rFonts w:ascii="Arial" w:eastAsia="Times New Roman" w:hAnsi="Arial" w:cs="Arial"/>
                <w:color w:val="000000"/>
                <w:lang w:eastAsia="cs-CZ"/>
              </w:rPr>
              <w:t>8</w:t>
            </w:r>
          </w:p>
        </w:tc>
        <w:tc>
          <w:tcPr>
            <w:tcW w:w="381" w:type="pct"/>
            <w:tcBorders>
              <w:top w:val="nil"/>
              <w:left w:val="nil"/>
              <w:bottom w:val="single" w:sz="8" w:space="0" w:color="D3D3D3"/>
              <w:right w:val="single" w:sz="8" w:space="0" w:color="D3D3D3"/>
            </w:tcBorders>
            <w:shd w:val="clear" w:color="000000" w:fill="FFFFFF"/>
            <w:hideMark/>
          </w:tcPr>
          <w:p w:rsidR="007E77EA" w:rsidRPr="00E877AA" w:rsidRDefault="007E77EA" w:rsidP="00C94CE8">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1</w:t>
            </w:r>
            <w:r w:rsidR="008C52EF" w:rsidRPr="00E877AA">
              <w:rPr>
                <w:rFonts w:ascii="Arial" w:eastAsia="Times New Roman" w:hAnsi="Arial" w:cs="Arial"/>
                <w:b/>
                <w:bCs/>
                <w:color w:val="000000"/>
                <w:lang w:eastAsia="cs-CZ"/>
              </w:rPr>
              <w:t xml:space="preserve"> </w:t>
            </w:r>
            <w:r w:rsidRPr="00E877AA">
              <w:rPr>
                <w:rFonts w:ascii="Arial" w:eastAsia="Times New Roman" w:hAnsi="Arial" w:cs="Arial"/>
                <w:b/>
                <w:bCs/>
                <w:color w:val="000000"/>
                <w:lang w:eastAsia="cs-CZ"/>
              </w:rPr>
              <w:t>6</w:t>
            </w:r>
            <w:r w:rsidR="00C94CE8" w:rsidRPr="00E877AA">
              <w:rPr>
                <w:rFonts w:ascii="Arial" w:eastAsia="Times New Roman" w:hAnsi="Arial" w:cs="Arial"/>
                <w:b/>
                <w:bCs/>
                <w:color w:val="000000"/>
                <w:lang w:eastAsia="cs-CZ"/>
              </w:rPr>
              <w:t>5</w:t>
            </w:r>
            <w:r w:rsidRPr="00E877AA">
              <w:rPr>
                <w:rFonts w:ascii="Arial" w:eastAsia="Times New Roman" w:hAnsi="Arial" w:cs="Arial"/>
                <w:b/>
                <w:bCs/>
                <w:color w:val="000000"/>
                <w:lang w:eastAsia="cs-CZ"/>
              </w:rPr>
              <w:t>6</w:t>
            </w:r>
          </w:p>
        </w:tc>
      </w:tr>
      <w:tr w:rsidR="00B63C6B" w:rsidRPr="00E877AA" w:rsidTr="005D0878">
        <w:trPr>
          <w:trHeight w:val="272"/>
        </w:trPr>
        <w:tc>
          <w:tcPr>
            <w:tcW w:w="4619" w:type="pct"/>
            <w:tcBorders>
              <w:top w:val="nil"/>
              <w:left w:val="single" w:sz="8" w:space="0" w:color="D3D3D3"/>
              <w:bottom w:val="single" w:sz="8" w:space="0" w:color="D3D3D3"/>
              <w:right w:val="single" w:sz="8" w:space="0" w:color="D3D3D3"/>
            </w:tcBorders>
            <w:shd w:val="clear" w:color="000000" w:fill="FFFFFF"/>
          </w:tcPr>
          <w:p w:rsidR="00B63C6B" w:rsidRPr="00E877AA" w:rsidRDefault="00B63C6B" w:rsidP="00B63C6B">
            <w:pPr>
              <w:spacing w:after="0"/>
              <w:rPr>
                <w:rFonts w:ascii="Arial" w:eastAsia="Times New Roman" w:hAnsi="Arial" w:cs="Arial"/>
                <w:color w:val="000000"/>
                <w:lang w:eastAsia="cs-CZ"/>
              </w:rPr>
            </w:pPr>
            <w:r w:rsidRPr="00E877AA">
              <w:rPr>
                <w:rFonts w:ascii="Arial" w:eastAsia="Times New Roman" w:hAnsi="Arial" w:cs="Arial"/>
                <w:color w:val="000000"/>
                <w:lang w:eastAsia="cs-CZ"/>
              </w:rPr>
              <w:t xml:space="preserve">pravomocně skončeno </w:t>
            </w:r>
            <w:r w:rsidR="00BA2BCD" w:rsidRPr="00E877AA">
              <w:rPr>
                <w:rFonts w:ascii="Arial" w:eastAsia="Times New Roman" w:hAnsi="Arial" w:cs="Arial"/>
                <w:color w:val="000000"/>
                <w:lang w:eastAsia="cs-CZ"/>
              </w:rPr>
              <w:t xml:space="preserve">od 1. 1. 2019 </w:t>
            </w:r>
            <w:r w:rsidRPr="00E877AA">
              <w:rPr>
                <w:rFonts w:ascii="Arial" w:eastAsia="Times New Roman" w:hAnsi="Arial" w:cs="Arial"/>
                <w:color w:val="000000"/>
                <w:lang w:eastAsia="cs-CZ"/>
              </w:rPr>
              <w:t>do 28. 2. 2019</w:t>
            </w:r>
          </w:p>
        </w:tc>
        <w:tc>
          <w:tcPr>
            <w:tcW w:w="381" w:type="pct"/>
            <w:tcBorders>
              <w:top w:val="nil"/>
              <w:left w:val="nil"/>
              <w:bottom w:val="single" w:sz="8" w:space="0" w:color="D3D3D3"/>
              <w:right w:val="single" w:sz="8" w:space="0" w:color="D3D3D3"/>
            </w:tcBorders>
            <w:shd w:val="clear" w:color="000000" w:fill="FFFFFF"/>
          </w:tcPr>
          <w:p w:rsidR="00B63C6B" w:rsidRPr="00E877AA" w:rsidRDefault="00B63C6B" w:rsidP="00B63C6B">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212</w:t>
            </w:r>
          </w:p>
        </w:tc>
      </w:tr>
      <w:tr w:rsidR="007E77EA" w:rsidRPr="00E877AA" w:rsidTr="005D0878">
        <w:trPr>
          <w:trHeight w:val="272"/>
        </w:trPr>
        <w:tc>
          <w:tcPr>
            <w:tcW w:w="4619" w:type="pct"/>
            <w:tcBorders>
              <w:top w:val="nil"/>
              <w:left w:val="single" w:sz="8" w:space="0" w:color="D3D3D3"/>
              <w:bottom w:val="single" w:sz="8" w:space="0" w:color="D3D3D3"/>
              <w:right w:val="single" w:sz="8" w:space="0" w:color="D3D3D3"/>
            </w:tcBorders>
            <w:shd w:val="clear" w:color="000000" w:fill="FFFFFF"/>
            <w:hideMark/>
          </w:tcPr>
          <w:p w:rsidR="007E77EA" w:rsidRPr="00E877AA" w:rsidRDefault="007E77EA" w:rsidP="005D0878">
            <w:pPr>
              <w:spacing w:after="0"/>
              <w:rPr>
                <w:rFonts w:ascii="Arial" w:eastAsia="Times New Roman" w:hAnsi="Arial" w:cs="Arial"/>
                <w:color w:val="000000"/>
                <w:lang w:eastAsia="cs-CZ"/>
              </w:rPr>
            </w:pPr>
            <w:r w:rsidRPr="00E877AA">
              <w:rPr>
                <w:rFonts w:ascii="Arial" w:eastAsia="Times New Roman" w:hAnsi="Arial" w:cs="Arial"/>
                <w:color w:val="000000"/>
                <w:lang w:eastAsia="cs-CZ"/>
              </w:rPr>
              <w:t xml:space="preserve">vydáno </w:t>
            </w:r>
            <w:r w:rsidR="00B97300" w:rsidRPr="00E877AA">
              <w:rPr>
                <w:rFonts w:ascii="Arial" w:eastAsia="Times New Roman" w:hAnsi="Arial" w:cs="Arial"/>
                <w:color w:val="000000"/>
                <w:lang w:eastAsia="cs-CZ"/>
              </w:rPr>
              <w:t xml:space="preserve">prvoinstanční </w:t>
            </w:r>
            <w:r w:rsidRPr="00E877AA">
              <w:rPr>
                <w:rFonts w:ascii="Arial" w:eastAsia="Times New Roman" w:hAnsi="Arial" w:cs="Arial"/>
                <w:color w:val="000000"/>
                <w:lang w:eastAsia="cs-CZ"/>
              </w:rPr>
              <w:t xml:space="preserve">rozhodnutí do </w:t>
            </w:r>
            <w:r w:rsidR="005D0878" w:rsidRPr="00E877AA">
              <w:rPr>
                <w:rFonts w:ascii="Arial" w:eastAsia="Times New Roman" w:hAnsi="Arial" w:cs="Arial"/>
                <w:color w:val="000000"/>
                <w:lang w:eastAsia="cs-CZ"/>
              </w:rPr>
              <w:t>28</w:t>
            </w:r>
            <w:r w:rsidRPr="00E877AA">
              <w:rPr>
                <w:rFonts w:ascii="Arial" w:eastAsia="Times New Roman" w:hAnsi="Arial" w:cs="Arial"/>
                <w:color w:val="000000"/>
                <w:lang w:eastAsia="cs-CZ"/>
              </w:rPr>
              <w:t xml:space="preserve">. </w:t>
            </w:r>
            <w:r w:rsidR="005D0878" w:rsidRPr="00E877AA">
              <w:rPr>
                <w:rFonts w:ascii="Arial" w:eastAsia="Times New Roman" w:hAnsi="Arial" w:cs="Arial"/>
                <w:color w:val="000000"/>
                <w:lang w:eastAsia="cs-CZ"/>
              </w:rPr>
              <w:t>2</w:t>
            </w:r>
            <w:r w:rsidRPr="00E877AA">
              <w:rPr>
                <w:rFonts w:ascii="Arial" w:eastAsia="Times New Roman" w:hAnsi="Arial" w:cs="Arial"/>
                <w:color w:val="000000"/>
                <w:lang w:eastAsia="cs-CZ"/>
              </w:rPr>
              <w:t>. 201</w:t>
            </w:r>
            <w:r w:rsidR="005D0878" w:rsidRPr="00E877AA">
              <w:rPr>
                <w:rFonts w:ascii="Arial" w:eastAsia="Times New Roman" w:hAnsi="Arial" w:cs="Arial"/>
                <w:color w:val="000000"/>
                <w:lang w:eastAsia="cs-CZ"/>
              </w:rPr>
              <w:t>9</w:t>
            </w:r>
          </w:p>
        </w:tc>
        <w:tc>
          <w:tcPr>
            <w:tcW w:w="381" w:type="pct"/>
            <w:tcBorders>
              <w:top w:val="nil"/>
              <w:left w:val="nil"/>
              <w:bottom w:val="single" w:sz="8" w:space="0" w:color="D3D3D3"/>
              <w:right w:val="single" w:sz="8" w:space="0" w:color="D3D3D3"/>
            </w:tcBorders>
            <w:shd w:val="clear" w:color="000000" w:fill="FFFFFF"/>
            <w:hideMark/>
          </w:tcPr>
          <w:p w:rsidR="007E77EA" w:rsidRPr="00E877AA" w:rsidRDefault="00B63C6B" w:rsidP="00B63C6B">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403</w:t>
            </w:r>
          </w:p>
        </w:tc>
      </w:tr>
      <w:tr w:rsidR="007E77EA" w:rsidRPr="00E877AA" w:rsidTr="005D0878">
        <w:trPr>
          <w:trHeight w:val="230"/>
        </w:trPr>
        <w:tc>
          <w:tcPr>
            <w:tcW w:w="4619" w:type="pct"/>
            <w:tcBorders>
              <w:top w:val="nil"/>
              <w:left w:val="single" w:sz="8" w:space="0" w:color="D3D3D3"/>
              <w:bottom w:val="single" w:sz="8" w:space="0" w:color="D3D3D3"/>
              <w:right w:val="single" w:sz="8" w:space="0" w:color="D3D3D3"/>
            </w:tcBorders>
            <w:shd w:val="clear" w:color="000000" w:fill="FFFFFF"/>
            <w:hideMark/>
          </w:tcPr>
          <w:p w:rsidR="007E77EA" w:rsidRPr="00E877AA" w:rsidRDefault="007E77EA" w:rsidP="007E77EA">
            <w:pPr>
              <w:spacing w:after="0"/>
              <w:rPr>
                <w:rFonts w:ascii="Arial" w:eastAsia="Times New Roman" w:hAnsi="Arial" w:cs="Arial"/>
                <w:color w:val="000000"/>
                <w:lang w:eastAsia="cs-CZ"/>
              </w:rPr>
            </w:pPr>
            <w:r w:rsidRPr="00E877AA">
              <w:rPr>
                <w:rFonts w:ascii="Arial" w:eastAsia="Times New Roman" w:hAnsi="Arial" w:cs="Arial"/>
                <w:color w:val="000000"/>
                <w:lang w:eastAsia="cs-CZ"/>
              </w:rPr>
              <w:t>přerušeno z důvodu probíhajícího řízení u soudu nebo orgánu činného v trestním řízení</w:t>
            </w:r>
          </w:p>
        </w:tc>
        <w:tc>
          <w:tcPr>
            <w:tcW w:w="381" w:type="pct"/>
            <w:tcBorders>
              <w:top w:val="nil"/>
              <w:left w:val="nil"/>
              <w:bottom w:val="single" w:sz="8" w:space="0" w:color="D3D3D3"/>
              <w:right w:val="single" w:sz="8" w:space="0" w:color="D3D3D3"/>
            </w:tcBorders>
            <w:shd w:val="clear" w:color="000000" w:fill="FFFFFF"/>
            <w:hideMark/>
          </w:tcPr>
          <w:p w:rsidR="007E77EA" w:rsidRPr="00E877AA" w:rsidRDefault="007E77EA" w:rsidP="00C94CE8">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5</w:t>
            </w:r>
            <w:r w:rsidR="00C94CE8" w:rsidRPr="00E877AA">
              <w:rPr>
                <w:rFonts w:ascii="Arial" w:eastAsia="Times New Roman" w:hAnsi="Arial" w:cs="Arial"/>
                <w:b/>
                <w:bCs/>
                <w:color w:val="000000"/>
                <w:lang w:eastAsia="cs-CZ"/>
              </w:rPr>
              <w:t>8</w:t>
            </w:r>
          </w:p>
        </w:tc>
      </w:tr>
      <w:tr w:rsidR="007E77EA" w:rsidRPr="00E877AA" w:rsidTr="005D0878">
        <w:trPr>
          <w:trHeight w:val="552"/>
        </w:trPr>
        <w:tc>
          <w:tcPr>
            <w:tcW w:w="4619" w:type="pct"/>
            <w:tcBorders>
              <w:top w:val="nil"/>
              <w:left w:val="single" w:sz="8" w:space="0" w:color="D3D3D3"/>
              <w:bottom w:val="single" w:sz="8" w:space="0" w:color="D3D3D3"/>
              <w:right w:val="single" w:sz="8" w:space="0" w:color="D3D3D3"/>
            </w:tcBorders>
            <w:shd w:val="clear" w:color="000000" w:fill="FFFFFF"/>
            <w:hideMark/>
          </w:tcPr>
          <w:p w:rsidR="007E77EA" w:rsidRPr="00E877AA" w:rsidRDefault="007E77EA" w:rsidP="005D0878">
            <w:pPr>
              <w:spacing w:after="0"/>
              <w:rPr>
                <w:rFonts w:ascii="Arial" w:eastAsia="Times New Roman" w:hAnsi="Arial" w:cs="Arial"/>
                <w:color w:val="000000"/>
                <w:lang w:eastAsia="cs-CZ"/>
              </w:rPr>
            </w:pPr>
            <w:r w:rsidRPr="00E877AA">
              <w:rPr>
                <w:rFonts w:ascii="Arial" w:eastAsia="Times New Roman" w:hAnsi="Arial" w:cs="Arial"/>
                <w:color w:val="000000"/>
                <w:lang w:eastAsia="cs-CZ"/>
              </w:rPr>
              <w:t xml:space="preserve">před vydáním nálezu k datu </w:t>
            </w:r>
            <w:r w:rsidR="005D0878" w:rsidRPr="00E877AA">
              <w:rPr>
                <w:rFonts w:ascii="Arial" w:eastAsia="Times New Roman" w:hAnsi="Arial" w:cs="Arial"/>
                <w:color w:val="000000"/>
                <w:lang w:eastAsia="cs-CZ"/>
              </w:rPr>
              <w:t xml:space="preserve">28. </w:t>
            </w:r>
            <w:r w:rsidRPr="00E877AA">
              <w:rPr>
                <w:rFonts w:ascii="Arial" w:eastAsia="Times New Roman" w:hAnsi="Arial" w:cs="Arial"/>
                <w:color w:val="000000"/>
                <w:lang w:eastAsia="cs-CZ"/>
              </w:rPr>
              <w:t>2. 201</w:t>
            </w:r>
            <w:r w:rsidR="005D0878" w:rsidRPr="00E877AA">
              <w:rPr>
                <w:rFonts w:ascii="Arial" w:eastAsia="Times New Roman" w:hAnsi="Arial" w:cs="Arial"/>
                <w:color w:val="000000"/>
                <w:lang w:eastAsia="cs-CZ"/>
              </w:rPr>
              <w:t>9</w:t>
            </w:r>
            <w:r w:rsidRPr="00E877AA">
              <w:rPr>
                <w:rFonts w:ascii="Arial" w:eastAsia="Times New Roman" w:hAnsi="Arial" w:cs="Arial"/>
                <w:color w:val="000000"/>
                <w:lang w:eastAsia="cs-CZ"/>
              </w:rPr>
              <w:t xml:space="preserve"> (probíhá shromažďování podkladů, projednávání smírného řešení sporů, čeká se na výsledky soudního přezkumu nebo skončení trestního řízení)</w:t>
            </w:r>
          </w:p>
        </w:tc>
        <w:tc>
          <w:tcPr>
            <w:tcW w:w="381" w:type="pct"/>
            <w:tcBorders>
              <w:top w:val="nil"/>
              <w:left w:val="nil"/>
              <w:bottom w:val="single" w:sz="8" w:space="0" w:color="D3D3D3"/>
              <w:right w:val="single" w:sz="8" w:space="0" w:color="D3D3D3"/>
            </w:tcBorders>
            <w:shd w:val="clear" w:color="000000" w:fill="FFFFFF"/>
            <w:hideMark/>
          </w:tcPr>
          <w:p w:rsidR="007E77EA" w:rsidRPr="00E877AA" w:rsidRDefault="00C94CE8" w:rsidP="00B63C6B">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1</w:t>
            </w:r>
            <w:r w:rsidR="008C52EF" w:rsidRPr="00E877AA">
              <w:rPr>
                <w:rFonts w:ascii="Arial" w:eastAsia="Times New Roman" w:hAnsi="Arial" w:cs="Arial"/>
                <w:b/>
                <w:bCs/>
                <w:color w:val="000000"/>
                <w:lang w:eastAsia="cs-CZ"/>
              </w:rPr>
              <w:t xml:space="preserve"> </w:t>
            </w:r>
            <w:r w:rsidR="00B63C6B" w:rsidRPr="00E877AA">
              <w:rPr>
                <w:rFonts w:ascii="Arial" w:eastAsia="Times New Roman" w:hAnsi="Arial" w:cs="Arial"/>
                <w:b/>
                <w:bCs/>
                <w:color w:val="000000"/>
                <w:lang w:eastAsia="cs-CZ"/>
              </w:rPr>
              <w:t>290</w:t>
            </w:r>
          </w:p>
        </w:tc>
      </w:tr>
    </w:tbl>
    <w:p w:rsidR="00D2431E" w:rsidRPr="00E877AA" w:rsidRDefault="00D2431E" w:rsidP="0005133A">
      <w:pPr>
        <w:spacing w:after="0"/>
        <w:jc w:val="both"/>
      </w:pPr>
      <w:r w:rsidRPr="00E877AA">
        <w:rPr>
          <w:i/>
          <w:iCs/>
        </w:rPr>
        <w:t>*</w:t>
      </w:r>
      <w:r w:rsidRPr="006756A3">
        <w:rPr>
          <w:rFonts w:ascii="Arial" w:hAnsi="Arial" w:cs="Arial"/>
          <w:i/>
          <w:iCs/>
          <w:sz w:val="18"/>
          <w:szCs w:val="18"/>
        </w:rPr>
        <w:t>V roce 2018 došlo k meziročnímu nárůstu počtu návrhů na zahájení řízení o téměř 5 %  oproti roku 2017 (1399 vs. 1337). Současně se však finančnímu arbitrovi podařilo dovést v roce 2018 do pravomocného konce 1656 řízení, což představuje nárůst o více než 64 % oproti počtu 1008 řízení ukončených v roce 2017</w:t>
      </w:r>
      <w:r w:rsidRPr="00E877AA">
        <w:rPr>
          <w:i/>
          <w:iCs/>
        </w:rPr>
        <w:t>.</w:t>
      </w:r>
    </w:p>
    <w:p w:rsidR="008405C0" w:rsidRPr="00E877AA" w:rsidRDefault="008405C0" w:rsidP="00166E77">
      <w:pPr>
        <w:pStyle w:val="Bntextzprvy"/>
        <w:rPr>
          <w:rFonts w:cs="Arial"/>
          <w:szCs w:val="22"/>
        </w:rPr>
      </w:pPr>
      <w:r w:rsidRPr="00E877AA">
        <w:rPr>
          <w:rFonts w:cs="Arial"/>
          <w:szCs w:val="22"/>
        </w:rPr>
        <w:lastRenderedPageBreak/>
        <w:t>Pokud jde o výsledky</w:t>
      </w:r>
      <w:r w:rsidR="00BC01B3" w:rsidRPr="00E877AA">
        <w:rPr>
          <w:rFonts w:cs="Arial"/>
          <w:szCs w:val="22"/>
        </w:rPr>
        <w:t xml:space="preserve"> rozhodovací činnosti</w:t>
      </w:r>
      <w:r w:rsidRPr="00E877AA">
        <w:rPr>
          <w:rFonts w:cs="Arial"/>
          <w:szCs w:val="22"/>
        </w:rPr>
        <w:t xml:space="preserve">, pak </w:t>
      </w:r>
      <w:r w:rsidR="0028753B" w:rsidRPr="00E877AA">
        <w:rPr>
          <w:rFonts w:cs="Arial"/>
          <w:szCs w:val="22"/>
        </w:rPr>
        <w:t xml:space="preserve">z celkového počtu </w:t>
      </w:r>
      <w:r w:rsidR="00381025" w:rsidRPr="00E877AA">
        <w:rPr>
          <w:rFonts w:cs="Arial"/>
          <w:szCs w:val="22"/>
        </w:rPr>
        <w:t xml:space="preserve">1656 řízení pravomocně skončených v roce 2018 dosáhl finanční arbitr v téměř dvou třetinách </w:t>
      </w:r>
      <w:r w:rsidR="00381025" w:rsidRPr="00E877AA">
        <w:rPr>
          <w:rFonts w:cs="Arial"/>
          <w:b/>
          <w:szCs w:val="22"/>
        </w:rPr>
        <w:t>(60%)</w:t>
      </w:r>
      <w:r w:rsidR="00381025" w:rsidRPr="00E877AA">
        <w:rPr>
          <w:rFonts w:cs="Arial"/>
          <w:szCs w:val="22"/>
        </w:rPr>
        <w:t xml:space="preserve"> smírného řešení sporu</w:t>
      </w:r>
      <w:r w:rsidR="0028753B" w:rsidRPr="00E877AA">
        <w:rPr>
          <w:rFonts w:cs="Arial"/>
          <w:szCs w:val="22"/>
        </w:rPr>
        <w:t xml:space="preserve">, to znamená, že </w:t>
      </w:r>
      <w:r w:rsidR="0074018B" w:rsidRPr="00E877AA">
        <w:rPr>
          <w:rFonts w:cs="Arial"/>
          <w:szCs w:val="22"/>
        </w:rPr>
        <w:t xml:space="preserve">finanční </w:t>
      </w:r>
      <w:r w:rsidR="0028753B" w:rsidRPr="00E877AA">
        <w:rPr>
          <w:rFonts w:cs="Arial"/>
          <w:szCs w:val="22"/>
        </w:rPr>
        <w:t>instituce uspokojila zcela nebo zčásti nárok, který spotřebitel v řízení před finančním arbitrem uplatnil.</w:t>
      </w:r>
      <w:r w:rsidR="00AA0688" w:rsidRPr="00E877AA">
        <w:rPr>
          <w:rFonts w:cs="Arial"/>
          <w:szCs w:val="22"/>
        </w:rPr>
        <w:t xml:space="preserve"> Za smírné řešení sporu je zapotřebí považovat i řízení, ve kterém spotřebitel vezme svůj návrh zpět, protože ho finanční arbitr předloženým posouzením shromážděných podkladů přesvědčí o neoprávněnosti jeho návrhu (sporu), nebo proto, že výsledek řízení by pro něj byl např. v důsledku vznesení námitky promlčení ze strany instituce méně výhodný než zachování státu quo. </w:t>
      </w:r>
      <w:r w:rsidR="0028753B" w:rsidRPr="00E877AA">
        <w:rPr>
          <w:rFonts w:cs="Arial"/>
          <w:szCs w:val="22"/>
        </w:rPr>
        <w:t>Taková řízení pak finanční arbitr zastavil pro zpětvzetí návrhu na zahájení řízení nebo proto, že odpadl důvod sporu</w:t>
      </w:r>
      <w:r w:rsidR="001A2535" w:rsidRPr="00E877AA">
        <w:rPr>
          <w:rFonts w:cs="Arial"/>
          <w:szCs w:val="22"/>
        </w:rPr>
        <w:t xml:space="preserve">, </w:t>
      </w:r>
      <w:r w:rsidR="007D1C7F" w:rsidRPr="00E877AA">
        <w:rPr>
          <w:rFonts w:cs="Arial"/>
          <w:szCs w:val="22"/>
        </w:rPr>
        <w:t xml:space="preserve">součet všech řízení ukončených smírným řešením v roce </w:t>
      </w:r>
      <w:r w:rsidR="00BD3455" w:rsidRPr="00E877AA">
        <w:rPr>
          <w:rFonts w:cs="Arial"/>
          <w:szCs w:val="22"/>
        </w:rPr>
        <w:t xml:space="preserve">2018 </w:t>
      </w:r>
      <w:r w:rsidR="00C44BF2" w:rsidRPr="00E877AA">
        <w:rPr>
          <w:rFonts w:cs="Arial"/>
          <w:szCs w:val="22"/>
        </w:rPr>
        <w:t>je</w:t>
      </w:r>
      <w:r w:rsidR="007D1C7F" w:rsidRPr="00E877AA">
        <w:rPr>
          <w:rFonts w:cs="Arial"/>
          <w:szCs w:val="22"/>
        </w:rPr>
        <w:t xml:space="preserve"> </w:t>
      </w:r>
      <w:r w:rsidR="005E2231" w:rsidRPr="00E877AA">
        <w:rPr>
          <w:rFonts w:cs="Arial"/>
          <w:b/>
          <w:szCs w:val="22"/>
        </w:rPr>
        <w:t>96</w:t>
      </w:r>
      <w:r w:rsidR="00381025" w:rsidRPr="00E877AA">
        <w:rPr>
          <w:rFonts w:cs="Arial"/>
          <w:b/>
          <w:szCs w:val="22"/>
        </w:rPr>
        <w:t>7</w:t>
      </w:r>
      <w:r w:rsidR="005E2231" w:rsidRPr="00E877AA">
        <w:rPr>
          <w:rFonts w:cs="Arial"/>
          <w:b/>
          <w:szCs w:val="22"/>
        </w:rPr>
        <w:t xml:space="preserve"> </w:t>
      </w:r>
      <w:r w:rsidR="00C44BF2" w:rsidRPr="00E877AA">
        <w:rPr>
          <w:rFonts w:cs="Arial"/>
          <w:szCs w:val="22"/>
        </w:rPr>
        <w:t>řízení</w:t>
      </w:r>
      <w:r w:rsidR="0028753B" w:rsidRPr="00E877AA">
        <w:rPr>
          <w:rFonts w:cs="Arial"/>
          <w:szCs w:val="22"/>
        </w:rPr>
        <w:t>.</w:t>
      </w:r>
      <w:r w:rsidR="008669F6" w:rsidRPr="00E877AA">
        <w:rPr>
          <w:rFonts w:cs="Arial"/>
          <w:szCs w:val="22"/>
        </w:rPr>
        <w:t xml:space="preserve"> V jednom případě finanční arbitr schválil </w:t>
      </w:r>
      <w:r w:rsidR="0061103A" w:rsidRPr="00E877AA">
        <w:rPr>
          <w:rFonts w:cs="Arial"/>
          <w:szCs w:val="22"/>
        </w:rPr>
        <w:t xml:space="preserve">na žádost stran sporu rozhodnutím uzavřený </w:t>
      </w:r>
      <w:r w:rsidR="008669F6" w:rsidRPr="00E877AA">
        <w:rPr>
          <w:rFonts w:cs="Arial"/>
          <w:szCs w:val="22"/>
        </w:rPr>
        <w:t xml:space="preserve">smír. Dalších </w:t>
      </w:r>
      <w:r w:rsidR="00336C9B" w:rsidRPr="00E877AA">
        <w:rPr>
          <w:rFonts w:cs="Arial"/>
          <w:b/>
          <w:szCs w:val="22"/>
        </w:rPr>
        <w:t>18</w:t>
      </w:r>
      <w:r w:rsidR="00336C9B" w:rsidRPr="00E877AA">
        <w:rPr>
          <w:rFonts w:cs="Arial"/>
          <w:szCs w:val="22"/>
        </w:rPr>
        <w:t xml:space="preserve"> </w:t>
      </w:r>
      <w:r w:rsidR="008669F6" w:rsidRPr="00E877AA">
        <w:rPr>
          <w:rFonts w:cs="Arial"/>
          <w:szCs w:val="22"/>
        </w:rPr>
        <w:t xml:space="preserve">řízení pak </w:t>
      </w:r>
      <w:r w:rsidR="0061103A" w:rsidRPr="00E877AA">
        <w:rPr>
          <w:rFonts w:cs="Arial"/>
          <w:szCs w:val="22"/>
        </w:rPr>
        <w:t>finanční arbitr zastavil</w:t>
      </w:r>
      <w:r w:rsidR="008669F6" w:rsidRPr="00E877AA">
        <w:rPr>
          <w:rFonts w:cs="Arial"/>
          <w:szCs w:val="22"/>
        </w:rPr>
        <w:t xml:space="preserve"> pro bezpředmětnost, </w:t>
      </w:r>
      <w:r w:rsidR="0061103A" w:rsidRPr="00E877AA">
        <w:rPr>
          <w:rFonts w:cs="Arial"/>
          <w:szCs w:val="22"/>
        </w:rPr>
        <w:t xml:space="preserve">protože </w:t>
      </w:r>
      <w:r w:rsidR="008669F6" w:rsidRPr="00E877AA">
        <w:rPr>
          <w:rFonts w:cs="Arial"/>
          <w:szCs w:val="22"/>
        </w:rPr>
        <w:t xml:space="preserve">finanční instituce zcela uspokojila požadavky navrhovatele a tuto skutečnost prokázala finančnímu arbitrovi, </w:t>
      </w:r>
      <w:r w:rsidR="0061103A" w:rsidRPr="00E877AA">
        <w:rPr>
          <w:rFonts w:cs="Arial"/>
          <w:szCs w:val="22"/>
        </w:rPr>
        <w:t xml:space="preserve">ale </w:t>
      </w:r>
      <w:r w:rsidR="008669F6" w:rsidRPr="00E877AA">
        <w:rPr>
          <w:rFonts w:cs="Arial"/>
          <w:szCs w:val="22"/>
        </w:rPr>
        <w:t xml:space="preserve">navrhovatel </w:t>
      </w:r>
      <w:r w:rsidR="0061103A" w:rsidRPr="00E877AA">
        <w:rPr>
          <w:rFonts w:cs="Arial"/>
          <w:szCs w:val="22"/>
        </w:rPr>
        <w:t xml:space="preserve">už </w:t>
      </w:r>
      <w:r w:rsidR="008669F6" w:rsidRPr="00E877AA">
        <w:rPr>
          <w:rFonts w:cs="Arial"/>
          <w:szCs w:val="22"/>
        </w:rPr>
        <w:t xml:space="preserve">svůj návrh nevzal zpět, neboť získáním finanční kompenzace pro něj věc „skončila". </w:t>
      </w:r>
    </w:p>
    <w:p w:rsidR="00B10CC9" w:rsidRPr="00E877AA" w:rsidRDefault="0028753B" w:rsidP="00166E77">
      <w:pPr>
        <w:pStyle w:val="Bntextzprvy"/>
        <w:rPr>
          <w:rFonts w:cs="Arial"/>
          <w:szCs w:val="22"/>
        </w:rPr>
      </w:pPr>
      <w:r w:rsidRPr="00E877AA">
        <w:rPr>
          <w:rFonts w:cs="Arial"/>
          <w:szCs w:val="22"/>
        </w:rPr>
        <w:t xml:space="preserve">Tam, kde strany sporu </w:t>
      </w:r>
      <w:r w:rsidR="00136F92" w:rsidRPr="00E877AA">
        <w:rPr>
          <w:rFonts w:cs="Arial"/>
          <w:szCs w:val="22"/>
        </w:rPr>
        <w:t>nenalezly ani v řízení před finančním arbitrem ochotu vyřešit spor smírně, rozhodl finanční arbitr zčásti</w:t>
      </w:r>
      <w:r w:rsidR="00E667AD" w:rsidRPr="00E877AA">
        <w:rPr>
          <w:rFonts w:cs="Arial"/>
          <w:szCs w:val="22"/>
        </w:rPr>
        <w:t xml:space="preserve"> nebo zcela vyhovujícím</w:t>
      </w:r>
      <w:r w:rsidR="003C26BC" w:rsidRPr="00E877AA">
        <w:rPr>
          <w:rFonts w:cs="Arial"/>
          <w:szCs w:val="22"/>
        </w:rPr>
        <w:t xml:space="preserve"> nebo zamítavým</w:t>
      </w:r>
      <w:r w:rsidR="00E667AD" w:rsidRPr="00E877AA">
        <w:rPr>
          <w:rFonts w:cs="Arial"/>
          <w:szCs w:val="22"/>
        </w:rPr>
        <w:t xml:space="preserve"> nálezem</w:t>
      </w:r>
      <w:r w:rsidR="00136F92" w:rsidRPr="00E877AA">
        <w:rPr>
          <w:rFonts w:cs="Arial"/>
          <w:szCs w:val="22"/>
        </w:rPr>
        <w:t xml:space="preserve">. </w:t>
      </w:r>
      <w:r w:rsidR="00336C9B" w:rsidRPr="00E877AA">
        <w:rPr>
          <w:rFonts w:cs="Arial"/>
          <w:szCs w:val="22"/>
        </w:rPr>
        <w:t>Celkem</w:t>
      </w:r>
      <w:r w:rsidR="0061103A" w:rsidRPr="00E877AA">
        <w:rPr>
          <w:rFonts w:cs="Arial"/>
          <w:szCs w:val="22"/>
        </w:rPr>
        <w:t xml:space="preserve"> vydal finanční arbitr </w:t>
      </w:r>
      <w:r w:rsidR="00336C9B" w:rsidRPr="00E877AA">
        <w:rPr>
          <w:rFonts w:cs="Arial"/>
          <w:b/>
          <w:szCs w:val="22"/>
        </w:rPr>
        <w:t xml:space="preserve">197 </w:t>
      </w:r>
      <w:r w:rsidR="00A816B6" w:rsidRPr="00E877AA">
        <w:rPr>
          <w:rFonts w:cs="Arial"/>
          <w:szCs w:val="22"/>
        </w:rPr>
        <w:t>rozhodnutí</w:t>
      </w:r>
      <w:r w:rsidR="00283AD9" w:rsidRPr="00E877AA">
        <w:rPr>
          <w:rFonts w:cs="Arial"/>
          <w:szCs w:val="22"/>
        </w:rPr>
        <w:t xml:space="preserve"> ve věci</w:t>
      </w:r>
      <w:r w:rsidR="00BB422D" w:rsidRPr="00E877AA">
        <w:rPr>
          <w:rFonts w:cs="Arial"/>
          <w:szCs w:val="22"/>
        </w:rPr>
        <w:t>,</w:t>
      </w:r>
      <w:r w:rsidR="003C26BC" w:rsidRPr="00E877AA">
        <w:rPr>
          <w:rFonts w:cs="Arial"/>
          <w:szCs w:val="22"/>
        </w:rPr>
        <w:t xml:space="preserve"> z toho </w:t>
      </w:r>
      <w:r w:rsidR="001233F5" w:rsidRPr="00E877AA">
        <w:rPr>
          <w:rFonts w:cs="Arial"/>
          <w:szCs w:val="22"/>
        </w:rPr>
        <w:t>v</w:t>
      </w:r>
      <w:r w:rsidR="000606EB" w:rsidRPr="00E877AA">
        <w:rPr>
          <w:rFonts w:cs="Arial"/>
          <w:szCs w:val="22"/>
        </w:rPr>
        <w:t>e</w:t>
      </w:r>
      <w:r w:rsidR="00A816B6" w:rsidRPr="00E877AA">
        <w:rPr>
          <w:rFonts w:cs="Arial"/>
          <w:szCs w:val="22"/>
        </w:rPr>
        <w:t xml:space="preserve"> </w:t>
      </w:r>
      <w:r w:rsidR="00336C9B" w:rsidRPr="00E877AA">
        <w:rPr>
          <w:rFonts w:cs="Arial"/>
          <w:b/>
          <w:szCs w:val="22"/>
        </w:rPr>
        <w:t>105</w:t>
      </w:r>
      <w:r w:rsidR="00336C9B" w:rsidRPr="00E877AA">
        <w:rPr>
          <w:rFonts w:cs="Arial"/>
          <w:szCs w:val="22"/>
        </w:rPr>
        <w:t xml:space="preserve"> </w:t>
      </w:r>
      <w:r w:rsidR="003C26BC" w:rsidRPr="00E877AA">
        <w:rPr>
          <w:rFonts w:cs="Arial"/>
          <w:szCs w:val="22"/>
        </w:rPr>
        <w:t xml:space="preserve">případech návrh </w:t>
      </w:r>
      <w:r w:rsidR="00CF38EE" w:rsidRPr="00E877AA">
        <w:rPr>
          <w:rFonts w:cs="Arial"/>
          <w:szCs w:val="22"/>
        </w:rPr>
        <w:t xml:space="preserve">zamítl a v </w:t>
      </w:r>
      <w:r w:rsidR="00336C9B" w:rsidRPr="00E877AA">
        <w:rPr>
          <w:rFonts w:cs="Arial"/>
          <w:b/>
          <w:szCs w:val="22"/>
        </w:rPr>
        <w:t>92</w:t>
      </w:r>
      <w:r w:rsidR="00336C9B" w:rsidRPr="00E877AA">
        <w:rPr>
          <w:rFonts w:cs="Arial"/>
          <w:szCs w:val="22"/>
        </w:rPr>
        <w:t> </w:t>
      </w:r>
      <w:r w:rsidR="00CF38EE" w:rsidRPr="00E877AA">
        <w:rPr>
          <w:rFonts w:cs="Arial"/>
          <w:szCs w:val="22"/>
        </w:rPr>
        <w:t>řízení</w:t>
      </w:r>
      <w:r w:rsidR="003C26BC" w:rsidRPr="00E877AA">
        <w:rPr>
          <w:rFonts w:cs="Arial"/>
          <w:szCs w:val="22"/>
        </w:rPr>
        <w:t xml:space="preserve"> částečně nebo úplně návrhu spotřebitele vyhověl.</w:t>
      </w:r>
      <w:r w:rsidR="006756A3">
        <w:rPr>
          <w:rFonts w:cs="Arial"/>
          <w:szCs w:val="22"/>
        </w:rPr>
        <w:t xml:space="preserve"> </w:t>
      </w:r>
      <w:r w:rsidR="002C6E07" w:rsidRPr="00E877AA">
        <w:rPr>
          <w:rFonts w:cs="Arial"/>
          <w:szCs w:val="22"/>
        </w:rPr>
        <w:t>Ne vždy</w:t>
      </w:r>
      <w:r w:rsidR="00F54CDA" w:rsidRPr="00E877AA">
        <w:rPr>
          <w:rFonts w:cs="Arial"/>
          <w:szCs w:val="22"/>
        </w:rPr>
        <w:t xml:space="preserve"> poskyt</w:t>
      </w:r>
      <w:r w:rsidR="005E0D28" w:rsidRPr="00E877AA">
        <w:rPr>
          <w:rFonts w:cs="Arial"/>
          <w:szCs w:val="22"/>
        </w:rPr>
        <w:t>l</w:t>
      </w:r>
      <w:r w:rsidR="002C6E07" w:rsidRPr="00E877AA">
        <w:rPr>
          <w:rFonts w:cs="Arial"/>
          <w:szCs w:val="22"/>
        </w:rPr>
        <w:t>i spotřebitelé</w:t>
      </w:r>
      <w:r w:rsidR="00F54CDA" w:rsidRPr="00E877AA">
        <w:rPr>
          <w:rFonts w:cs="Arial"/>
          <w:szCs w:val="22"/>
        </w:rPr>
        <w:t xml:space="preserve"> </w:t>
      </w:r>
      <w:r w:rsidR="002C6E07" w:rsidRPr="00E877AA">
        <w:rPr>
          <w:rFonts w:cs="Arial"/>
          <w:szCs w:val="22"/>
        </w:rPr>
        <w:t>(</w:t>
      </w:r>
      <w:r w:rsidR="00F54CDA" w:rsidRPr="00E877AA">
        <w:rPr>
          <w:rFonts w:cs="Arial"/>
          <w:szCs w:val="22"/>
        </w:rPr>
        <w:t>navrhovatel</w:t>
      </w:r>
      <w:r w:rsidR="002C6E07" w:rsidRPr="00E877AA">
        <w:rPr>
          <w:rFonts w:cs="Arial"/>
          <w:szCs w:val="22"/>
        </w:rPr>
        <w:t>é)</w:t>
      </w:r>
      <w:r w:rsidR="00F54CDA" w:rsidRPr="00E877AA">
        <w:rPr>
          <w:rFonts w:cs="Arial"/>
          <w:szCs w:val="22"/>
        </w:rPr>
        <w:t xml:space="preserve"> finančnímu arbitrovi takovou součinnost, aby mohlo být v řízení spravedlivě a podle práva rozhodnuto. A to ani přesto, že finanční arbitr opakovaně vyzývá a poučuje navrhovatele, jaké podklady má předložit na podporu svých tvrzení nebo jak má formulovat svůj nárok vznášený proti instituci</w:t>
      </w:r>
      <w:r w:rsidR="00920BE8" w:rsidRPr="00E877AA">
        <w:rPr>
          <w:rFonts w:cs="Arial"/>
          <w:szCs w:val="22"/>
        </w:rPr>
        <w:t>.</w:t>
      </w:r>
      <w:r w:rsidR="007D0C65" w:rsidRPr="00E877AA">
        <w:rPr>
          <w:rFonts w:cs="Arial"/>
          <w:szCs w:val="22"/>
        </w:rPr>
        <w:t xml:space="preserve"> </w:t>
      </w:r>
      <w:r w:rsidR="002C6E07" w:rsidRPr="00E877AA">
        <w:rPr>
          <w:rFonts w:cs="Arial"/>
          <w:szCs w:val="22"/>
        </w:rPr>
        <w:t xml:space="preserve">Finanční arbitr musel pro nesoučinnost navrhovatele zastavit </w:t>
      </w:r>
      <w:r w:rsidR="00BB422D" w:rsidRPr="00E877AA">
        <w:rPr>
          <w:rFonts w:cs="Arial"/>
          <w:szCs w:val="22"/>
        </w:rPr>
        <w:t xml:space="preserve">celkem </w:t>
      </w:r>
      <w:r w:rsidR="004B3B72" w:rsidRPr="00E877AA">
        <w:rPr>
          <w:rFonts w:cs="Arial"/>
          <w:b/>
          <w:szCs w:val="22"/>
        </w:rPr>
        <w:t>35</w:t>
      </w:r>
      <w:r w:rsidR="00381025" w:rsidRPr="00E877AA">
        <w:rPr>
          <w:rFonts w:cs="Arial"/>
          <w:b/>
          <w:szCs w:val="22"/>
        </w:rPr>
        <w:t>4</w:t>
      </w:r>
      <w:r w:rsidR="00336C9B" w:rsidRPr="00E877AA">
        <w:rPr>
          <w:rFonts w:cs="Arial"/>
          <w:szCs w:val="22"/>
        </w:rPr>
        <w:t xml:space="preserve"> </w:t>
      </w:r>
      <w:r w:rsidR="00EE46FF" w:rsidRPr="00E877AA">
        <w:rPr>
          <w:rFonts w:cs="Arial"/>
          <w:szCs w:val="22"/>
        </w:rPr>
        <w:t>řízení.</w:t>
      </w:r>
      <w:r w:rsidR="006756A3">
        <w:rPr>
          <w:rFonts w:cs="Arial"/>
          <w:szCs w:val="22"/>
        </w:rPr>
        <w:t xml:space="preserve"> </w:t>
      </w:r>
      <w:r w:rsidR="00B10CC9" w:rsidRPr="00E877AA">
        <w:rPr>
          <w:rFonts w:cs="Arial"/>
          <w:szCs w:val="22"/>
        </w:rPr>
        <w:t xml:space="preserve">Finanční arbitr návrhy, </w:t>
      </w:r>
      <w:r w:rsidR="00283AD9" w:rsidRPr="00E877AA">
        <w:rPr>
          <w:rFonts w:cs="Arial"/>
          <w:szCs w:val="22"/>
        </w:rPr>
        <w:t>kde zjistil</w:t>
      </w:r>
      <w:r w:rsidR="00B10CC9" w:rsidRPr="00E877AA">
        <w:rPr>
          <w:rFonts w:cs="Arial"/>
          <w:szCs w:val="22"/>
        </w:rPr>
        <w:t xml:space="preserve"> zákonnou překážku řízení, musí odmítnout pro jejich nepřípustnost</w:t>
      </w:r>
      <w:r w:rsidR="00283AD9" w:rsidRPr="00E877AA">
        <w:rPr>
          <w:rFonts w:cs="Arial"/>
          <w:szCs w:val="22"/>
        </w:rPr>
        <w:t>; v</w:t>
      </w:r>
      <w:r w:rsidR="00B10CC9" w:rsidRPr="00E877AA">
        <w:rPr>
          <w:rFonts w:cs="Arial"/>
          <w:szCs w:val="22"/>
        </w:rPr>
        <w:t> roce 201</w:t>
      </w:r>
      <w:r w:rsidR="002F7E08" w:rsidRPr="00E877AA">
        <w:rPr>
          <w:rFonts w:cs="Arial"/>
          <w:szCs w:val="22"/>
        </w:rPr>
        <w:t>8</w:t>
      </w:r>
      <w:r w:rsidR="00CF38EE" w:rsidRPr="00E877AA">
        <w:rPr>
          <w:rFonts w:cs="Arial"/>
          <w:szCs w:val="22"/>
        </w:rPr>
        <w:t xml:space="preserve"> </w:t>
      </w:r>
      <w:r w:rsidR="00B10CC9" w:rsidRPr="00E877AA">
        <w:rPr>
          <w:rFonts w:cs="Arial"/>
          <w:szCs w:val="22"/>
        </w:rPr>
        <w:t>tak učinil v</w:t>
      </w:r>
      <w:r w:rsidR="00172346" w:rsidRPr="00E877AA">
        <w:rPr>
          <w:rFonts w:cs="Arial"/>
          <w:szCs w:val="22"/>
        </w:rPr>
        <w:t xml:space="preserve"> </w:t>
      </w:r>
      <w:r w:rsidR="00336C9B" w:rsidRPr="00E877AA">
        <w:rPr>
          <w:rFonts w:cs="Arial"/>
          <w:b/>
          <w:szCs w:val="22"/>
        </w:rPr>
        <w:t>43</w:t>
      </w:r>
      <w:r w:rsidR="00336C9B" w:rsidRPr="00E877AA">
        <w:rPr>
          <w:rFonts w:cs="Arial"/>
          <w:szCs w:val="22"/>
        </w:rPr>
        <w:t xml:space="preserve"> </w:t>
      </w:r>
      <w:r w:rsidR="00A816B6" w:rsidRPr="00E877AA">
        <w:rPr>
          <w:rFonts w:cs="Arial"/>
          <w:szCs w:val="22"/>
        </w:rPr>
        <w:t>případech</w:t>
      </w:r>
      <w:r w:rsidR="00172346" w:rsidRPr="00E877AA">
        <w:rPr>
          <w:rFonts w:cs="Arial"/>
          <w:szCs w:val="22"/>
        </w:rPr>
        <w:t>.</w:t>
      </w:r>
      <w:r w:rsidR="00C84329" w:rsidRPr="00E877AA">
        <w:rPr>
          <w:rFonts w:cs="Arial"/>
          <w:szCs w:val="22"/>
        </w:rPr>
        <w:t xml:space="preserve"> V případě, že není založena příslušnost finančního arbitra k řešení sporu, zastaví finanční arbitr řízení pro nepříslušnost</w:t>
      </w:r>
      <w:r w:rsidR="00283AD9" w:rsidRPr="00E877AA">
        <w:rPr>
          <w:rFonts w:cs="Arial"/>
          <w:szCs w:val="22"/>
        </w:rPr>
        <w:t>, v</w:t>
      </w:r>
      <w:r w:rsidR="00C84329" w:rsidRPr="00E877AA">
        <w:rPr>
          <w:rFonts w:cs="Arial"/>
          <w:szCs w:val="22"/>
        </w:rPr>
        <w:t xml:space="preserve"> roce </w:t>
      </w:r>
      <w:r w:rsidR="00336C9B" w:rsidRPr="00E877AA">
        <w:rPr>
          <w:rFonts w:cs="Arial"/>
          <w:szCs w:val="22"/>
        </w:rPr>
        <w:t xml:space="preserve">2018 </w:t>
      </w:r>
      <w:r w:rsidR="00C84329" w:rsidRPr="00E877AA">
        <w:rPr>
          <w:rFonts w:cs="Arial"/>
          <w:szCs w:val="22"/>
        </w:rPr>
        <w:t>bylo</w:t>
      </w:r>
      <w:r w:rsidR="00336C9B" w:rsidRPr="00E877AA">
        <w:rPr>
          <w:rFonts w:cs="Arial"/>
          <w:szCs w:val="22"/>
        </w:rPr>
        <w:t xml:space="preserve"> celkem</w:t>
      </w:r>
      <w:r w:rsidR="00C84329" w:rsidRPr="00E877AA">
        <w:rPr>
          <w:rFonts w:cs="Arial"/>
          <w:szCs w:val="22"/>
        </w:rPr>
        <w:t xml:space="preserve"> </w:t>
      </w:r>
      <w:r w:rsidR="00283AD9" w:rsidRPr="00E877AA">
        <w:rPr>
          <w:rFonts w:cs="Arial"/>
          <w:szCs w:val="22"/>
        </w:rPr>
        <w:t>pro nepříslušnost finančního arbitra</w:t>
      </w:r>
      <w:r w:rsidR="00C84329" w:rsidRPr="00E877AA">
        <w:rPr>
          <w:rFonts w:cs="Arial"/>
          <w:szCs w:val="22"/>
        </w:rPr>
        <w:t xml:space="preserve"> zastaveno </w:t>
      </w:r>
      <w:r w:rsidR="00336C9B" w:rsidRPr="00E877AA">
        <w:rPr>
          <w:rFonts w:cs="Arial"/>
          <w:b/>
          <w:szCs w:val="22"/>
        </w:rPr>
        <w:t>74</w:t>
      </w:r>
      <w:r w:rsidR="00336C9B" w:rsidRPr="00E877AA">
        <w:rPr>
          <w:rFonts w:cs="Arial"/>
          <w:szCs w:val="22"/>
        </w:rPr>
        <w:t xml:space="preserve"> </w:t>
      </w:r>
      <w:r w:rsidR="00C84329" w:rsidRPr="00E877AA">
        <w:rPr>
          <w:rFonts w:cs="Arial"/>
          <w:szCs w:val="22"/>
        </w:rPr>
        <w:t>řízení.</w:t>
      </w:r>
    </w:p>
    <w:tbl>
      <w:tblPr>
        <w:tblW w:w="9654" w:type="dxa"/>
        <w:tblInd w:w="55" w:type="dxa"/>
        <w:tblCellMar>
          <w:left w:w="70" w:type="dxa"/>
          <w:right w:w="70" w:type="dxa"/>
        </w:tblCellMar>
        <w:tblLook w:val="04A0" w:firstRow="1" w:lastRow="0" w:firstColumn="1" w:lastColumn="0" w:noHBand="0" w:noVBand="1"/>
      </w:tblPr>
      <w:tblGrid>
        <w:gridCol w:w="6014"/>
        <w:gridCol w:w="3640"/>
      </w:tblGrid>
      <w:tr w:rsidR="00CC4822" w:rsidRPr="00E877AA" w:rsidTr="005D5914">
        <w:trPr>
          <w:trHeight w:val="300"/>
        </w:trPr>
        <w:tc>
          <w:tcPr>
            <w:tcW w:w="6014" w:type="dxa"/>
            <w:tcBorders>
              <w:top w:val="single" w:sz="4" w:space="0" w:color="auto"/>
              <w:left w:val="single" w:sz="4" w:space="0" w:color="auto"/>
              <w:bottom w:val="single" w:sz="4" w:space="0" w:color="auto"/>
              <w:right w:val="single" w:sz="4" w:space="0" w:color="auto"/>
            </w:tcBorders>
            <w:shd w:val="clear" w:color="000000" w:fill="B0C4DE"/>
            <w:hideMark/>
          </w:tcPr>
          <w:p w:rsidR="00CC4822" w:rsidRPr="00E877AA" w:rsidRDefault="00CC4822" w:rsidP="00CC4822">
            <w:pPr>
              <w:spacing w:after="0"/>
              <w:rPr>
                <w:rFonts w:ascii="Arial" w:eastAsia="Times New Roman" w:hAnsi="Arial" w:cs="Arial"/>
                <w:b/>
                <w:bCs/>
                <w:color w:val="000000"/>
                <w:lang w:eastAsia="cs-CZ"/>
              </w:rPr>
            </w:pPr>
            <w:r w:rsidRPr="00E877AA">
              <w:rPr>
                <w:rFonts w:ascii="Arial" w:eastAsia="Times New Roman" w:hAnsi="Arial" w:cs="Arial"/>
                <w:b/>
                <w:bCs/>
                <w:color w:val="000000"/>
                <w:lang w:eastAsia="cs-CZ"/>
              </w:rPr>
              <w:t>Výsledek</w:t>
            </w:r>
          </w:p>
        </w:tc>
        <w:tc>
          <w:tcPr>
            <w:tcW w:w="3640" w:type="dxa"/>
            <w:tcBorders>
              <w:top w:val="single" w:sz="4" w:space="0" w:color="auto"/>
              <w:left w:val="nil"/>
              <w:bottom w:val="single" w:sz="4" w:space="0" w:color="auto"/>
              <w:right w:val="single" w:sz="4" w:space="0" w:color="auto"/>
            </w:tcBorders>
            <w:shd w:val="clear" w:color="000000" w:fill="B0C4DE"/>
            <w:hideMark/>
          </w:tcPr>
          <w:p w:rsidR="00CC4822" w:rsidRPr="00E877AA" w:rsidRDefault="00CC4822" w:rsidP="00CC4822">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Počet</w:t>
            </w:r>
          </w:p>
        </w:tc>
      </w:tr>
      <w:tr w:rsidR="00CC4822" w:rsidRPr="00E877AA" w:rsidTr="005D5914">
        <w:trPr>
          <w:trHeight w:val="286"/>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color w:val="000000"/>
                <w:lang w:eastAsia="cs-CZ"/>
              </w:rPr>
            </w:pPr>
            <w:r w:rsidRPr="00E877AA">
              <w:rPr>
                <w:rFonts w:ascii="Arial" w:eastAsia="Times New Roman" w:hAnsi="Arial" w:cs="Arial"/>
                <w:color w:val="000000"/>
                <w:lang w:eastAsia="cs-CZ"/>
              </w:rPr>
              <w:t>Částečně vyhověno</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CC4822">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72</w:t>
            </w:r>
          </w:p>
        </w:tc>
      </w:tr>
      <w:tr w:rsidR="00CC4822" w:rsidRPr="00E877AA" w:rsidTr="005D5914">
        <w:trPr>
          <w:trHeight w:val="286"/>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color w:val="000000"/>
                <w:lang w:eastAsia="cs-CZ"/>
              </w:rPr>
            </w:pPr>
            <w:r w:rsidRPr="00E877AA">
              <w:rPr>
                <w:rFonts w:ascii="Arial" w:eastAsia="Times New Roman" w:hAnsi="Arial" w:cs="Arial"/>
                <w:color w:val="000000"/>
                <w:lang w:eastAsia="cs-CZ"/>
              </w:rPr>
              <w:t>Schválený smír</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CC4822">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1</w:t>
            </w:r>
          </w:p>
        </w:tc>
      </w:tr>
      <w:tr w:rsidR="00CC4822" w:rsidRPr="00E877AA" w:rsidTr="005D5914">
        <w:trPr>
          <w:trHeight w:val="286"/>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color w:val="000000"/>
                <w:lang w:eastAsia="cs-CZ"/>
              </w:rPr>
            </w:pPr>
            <w:r w:rsidRPr="00E877AA">
              <w:rPr>
                <w:rFonts w:ascii="Arial" w:eastAsia="Times New Roman" w:hAnsi="Arial" w:cs="Arial"/>
                <w:color w:val="000000"/>
                <w:lang w:eastAsia="cs-CZ"/>
              </w:rPr>
              <w:t>Vyhověno</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CC4822">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20</w:t>
            </w:r>
          </w:p>
        </w:tc>
      </w:tr>
      <w:tr w:rsidR="00CC4822" w:rsidRPr="00E877AA" w:rsidTr="005D5914">
        <w:trPr>
          <w:trHeight w:val="286"/>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color w:val="000000"/>
                <w:lang w:eastAsia="cs-CZ"/>
              </w:rPr>
            </w:pPr>
            <w:r w:rsidRPr="00E877AA">
              <w:rPr>
                <w:rFonts w:ascii="Arial" w:eastAsia="Times New Roman" w:hAnsi="Arial" w:cs="Arial"/>
                <w:color w:val="000000"/>
                <w:lang w:eastAsia="cs-CZ"/>
              </w:rPr>
              <w:t>Zamítnuto</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CC4822">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105</w:t>
            </w:r>
          </w:p>
        </w:tc>
      </w:tr>
      <w:tr w:rsidR="00CC4822" w:rsidRPr="00E877AA" w:rsidTr="005D5914">
        <w:trPr>
          <w:trHeight w:val="286"/>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color w:val="000000"/>
                <w:lang w:eastAsia="cs-CZ"/>
              </w:rPr>
            </w:pPr>
            <w:r w:rsidRPr="00E877AA">
              <w:rPr>
                <w:rFonts w:ascii="Arial" w:eastAsia="Times New Roman" w:hAnsi="Arial" w:cs="Arial"/>
                <w:color w:val="000000"/>
                <w:lang w:eastAsia="cs-CZ"/>
              </w:rPr>
              <w:t>Zastaveno pro bezpředmětnost</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CC4822">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18</w:t>
            </w:r>
          </w:p>
        </w:tc>
      </w:tr>
      <w:tr w:rsidR="00CC4822" w:rsidRPr="00E877AA" w:rsidTr="005D5914">
        <w:trPr>
          <w:trHeight w:val="286"/>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color w:val="000000"/>
                <w:lang w:eastAsia="cs-CZ"/>
              </w:rPr>
            </w:pPr>
            <w:r w:rsidRPr="00E877AA">
              <w:rPr>
                <w:rFonts w:ascii="Arial" w:eastAsia="Times New Roman" w:hAnsi="Arial" w:cs="Arial"/>
                <w:color w:val="000000"/>
                <w:lang w:eastAsia="cs-CZ"/>
              </w:rPr>
              <w:t>Zastaveno pro nepřípustnost</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CC4822">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43</w:t>
            </w:r>
          </w:p>
        </w:tc>
      </w:tr>
      <w:tr w:rsidR="00CC4822" w:rsidRPr="00E877AA" w:rsidTr="005D5914">
        <w:trPr>
          <w:trHeight w:val="286"/>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color w:val="000000"/>
                <w:lang w:eastAsia="cs-CZ"/>
              </w:rPr>
            </w:pPr>
            <w:r w:rsidRPr="00E877AA">
              <w:rPr>
                <w:rFonts w:ascii="Arial" w:eastAsia="Times New Roman" w:hAnsi="Arial" w:cs="Arial"/>
                <w:color w:val="000000"/>
                <w:lang w:eastAsia="cs-CZ"/>
              </w:rPr>
              <w:t>Zastaveno pro nepříslušnost</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CC4822">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74</w:t>
            </w:r>
          </w:p>
        </w:tc>
      </w:tr>
      <w:tr w:rsidR="00CC4822" w:rsidRPr="00E877AA" w:rsidTr="005D5914">
        <w:trPr>
          <w:trHeight w:val="286"/>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color w:val="000000"/>
                <w:lang w:eastAsia="cs-CZ"/>
              </w:rPr>
            </w:pPr>
            <w:r w:rsidRPr="00E877AA">
              <w:rPr>
                <w:rFonts w:ascii="Arial" w:eastAsia="Times New Roman" w:hAnsi="Arial" w:cs="Arial"/>
                <w:color w:val="000000"/>
                <w:lang w:eastAsia="cs-CZ"/>
              </w:rPr>
              <w:t>Zastaveno pro nesoučinnost</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381025">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35</w:t>
            </w:r>
            <w:r w:rsidR="00381025" w:rsidRPr="00E877AA">
              <w:rPr>
                <w:rFonts w:ascii="Arial" w:eastAsia="Times New Roman" w:hAnsi="Arial" w:cs="Arial"/>
                <w:color w:val="000000"/>
                <w:lang w:eastAsia="cs-CZ"/>
              </w:rPr>
              <w:t>4</w:t>
            </w:r>
          </w:p>
        </w:tc>
      </w:tr>
      <w:tr w:rsidR="00CC4822" w:rsidRPr="00E877AA" w:rsidTr="005D5914">
        <w:trPr>
          <w:trHeight w:val="286"/>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color w:val="000000"/>
                <w:lang w:eastAsia="cs-CZ"/>
              </w:rPr>
            </w:pPr>
            <w:r w:rsidRPr="00E877AA">
              <w:rPr>
                <w:rFonts w:ascii="Arial" w:eastAsia="Times New Roman" w:hAnsi="Arial" w:cs="Arial"/>
                <w:color w:val="000000"/>
                <w:lang w:eastAsia="cs-CZ"/>
              </w:rPr>
              <w:t>Zastaveno pro zpětvzetí</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381025">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96</w:t>
            </w:r>
            <w:r w:rsidR="00381025" w:rsidRPr="00E877AA">
              <w:rPr>
                <w:rFonts w:ascii="Arial" w:eastAsia="Times New Roman" w:hAnsi="Arial" w:cs="Arial"/>
                <w:color w:val="000000"/>
                <w:lang w:eastAsia="cs-CZ"/>
              </w:rPr>
              <w:t>7</w:t>
            </w:r>
          </w:p>
        </w:tc>
      </w:tr>
      <w:tr w:rsidR="00CC4822" w:rsidRPr="00E877AA" w:rsidTr="005D5914">
        <w:trPr>
          <w:trHeight w:val="286"/>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color w:val="000000"/>
                <w:lang w:eastAsia="cs-CZ"/>
              </w:rPr>
            </w:pPr>
            <w:r w:rsidRPr="00E877AA">
              <w:rPr>
                <w:rFonts w:ascii="Arial" w:eastAsia="Times New Roman" w:hAnsi="Arial" w:cs="Arial"/>
                <w:color w:val="000000"/>
                <w:lang w:eastAsia="cs-CZ"/>
              </w:rPr>
              <w:t>Zastaveno z jiného důvodu</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CC4822">
            <w:pPr>
              <w:spacing w:after="0"/>
              <w:jc w:val="right"/>
              <w:rPr>
                <w:rFonts w:ascii="Arial" w:eastAsia="Times New Roman" w:hAnsi="Arial" w:cs="Arial"/>
                <w:color w:val="000000"/>
                <w:lang w:eastAsia="cs-CZ"/>
              </w:rPr>
            </w:pPr>
            <w:r w:rsidRPr="00E877AA">
              <w:rPr>
                <w:rFonts w:ascii="Arial" w:eastAsia="Times New Roman" w:hAnsi="Arial" w:cs="Arial"/>
                <w:color w:val="000000"/>
                <w:lang w:eastAsia="cs-CZ"/>
              </w:rPr>
              <w:t>2</w:t>
            </w:r>
          </w:p>
        </w:tc>
      </w:tr>
      <w:tr w:rsidR="00CC4822" w:rsidRPr="00E877AA" w:rsidTr="005D5914">
        <w:trPr>
          <w:trHeight w:val="300"/>
        </w:trPr>
        <w:tc>
          <w:tcPr>
            <w:tcW w:w="6014" w:type="dxa"/>
            <w:tcBorders>
              <w:top w:val="single" w:sz="4" w:space="0" w:color="auto"/>
              <w:left w:val="single" w:sz="4" w:space="0" w:color="auto"/>
              <w:bottom w:val="single" w:sz="4" w:space="0" w:color="auto"/>
              <w:right w:val="single" w:sz="4" w:space="0" w:color="auto"/>
            </w:tcBorders>
            <w:shd w:val="clear" w:color="auto" w:fill="auto"/>
            <w:hideMark/>
          </w:tcPr>
          <w:p w:rsidR="00CC4822" w:rsidRPr="00E877AA" w:rsidRDefault="00CC4822" w:rsidP="00CC4822">
            <w:pPr>
              <w:spacing w:after="0"/>
              <w:rPr>
                <w:rFonts w:ascii="Arial" w:eastAsia="Times New Roman" w:hAnsi="Arial" w:cs="Arial"/>
                <w:b/>
                <w:bCs/>
                <w:color w:val="000000"/>
                <w:lang w:eastAsia="cs-CZ"/>
              </w:rPr>
            </w:pPr>
            <w:r w:rsidRPr="00E877AA">
              <w:rPr>
                <w:rFonts w:ascii="Arial" w:eastAsia="Times New Roman" w:hAnsi="Arial" w:cs="Arial"/>
                <w:b/>
                <w:bCs/>
                <w:color w:val="000000"/>
                <w:lang w:eastAsia="cs-CZ"/>
              </w:rPr>
              <w:t>Celkem</w:t>
            </w:r>
          </w:p>
        </w:tc>
        <w:tc>
          <w:tcPr>
            <w:tcW w:w="3640" w:type="dxa"/>
            <w:tcBorders>
              <w:top w:val="nil"/>
              <w:left w:val="nil"/>
              <w:bottom w:val="single" w:sz="4" w:space="0" w:color="auto"/>
              <w:right w:val="single" w:sz="4" w:space="0" w:color="auto"/>
            </w:tcBorders>
            <w:shd w:val="clear" w:color="auto" w:fill="auto"/>
            <w:hideMark/>
          </w:tcPr>
          <w:p w:rsidR="00CC4822" w:rsidRPr="00E877AA" w:rsidRDefault="00CC4822" w:rsidP="00A31CAF">
            <w:pPr>
              <w:spacing w:after="0"/>
              <w:jc w:val="right"/>
              <w:rPr>
                <w:rFonts w:ascii="Arial" w:eastAsia="Times New Roman" w:hAnsi="Arial" w:cs="Arial"/>
                <w:b/>
                <w:bCs/>
                <w:color w:val="000000"/>
                <w:lang w:eastAsia="cs-CZ"/>
              </w:rPr>
            </w:pPr>
            <w:r w:rsidRPr="00E877AA">
              <w:rPr>
                <w:rFonts w:ascii="Arial" w:eastAsia="Times New Roman" w:hAnsi="Arial" w:cs="Arial"/>
                <w:b/>
                <w:bCs/>
                <w:color w:val="000000"/>
                <w:lang w:eastAsia="cs-CZ"/>
              </w:rPr>
              <w:t>165</w:t>
            </w:r>
            <w:r w:rsidR="00A31CAF" w:rsidRPr="00E877AA">
              <w:rPr>
                <w:rFonts w:ascii="Arial" w:eastAsia="Times New Roman" w:hAnsi="Arial" w:cs="Arial"/>
                <w:b/>
                <w:bCs/>
                <w:color w:val="000000"/>
                <w:lang w:eastAsia="cs-CZ"/>
              </w:rPr>
              <w:t>6</w:t>
            </w:r>
          </w:p>
        </w:tc>
      </w:tr>
    </w:tbl>
    <w:p w:rsidR="00F4364F" w:rsidRPr="00E877AA" w:rsidRDefault="00381025" w:rsidP="00166E77">
      <w:pPr>
        <w:pStyle w:val="Bntextzprvy"/>
      </w:pPr>
      <w:r w:rsidRPr="00E877AA">
        <w:rPr>
          <w:noProof/>
        </w:rPr>
        <w:drawing>
          <wp:inline distT="0" distB="0" distL="0" distR="0" wp14:anchorId="255C6A55" wp14:editId="65680A1B">
            <wp:extent cx="6137452" cy="2348179"/>
            <wp:effectExtent l="0" t="0" r="15875" b="14605"/>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6595E" w:rsidRPr="00E877AA" w:rsidRDefault="00622DFA" w:rsidP="00166E77">
      <w:pPr>
        <w:pStyle w:val="Bntextzprvy"/>
      </w:pPr>
      <w:r w:rsidRPr="00E877AA">
        <w:lastRenderedPageBreak/>
        <w:t>Finanční arbitr je v případě, kdy ve věci rozhodne nálezem a vyhoví, byť jen zčásti spotřebiteli, povinen podle § 17a odst. 1 zákona o finančním arbitrovi uložit instituci sankci ve výši 10 % z částky, kterou je instituce povinna zaplatit navrhovateli, nejméně však 15 000 Kč, a tato</w:t>
      </w:r>
      <w:r w:rsidR="00B50844" w:rsidRPr="00E877AA">
        <w:t xml:space="preserve"> částka</w:t>
      </w:r>
      <w:r w:rsidR="007242A0" w:rsidRPr="00E877AA">
        <w:t xml:space="preserve"> je příjmem státního rozpočtu.</w:t>
      </w:r>
    </w:p>
    <w:p w:rsidR="00B6595E" w:rsidRPr="00E877AA" w:rsidRDefault="00622DFA" w:rsidP="00166E77">
      <w:pPr>
        <w:pStyle w:val="Bntextzprvy"/>
      </w:pPr>
      <w:r w:rsidRPr="00E877AA">
        <w:t>Vedle toho je finanční arbitr oprávněn podle § 23 téhož zákona uložit instituci pokutu za porušení povinností předkládat podklady v řízení před finančním arbitrem, pokutu lze uložit až do výše 1</w:t>
      </w:r>
      <w:r w:rsidR="007D2EE9" w:rsidRPr="00E877AA">
        <w:t>00.000</w:t>
      </w:r>
      <w:r w:rsidR="00C82A4C" w:rsidRPr="00E877AA">
        <w:t> </w:t>
      </w:r>
      <w:r w:rsidRPr="00E877AA">
        <w:t>Kč</w:t>
      </w:r>
      <w:r w:rsidR="007D2EE9" w:rsidRPr="00E877AA">
        <w:t>, a to i opakovaně,</w:t>
      </w:r>
      <w:r w:rsidRPr="00E877AA">
        <w:t xml:space="preserve"> a též je příjmem</w:t>
      </w:r>
      <w:r w:rsidR="007242A0" w:rsidRPr="00E877AA">
        <w:t xml:space="preserve"> státního rozpočtu.</w:t>
      </w:r>
    </w:p>
    <w:p w:rsidR="000B6441" w:rsidRPr="00E877AA" w:rsidRDefault="005348D3" w:rsidP="00166E77">
      <w:pPr>
        <w:pStyle w:val="Nadpis1"/>
        <w:rPr>
          <w:rFonts w:ascii="Arial" w:hAnsi="Arial" w:cs="Arial"/>
          <w:szCs w:val="24"/>
        </w:rPr>
      </w:pPr>
      <w:bookmarkStart w:id="5" w:name="_Toc4591461"/>
      <w:r w:rsidRPr="00E877AA">
        <w:rPr>
          <w:rFonts w:ascii="Arial" w:hAnsi="Arial" w:cs="Arial"/>
          <w:szCs w:val="24"/>
        </w:rPr>
        <w:lastRenderedPageBreak/>
        <w:t>NÁKLADY NA ZAJIŠTĚNÍ ČINNOSTI FINANČNÍHO ARBITRA</w:t>
      </w:r>
      <w:bookmarkEnd w:id="5"/>
    </w:p>
    <w:p w:rsidR="007E2713" w:rsidRPr="00E877AA" w:rsidRDefault="00A66947" w:rsidP="00ED0F7E">
      <w:pPr>
        <w:spacing w:before="200"/>
        <w:jc w:val="both"/>
        <w:rPr>
          <w:rFonts w:ascii="Arial" w:hAnsi="Arial" w:cs="Arial"/>
        </w:rPr>
      </w:pPr>
      <w:r w:rsidRPr="00E877AA">
        <w:rPr>
          <w:rFonts w:ascii="Arial" w:hAnsi="Arial" w:cs="Arial"/>
        </w:rPr>
        <w:t xml:space="preserve">Kancelář finančního arbitra je podle § 1a odst. 1 zákona o finančním arbitrovi organizační složkou státu a samostatnou účetní jednotkou, jejíž příjmy a výdaje jsou součástí rozpočtové kapitoly Ministerstva financí. </w:t>
      </w:r>
    </w:p>
    <w:p w:rsidR="00A66947" w:rsidRPr="00E877AA" w:rsidRDefault="00A66947" w:rsidP="00ED0F7E">
      <w:pPr>
        <w:spacing w:before="200"/>
        <w:jc w:val="both"/>
        <w:rPr>
          <w:rFonts w:ascii="Arial" w:hAnsi="Arial" w:cs="Arial"/>
        </w:rPr>
      </w:pPr>
      <w:r w:rsidRPr="00E877AA">
        <w:rPr>
          <w:rFonts w:ascii="Arial" w:hAnsi="Arial" w:cs="Arial"/>
        </w:rPr>
        <w:t>Ve státním rozpočtu byly i na kalendářní rok 2018 výdaje Kanceláře finančního arbitra vedeny ve výdajovém bloku VB – Výdaje na zabezpečení činnosti Kanceláře finančního arbitra, z hlediska odvětvového třídění rozpočtové sklad</w:t>
      </w:r>
      <w:r w:rsidR="00ED0F7E" w:rsidRPr="00E877AA">
        <w:rPr>
          <w:rFonts w:ascii="Arial" w:hAnsi="Arial" w:cs="Arial"/>
        </w:rPr>
        <w:t>by byly zařazeny do § 5471.</w:t>
      </w:r>
    </w:p>
    <w:p w:rsidR="00A66947" w:rsidRPr="00A52C3E" w:rsidRDefault="00FE674A" w:rsidP="00A66947">
      <w:pPr>
        <w:pStyle w:val="Bntextzprvy"/>
        <w:rPr>
          <w:b/>
          <w:i/>
        </w:rPr>
      </w:pPr>
      <w:r w:rsidRPr="00E877AA">
        <w:rPr>
          <w:b/>
          <w:i/>
        </w:rPr>
        <w:t>R</w:t>
      </w:r>
      <w:r w:rsidR="00A66947" w:rsidRPr="00E877AA">
        <w:rPr>
          <w:b/>
          <w:i/>
        </w:rPr>
        <w:t xml:space="preserve">ozpočet a </w:t>
      </w:r>
      <w:r w:rsidR="00A66947" w:rsidRPr="00A52C3E">
        <w:rPr>
          <w:b/>
          <w:i/>
        </w:rPr>
        <w:t>jeho čerpání</w:t>
      </w:r>
    </w:p>
    <w:p w:rsidR="00461854" w:rsidRPr="00A52C3E" w:rsidRDefault="00A66947" w:rsidP="00A66947">
      <w:pPr>
        <w:pStyle w:val="Bntextzprvy"/>
      </w:pPr>
      <w:r w:rsidRPr="00A52C3E">
        <w:t>Schválený rozpočet výdajů Kanceláře finančního arbitra na rok 2018 činil</w:t>
      </w:r>
      <w:r w:rsidRPr="00A52C3E">
        <w:rPr>
          <w:b/>
        </w:rPr>
        <w:t xml:space="preserve"> 61.290 tis. Kč</w:t>
      </w:r>
      <w:r w:rsidRPr="00A52C3E">
        <w:t xml:space="preserve">, v rozlišení </w:t>
      </w:r>
      <w:r w:rsidRPr="00A52C3E">
        <w:rPr>
          <w:b/>
        </w:rPr>
        <w:t>60.240 tis. Kč</w:t>
      </w:r>
      <w:r w:rsidRPr="00A52C3E">
        <w:t xml:space="preserve"> na běžné výdaje a </w:t>
      </w:r>
      <w:r w:rsidRPr="00A52C3E">
        <w:rPr>
          <w:b/>
        </w:rPr>
        <w:t>1.050 tis. Kč</w:t>
      </w:r>
      <w:r w:rsidRPr="00A52C3E">
        <w:t xml:space="preserve"> na výdaje kapitálové. K</w:t>
      </w:r>
      <w:r w:rsidR="00ED0F7E" w:rsidRPr="00A52C3E">
        <w:t> </w:t>
      </w:r>
      <w:r w:rsidRPr="00A52C3E">
        <w:t xml:space="preserve">datu 31. 12. 2018 byly zapojeny </w:t>
      </w:r>
      <w:r w:rsidR="00FE674A" w:rsidRPr="00A52C3E">
        <w:t>nároky z nespotřebovaných výdajů (NNV) předchozích období</w:t>
      </w:r>
      <w:r w:rsidRPr="00A52C3E">
        <w:t xml:space="preserve"> v celkové výši</w:t>
      </w:r>
      <w:r w:rsidRPr="00A52C3E">
        <w:rPr>
          <w:b/>
        </w:rPr>
        <w:t xml:space="preserve"> 16.480</w:t>
      </w:r>
      <w:r w:rsidRPr="00A52C3E">
        <w:t xml:space="preserve"> </w:t>
      </w:r>
      <w:r w:rsidRPr="00A52C3E">
        <w:rPr>
          <w:b/>
        </w:rPr>
        <w:t xml:space="preserve">tis. Kč, </w:t>
      </w:r>
      <w:r w:rsidRPr="00A52C3E">
        <w:t>a to</w:t>
      </w:r>
      <w:r w:rsidRPr="00A52C3E">
        <w:rPr>
          <w:b/>
        </w:rPr>
        <w:t xml:space="preserve"> </w:t>
      </w:r>
      <w:r w:rsidRPr="00A52C3E">
        <w:t xml:space="preserve">v rozlišení </w:t>
      </w:r>
      <w:r w:rsidR="00FE674A" w:rsidRPr="00A52C3E">
        <w:t xml:space="preserve">nároky </w:t>
      </w:r>
      <w:r w:rsidRPr="00A52C3E">
        <w:t>profilující (programové financování) ve výši</w:t>
      </w:r>
      <w:r w:rsidRPr="00A52C3E">
        <w:rPr>
          <w:b/>
        </w:rPr>
        <w:t xml:space="preserve"> 3.783 tis. Kč</w:t>
      </w:r>
      <w:r w:rsidRPr="00A52C3E">
        <w:t xml:space="preserve">, </w:t>
      </w:r>
      <w:r w:rsidR="00FE674A" w:rsidRPr="00A52C3E">
        <w:t xml:space="preserve">nároky </w:t>
      </w:r>
      <w:r w:rsidRPr="00A52C3E">
        <w:t xml:space="preserve">profilující (na platy a ostatní platby za provedení práce) ve výši </w:t>
      </w:r>
      <w:r w:rsidRPr="00A52C3E">
        <w:rPr>
          <w:b/>
        </w:rPr>
        <w:t>3.545 tis. Kč</w:t>
      </w:r>
      <w:r w:rsidRPr="00A52C3E">
        <w:t xml:space="preserve"> a </w:t>
      </w:r>
      <w:r w:rsidR="00FE674A" w:rsidRPr="00A52C3E">
        <w:t xml:space="preserve">nároky </w:t>
      </w:r>
      <w:r w:rsidRPr="00A52C3E">
        <w:t>neprofilující ve výši</w:t>
      </w:r>
      <w:r w:rsidRPr="00A52C3E">
        <w:rPr>
          <w:b/>
        </w:rPr>
        <w:t xml:space="preserve"> 9.152 tis. Kč, </w:t>
      </w:r>
      <w:r w:rsidRPr="00A52C3E">
        <w:t xml:space="preserve">současně v rozlišení na </w:t>
      </w:r>
      <w:r w:rsidR="00FE674A" w:rsidRPr="00A52C3E">
        <w:t xml:space="preserve">nároky </w:t>
      </w:r>
      <w:r w:rsidRPr="00A52C3E">
        <w:t>běžné ve výši</w:t>
      </w:r>
      <w:r w:rsidRPr="00A52C3E">
        <w:rPr>
          <w:b/>
        </w:rPr>
        <w:t xml:space="preserve"> 14.508</w:t>
      </w:r>
      <w:r w:rsidR="00FE674A" w:rsidRPr="00A52C3E">
        <w:rPr>
          <w:b/>
        </w:rPr>
        <w:t> </w:t>
      </w:r>
      <w:r w:rsidRPr="00A52C3E">
        <w:rPr>
          <w:b/>
        </w:rPr>
        <w:t>tis. Kč</w:t>
      </w:r>
      <w:r w:rsidRPr="00A52C3E">
        <w:t xml:space="preserve"> a </w:t>
      </w:r>
      <w:r w:rsidR="00FE674A" w:rsidRPr="00A52C3E">
        <w:t xml:space="preserve">nároky </w:t>
      </w:r>
      <w:r w:rsidRPr="00A52C3E">
        <w:t xml:space="preserve">kapitálové ve výši </w:t>
      </w:r>
      <w:r w:rsidRPr="00A52C3E">
        <w:rPr>
          <w:b/>
          <w:color w:val="000000" w:themeColor="text1"/>
        </w:rPr>
        <w:t>1.</w:t>
      </w:r>
      <w:r w:rsidRPr="00A52C3E">
        <w:rPr>
          <w:b/>
        </w:rPr>
        <w:t>972 tis. Kč</w:t>
      </w:r>
      <w:r w:rsidRPr="00A52C3E">
        <w:t>.</w:t>
      </w:r>
      <w:r w:rsidR="00FE674A" w:rsidRPr="00A52C3E">
        <w:t xml:space="preserve"> </w:t>
      </w:r>
    </w:p>
    <w:p w:rsidR="00A66947" w:rsidRPr="00A52C3E" w:rsidRDefault="00A66947" w:rsidP="00A66947">
      <w:pPr>
        <w:pStyle w:val="Bntextzprvy"/>
        <w:rPr>
          <w:rFonts w:cs="Arial"/>
          <w:szCs w:val="22"/>
        </w:rPr>
      </w:pPr>
      <w:r w:rsidRPr="00A52C3E">
        <w:rPr>
          <w:rFonts w:cs="Arial"/>
          <w:szCs w:val="22"/>
        </w:rPr>
        <w:t xml:space="preserve">Skutečné výdaje na zabezpečení činnosti Kanceláře finančního arbitra za rok 2018 činily </w:t>
      </w:r>
      <w:r w:rsidRPr="00A52C3E">
        <w:rPr>
          <w:rFonts w:cs="Arial"/>
          <w:b/>
          <w:szCs w:val="22"/>
        </w:rPr>
        <w:t>61.118 tis. Kč</w:t>
      </w:r>
      <w:r w:rsidRPr="00A52C3E">
        <w:rPr>
          <w:rFonts w:cs="Arial"/>
          <w:szCs w:val="22"/>
        </w:rPr>
        <w:t xml:space="preserve">. Rozpočet na výdaje byl čerpán ze </w:t>
      </w:r>
      <w:r w:rsidRPr="00A52C3E">
        <w:rPr>
          <w:rFonts w:cs="Arial"/>
          <w:b/>
          <w:szCs w:val="22"/>
        </w:rPr>
        <w:t>79,3</w:t>
      </w:r>
      <w:r w:rsidR="0028042B" w:rsidRPr="00A52C3E">
        <w:rPr>
          <w:rFonts w:cs="Arial"/>
          <w:b/>
          <w:szCs w:val="22"/>
        </w:rPr>
        <w:t> </w:t>
      </w:r>
      <w:r w:rsidRPr="00A52C3E">
        <w:rPr>
          <w:rFonts w:cs="Arial"/>
          <w:b/>
          <w:szCs w:val="22"/>
        </w:rPr>
        <w:t>%</w:t>
      </w:r>
      <w:r w:rsidRPr="00A52C3E">
        <w:rPr>
          <w:rFonts w:cs="Arial"/>
          <w:szCs w:val="22"/>
        </w:rPr>
        <w:t xml:space="preserve"> z konečného rozpočtu výdajů v roce 2018, v rámci běžných výdajů bylo čerpáno</w:t>
      </w:r>
      <w:r w:rsidRPr="00A52C3E">
        <w:rPr>
          <w:rFonts w:cs="Arial"/>
          <w:b/>
          <w:szCs w:val="22"/>
        </w:rPr>
        <w:t xml:space="preserve"> 60.071 tis. Kč,</w:t>
      </w:r>
      <w:r w:rsidRPr="00A52C3E">
        <w:rPr>
          <w:rFonts w:cs="Arial"/>
          <w:szCs w:val="22"/>
        </w:rPr>
        <w:t xml:space="preserve"> tedy</w:t>
      </w:r>
      <w:r w:rsidRPr="00A52C3E">
        <w:rPr>
          <w:rFonts w:cs="Arial"/>
          <w:b/>
          <w:szCs w:val="22"/>
        </w:rPr>
        <w:t xml:space="preserve"> 81,1</w:t>
      </w:r>
      <w:r w:rsidR="0028042B" w:rsidRPr="00A52C3E">
        <w:rPr>
          <w:rFonts w:cs="Arial"/>
          <w:b/>
          <w:szCs w:val="22"/>
        </w:rPr>
        <w:t> </w:t>
      </w:r>
      <w:r w:rsidRPr="00A52C3E">
        <w:rPr>
          <w:rFonts w:cs="Arial"/>
          <w:b/>
          <w:szCs w:val="22"/>
        </w:rPr>
        <w:t xml:space="preserve">% </w:t>
      </w:r>
      <w:r w:rsidRPr="00A52C3E">
        <w:rPr>
          <w:rFonts w:cs="Arial"/>
          <w:szCs w:val="22"/>
        </w:rPr>
        <w:t>z konečného rozpočtu běžných výdajů v roce 2018</w:t>
      </w:r>
      <w:r w:rsidRPr="00A52C3E">
        <w:rPr>
          <w:rFonts w:cs="Arial"/>
          <w:b/>
          <w:szCs w:val="22"/>
        </w:rPr>
        <w:t>,</w:t>
      </w:r>
      <w:r w:rsidRPr="00A52C3E">
        <w:rPr>
          <w:rFonts w:cs="Arial"/>
          <w:szCs w:val="22"/>
        </w:rPr>
        <w:t xml:space="preserve"> kapitálové výdaje byly čerpány ve výši </w:t>
      </w:r>
      <w:r w:rsidRPr="00A52C3E">
        <w:rPr>
          <w:rFonts w:cs="Arial"/>
          <w:b/>
          <w:szCs w:val="22"/>
        </w:rPr>
        <w:t>1.047 tis. Kč,</w:t>
      </w:r>
      <w:r w:rsidRPr="00A52C3E">
        <w:rPr>
          <w:rFonts w:cs="Arial"/>
          <w:szCs w:val="22"/>
        </w:rPr>
        <w:t xml:space="preserve"> tj. </w:t>
      </w:r>
      <w:r w:rsidRPr="00A52C3E">
        <w:rPr>
          <w:rFonts w:cs="Arial"/>
          <w:b/>
          <w:szCs w:val="22"/>
        </w:rPr>
        <w:t>34,7</w:t>
      </w:r>
      <w:r w:rsidR="0028042B" w:rsidRPr="00A52C3E">
        <w:rPr>
          <w:rFonts w:cs="Arial"/>
          <w:b/>
          <w:szCs w:val="22"/>
        </w:rPr>
        <w:t> </w:t>
      </w:r>
      <w:r w:rsidRPr="00A52C3E">
        <w:rPr>
          <w:rFonts w:cs="Arial"/>
          <w:b/>
          <w:szCs w:val="22"/>
        </w:rPr>
        <w:t>%</w:t>
      </w:r>
      <w:r w:rsidRPr="00A52C3E">
        <w:rPr>
          <w:rFonts w:cs="Arial"/>
          <w:szCs w:val="22"/>
        </w:rPr>
        <w:t xml:space="preserve"> z konečného rozpočtu k</w:t>
      </w:r>
      <w:r w:rsidR="00ED0F7E" w:rsidRPr="00A52C3E">
        <w:rPr>
          <w:rFonts w:cs="Arial"/>
          <w:szCs w:val="22"/>
        </w:rPr>
        <w:t>apitálových výdajů v roce 2018.</w:t>
      </w:r>
    </w:p>
    <w:p w:rsidR="00A66947" w:rsidRPr="00A52C3E" w:rsidRDefault="00A66947" w:rsidP="00A66947">
      <w:pPr>
        <w:jc w:val="both"/>
        <w:rPr>
          <w:rFonts w:ascii="Arial" w:hAnsi="Arial" w:cs="Arial"/>
          <w:b/>
          <w:i/>
        </w:rPr>
      </w:pPr>
      <w:r w:rsidRPr="00A52C3E">
        <w:rPr>
          <w:rFonts w:ascii="Arial" w:hAnsi="Arial" w:cs="Arial"/>
        </w:rPr>
        <w:t>Nevyčerpání prostředků z rozpočtu Kanceláře finančního arbitra pro rok 2018 včetně nároků z nespotřebovaných výdajů z minulých let</w:t>
      </w:r>
      <w:r w:rsidR="00CB6A09" w:rsidRPr="00A52C3E">
        <w:rPr>
          <w:rFonts w:ascii="Arial" w:hAnsi="Arial" w:cs="Arial"/>
        </w:rPr>
        <w:t xml:space="preserve"> </w:t>
      </w:r>
      <w:r w:rsidRPr="00A52C3E">
        <w:rPr>
          <w:rFonts w:ascii="Arial" w:hAnsi="Arial" w:cs="Arial"/>
        </w:rPr>
        <w:t>zásadně souvisí s nižšími výdaji na provoz Kanceláře finančního arbitra v důsledku setrvání v prostorách Ministerstva financí</w:t>
      </w:r>
      <w:r w:rsidR="00E61024" w:rsidRPr="00A52C3E">
        <w:rPr>
          <w:rFonts w:ascii="Arial" w:hAnsi="Arial" w:cs="Arial"/>
        </w:rPr>
        <w:t xml:space="preserve"> </w:t>
      </w:r>
      <w:r w:rsidRPr="00A52C3E">
        <w:rPr>
          <w:rFonts w:ascii="Arial" w:hAnsi="Arial" w:cs="Arial"/>
        </w:rPr>
        <w:t>v Legerově ul</w:t>
      </w:r>
      <w:r w:rsidR="00E61024" w:rsidRPr="00A52C3E">
        <w:rPr>
          <w:rFonts w:ascii="Arial" w:hAnsi="Arial" w:cs="Arial"/>
        </w:rPr>
        <w:t>ici</w:t>
      </w:r>
      <w:r w:rsidRPr="00A52C3E">
        <w:rPr>
          <w:rFonts w:ascii="Arial" w:hAnsi="Arial" w:cs="Arial"/>
        </w:rPr>
        <w:t xml:space="preserve">, resp. v prostorových a technických podmínkách, </w:t>
      </w:r>
      <w:r w:rsidRPr="00A52C3E">
        <w:rPr>
          <w:rFonts w:ascii="Arial" w:hAnsi="Arial" w:cs="Arial"/>
          <w:color w:val="000000" w:themeColor="text1"/>
        </w:rPr>
        <w:t xml:space="preserve">tedy </w:t>
      </w:r>
      <w:r w:rsidR="00FE674A" w:rsidRPr="00A52C3E">
        <w:rPr>
          <w:rFonts w:ascii="Arial" w:hAnsi="Arial" w:cs="Arial"/>
          <w:color w:val="000000" w:themeColor="text1"/>
        </w:rPr>
        <w:t xml:space="preserve">Kancelář finančního arbitra </w:t>
      </w:r>
      <w:r w:rsidRPr="00A52C3E">
        <w:rPr>
          <w:rFonts w:ascii="Arial" w:hAnsi="Arial" w:cs="Arial"/>
          <w:color w:val="000000" w:themeColor="text1"/>
        </w:rPr>
        <w:t>nečerpala rozpočtové prostředky na vybavení (nábytek, IT vybavení, IT služby, prostory, služby související s užíváním prostor).</w:t>
      </w:r>
    </w:p>
    <w:p w:rsidR="00A66947" w:rsidRPr="00A52C3E" w:rsidRDefault="00A66947" w:rsidP="00A66947">
      <w:pPr>
        <w:pStyle w:val="Bntextzprvy"/>
        <w:rPr>
          <w:b/>
          <w:i/>
        </w:rPr>
      </w:pPr>
      <w:r w:rsidRPr="00A52C3E">
        <w:rPr>
          <w:b/>
          <w:i/>
        </w:rPr>
        <w:t>Výdaje na platy a ostatní platby</w:t>
      </w:r>
    </w:p>
    <w:p w:rsidR="007E2713" w:rsidRPr="00A52C3E" w:rsidRDefault="00A66947" w:rsidP="00A66947">
      <w:pPr>
        <w:jc w:val="both"/>
        <w:rPr>
          <w:rFonts w:ascii="Arial" w:hAnsi="Arial" w:cs="Arial"/>
        </w:rPr>
      </w:pPr>
      <w:r w:rsidRPr="00A52C3E">
        <w:rPr>
          <w:rFonts w:ascii="Arial" w:hAnsi="Arial" w:cs="Arial"/>
        </w:rPr>
        <w:t xml:space="preserve">V rámci běžných výdajů byly </w:t>
      </w:r>
      <w:r w:rsidR="007E2713" w:rsidRPr="00A52C3E">
        <w:rPr>
          <w:rFonts w:ascii="Arial" w:hAnsi="Arial" w:cs="Arial"/>
        </w:rPr>
        <w:t xml:space="preserve">v rozpočtu </w:t>
      </w:r>
      <w:r w:rsidR="00FE674A" w:rsidRPr="00A52C3E">
        <w:rPr>
          <w:rFonts w:ascii="Arial" w:hAnsi="Arial" w:cs="Arial"/>
        </w:rPr>
        <w:t xml:space="preserve">Kanceláře finančního arbitra </w:t>
      </w:r>
      <w:r w:rsidR="007E2713" w:rsidRPr="00A52C3E">
        <w:rPr>
          <w:rFonts w:ascii="Arial" w:hAnsi="Arial" w:cs="Arial"/>
        </w:rPr>
        <w:t xml:space="preserve">pro rok 2018 </w:t>
      </w:r>
      <w:r w:rsidRPr="00A52C3E">
        <w:rPr>
          <w:rFonts w:ascii="Arial" w:hAnsi="Arial" w:cs="Arial"/>
        </w:rPr>
        <w:t xml:space="preserve">stanoveny mzdové výdaje ve výši </w:t>
      </w:r>
      <w:r w:rsidRPr="00A52C3E">
        <w:rPr>
          <w:rFonts w:ascii="Arial" w:hAnsi="Arial" w:cs="Arial"/>
          <w:b/>
        </w:rPr>
        <w:t>41.556 tis. Kč</w:t>
      </w:r>
      <w:r w:rsidRPr="00A52C3E">
        <w:rPr>
          <w:rFonts w:ascii="Arial" w:hAnsi="Arial" w:cs="Arial"/>
        </w:rPr>
        <w:t xml:space="preserve">, z toho </w:t>
      </w:r>
      <w:r w:rsidRPr="00A52C3E">
        <w:rPr>
          <w:rFonts w:ascii="Arial" w:hAnsi="Arial" w:cs="Arial"/>
          <w:b/>
        </w:rPr>
        <w:t>40.960 tis</w:t>
      </w:r>
      <w:r w:rsidRPr="00A52C3E">
        <w:rPr>
          <w:rFonts w:ascii="Arial" w:hAnsi="Arial" w:cs="Arial"/>
        </w:rPr>
        <w:t>.</w:t>
      </w:r>
      <w:r w:rsidRPr="00A52C3E">
        <w:rPr>
          <w:rFonts w:ascii="Arial" w:hAnsi="Arial" w:cs="Arial"/>
          <w:b/>
        </w:rPr>
        <w:t xml:space="preserve"> Kč</w:t>
      </w:r>
      <w:r w:rsidRPr="00A52C3E">
        <w:rPr>
          <w:rFonts w:ascii="Arial" w:hAnsi="Arial" w:cs="Arial"/>
        </w:rPr>
        <w:t xml:space="preserve"> na platy a </w:t>
      </w:r>
      <w:r w:rsidRPr="00A52C3E">
        <w:rPr>
          <w:rFonts w:ascii="Arial" w:hAnsi="Arial" w:cs="Arial"/>
          <w:b/>
        </w:rPr>
        <w:t>596 tis. Kč</w:t>
      </w:r>
      <w:r w:rsidRPr="00A52C3E">
        <w:rPr>
          <w:rFonts w:ascii="Arial" w:hAnsi="Arial" w:cs="Arial"/>
        </w:rPr>
        <w:t xml:space="preserve"> na ostatní platby, související pojistné ve výši </w:t>
      </w:r>
      <w:r w:rsidRPr="00A52C3E">
        <w:rPr>
          <w:rFonts w:ascii="Arial" w:hAnsi="Arial" w:cs="Arial"/>
          <w:b/>
        </w:rPr>
        <w:t>14.129 tis. Kč</w:t>
      </w:r>
      <w:r w:rsidRPr="00A52C3E">
        <w:rPr>
          <w:rFonts w:ascii="Arial" w:hAnsi="Arial" w:cs="Arial"/>
        </w:rPr>
        <w:t xml:space="preserve"> a příděl do fondu kulturních a sociálních potřeb (FKSP) ve výši </w:t>
      </w:r>
      <w:r w:rsidRPr="00A52C3E">
        <w:rPr>
          <w:rFonts w:ascii="Arial" w:hAnsi="Arial" w:cs="Arial"/>
          <w:b/>
        </w:rPr>
        <w:t>819 tis. Kč</w:t>
      </w:r>
      <w:r w:rsidR="00FE674A" w:rsidRPr="00A52C3E">
        <w:rPr>
          <w:rFonts w:ascii="Arial" w:hAnsi="Arial" w:cs="Arial"/>
          <w:b/>
        </w:rPr>
        <w:t xml:space="preserve">; </w:t>
      </w:r>
      <w:r w:rsidR="00FE674A" w:rsidRPr="00A52C3E">
        <w:rPr>
          <w:rFonts w:ascii="Arial" w:hAnsi="Arial" w:cs="Arial"/>
        </w:rPr>
        <w:t>p</w:t>
      </w:r>
      <w:r w:rsidRPr="00A52C3E">
        <w:rPr>
          <w:rFonts w:ascii="Arial" w:hAnsi="Arial" w:cs="Arial"/>
        </w:rPr>
        <w:t xml:space="preserve">očet systemizovaných míst byl stanoven na </w:t>
      </w:r>
      <w:r w:rsidRPr="00A52C3E">
        <w:rPr>
          <w:rFonts w:ascii="Arial" w:hAnsi="Arial" w:cs="Arial"/>
          <w:b/>
        </w:rPr>
        <w:t>55</w:t>
      </w:r>
      <w:r w:rsidRPr="00A52C3E">
        <w:rPr>
          <w:rFonts w:ascii="Arial" w:hAnsi="Arial" w:cs="Arial"/>
        </w:rPr>
        <w:t xml:space="preserve"> míst, při průměrném platu </w:t>
      </w:r>
      <w:r w:rsidRPr="00A52C3E">
        <w:rPr>
          <w:rFonts w:ascii="Arial" w:hAnsi="Arial" w:cs="Arial"/>
          <w:b/>
        </w:rPr>
        <w:t>62.060</w:t>
      </w:r>
      <w:r w:rsidRPr="00A52C3E">
        <w:rPr>
          <w:rFonts w:ascii="Arial" w:hAnsi="Arial" w:cs="Arial"/>
        </w:rPr>
        <w:t xml:space="preserve"> </w:t>
      </w:r>
      <w:r w:rsidRPr="00A52C3E">
        <w:rPr>
          <w:rFonts w:ascii="Arial" w:hAnsi="Arial" w:cs="Arial"/>
          <w:b/>
        </w:rPr>
        <w:t>Kč</w:t>
      </w:r>
      <w:r w:rsidRPr="00A52C3E">
        <w:rPr>
          <w:rFonts w:ascii="Arial" w:hAnsi="Arial" w:cs="Arial"/>
        </w:rPr>
        <w:t>.</w:t>
      </w:r>
      <w:r w:rsidR="00FE674A" w:rsidRPr="00A52C3E">
        <w:rPr>
          <w:rFonts w:ascii="Arial" w:hAnsi="Arial" w:cs="Arial"/>
        </w:rPr>
        <w:t xml:space="preserve"> </w:t>
      </w:r>
      <w:r w:rsidRPr="00A52C3E">
        <w:rPr>
          <w:rFonts w:ascii="Arial" w:hAnsi="Arial" w:cs="Arial"/>
        </w:rPr>
        <w:t xml:space="preserve">Konečný rozpočet Kanceláře finančního arbitra pro rok 2018 činil na platy a ostatní platby </w:t>
      </w:r>
      <w:r w:rsidRPr="00A52C3E">
        <w:rPr>
          <w:rFonts w:ascii="Arial" w:hAnsi="Arial" w:cs="Arial"/>
          <w:b/>
        </w:rPr>
        <w:t>45.101 tis. Kč</w:t>
      </w:r>
      <w:r w:rsidRPr="00A52C3E">
        <w:rPr>
          <w:rFonts w:ascii="Arial" w:hAnsi="Arial" w:cs="Arial"/>
        </w:rPr>
        <w:t xml:space="preserve">, na povinném pojistném </w:t>
      </w:r>
      <w:r w:rsidRPr="00A52C3E">
        <w:rPr>
          <w:rFonts w:ascii="Arial" w:hAnsi="Arial" w:cs="Arial"/>
          <w:b/>
        </w:rPr>
        <w:t>15.938 tis. Kč</w:t>
      </w:r>
      <w:r w:rsidRPr="00A52C3E">
        <w:rPr>
          <w:rFonts w:ascii="Arial" w:hAnsi="Arial" w:cs="Arial"/>
        </w:rPr>
        <w:t xml:space="preserve"> a přídělu do FKSP </w:t>
      </w:r>
      <w:r w:rsidRPr="00A52C3E">
        <w:rPr>
          <w:rFonts w:ascii="Arial" w:hAnsi="Arial" w:cs="Arial"/>
          <w:b/>
        </w:rPr>
        <w:t>879</w:t>
      </w:r>
      <w:r w:rsidR="0028042B" w:rsidRPr="00A52C3E">
        <w:rPr>
          <w:rFonts w:ascii="Arial" w:hAnsi="Arial" w:cs="Arial"/>
          <w:b/>
        </w:rPr>
        <w:t> </w:t>
      </w:r>
      <w:r w:rsidRPr="00A52C3E">
        <w:rPr>
          <w:rFonts w:ascii="Arial" w:hAnsi="Arial" w:cs="Arial"/>
          <w:b/>
        </w:rPr>
        <w:t>tis.</w:t>
      </w:r>
      <w:r w:rsidR="0028042B" w:rsidRPr="00A52C3E">
        <w:rPr>
          <w:rFonts w:ascii="Arial" w:hAnsi="Arial" w:cs="Arial"/>
          <w:b/>
        </w:rPr>
        <w:t> </w:t>
      </w:r>
      <w:r w:rsidRPr="00A52C3E">
        <w:rPr>
          <w:rFonts w:ascii="Arial" w:hAnsi="Arial" w:cs="Arial"/>
          <w:b/>
        </w:rPr>
        <w:t xml:space="preserve">Kč. </w:t>
      </w:r>
      <w:r w:rsidRPr="00A52C3E">
        <w:rPr>
          <w:rFonts w:ascii="Arial" w:hAnsi="Arial" w:cs="Arial"/>
        </w:rPr>
        <w:t xml:space="preserve">Konečný rozpočet na platy činil </w:t>
      </w:r>
      <w:r w:rsidRPr="00A52C3E">
        <w:rPr>
          <w:rFonts w:ascii="Arial" w:hAnsi="Arial" w:cs="Arial"/>
          <w:b/>
        </w:rPr>
        <w:t>44.121 tis. Kč</w:t>
      </w:r>
      <w:r w:rsidRPr="00A52C3E">
        <w:rPr>
          <w:rFonts w:ascii="Arial" w:hAnsi="Arial" w:cs="Arial"/>
        </w:rPr>
        <w:t xml:space="preserve">, na ostatní platby </w:t>
      </w:r>
      <w:r w:rsidRPr="00A52C3E">
        <w:rPr>
          <w:rFonts w:ascii="Arial" w:hAnsi="Arial" w:cs="Arial"/>
          <w:b/>
        </w:rPr>
        <w:t>980 tis. Kč</w:t>
      </w:r>
      <w:r w:rsidR="0028042B" w:rsidRPr="00A52C3E">
        <w:rPr>
          <w:rFonts w:ascii="Arial" w:hAnsi="Arial" w:cs="Arial"/>
        </w:rPr>
        <w:t>.</w:t>
      </w:r>
    </w:p>
    <w:p w:rsidR="00A66947" w:rsidRPr="00A52C3E" w:rsidRDefault="00A66947" w:rsidP="00A66947">
      <w:pPr>
        <w:jc w:val="both"/>
        <w:rPr>
          <w:rFonts w:ascii="Arial" w:hAnsi="Arial" w:cs="Arial"/>
        </w:rPr>
      </w:pPr>
      <w:r w:rsidRPr="00A52C3E">
        <w:rPr>
          <w:rFonts w:ascii="Arial" w:hAnsi="Arial" w:cs="Arial"/>
        </w:rPr>
        <w:t>V roce 2018 byly vyčerpány mzdové prostředky (prostředky na platy a ostatní platby) ve výši</w:t>
      </w:r>
      <w:r w:rsidRPr="00A52C3E">
        <w:rPr>
          <w:rFonts w:ascii="Arial" w:hAnsi="Arial" w:cs="Arial"/>
          <w:b/>
        </w:rPr>
        <w:t xml:space="preserve"> 40.854 tis. Kč</w:t>
      </w:r>
      <w:r w:rsidRPr="00A52C3E">
        <w:rPr>
          <w:rFonts w:ascii="Arial" w:hAnsi="Arial" w:cs="Arial"/>
        </w:rPr>
        <w:t xml:space="preserve">, tj. celkem </w:t>
      </w:r>
      <w:r w:rsidRPr="00A52C3E">
        <w:rPr>
          <w:rFonts w:ascii="Arial" w:hAnsi="Arial" w:cs="Arial"/>
          <w:b/>
        </w:rPr>
        <w:t>90,6</w:t>
      </w:r>
      <w:r w:rsidR="0028042B" w:rsidRPr="00A52C3E">
        <w:rPr>
          <w:rFonts w:ascii="Arial" w:hAnsi="Arial" w:cs="Arial"/>
          <w:b/>
        </w:rPr>
        <w:t> </w:t>
      </w:r>
      <w:r w:rsidRPr="00A52C3E">
        <w:rPr>
          <w:rFonts w:ascii="Arial" w:hAnsi="Arial" w:cs="Arial"/>
          <w:b/>
        </w:rPr>
        <w:t>%</w:t>
      </w:r>
      <w:r w:rsidRPr="00A52C3E">
        <w:rPr>
          <w:rFonts w:ascii="Arial" w:hAnsi="Arial" w:cs="Arial"/>
        </w:rPr>
        <w:t xml:space="preserve"> z konečného rozpočtu na plat</w:t>
      </w:r>
      <w:r w:rsidR="0028042B" w:rsidRPr="00A52C3E">
        <w:rPr>
          <w:rFonts w:ascii="Arial" w:hAnsi="Arial" w:cs="Arial"/>
        </w:rPr>
        <w:t>y a ostatní platby v roce 2018.</w:t>
      </w:r>
    </w:p>
    <w:p w:rsidR="00A66947" w:rsidRPr="00E877AA" w:rsidRDefault="00A66947" w:rsidP="00A66947">
      <w:pPr>
        <w:jc w:val="both"/>
        <w:rPr>
          <w:rFonts w:ascii="Arial" w:hAnsi="Arial" w:cs="Arial"/>
        </w:rPr>
      </w:pPr>
      <w:r w:rsidRPr="00A52C3E">
        <w:rPr>
          <w:rFonts w:ascii="Arial" w:hAnsi="Arial" w:cs="Arial"/>
        </w:rPr>
        <w:t xml:space="preserve">V období roku 2018 při průměrném přepočteném počtu osob, evidovala Kancelář finančního arbitra </w:t>
      </w:r>
      <w:r w:rsidRPr="00A52C3E">
        <w:rPr>
          <w:rFonts w:ascii="Arial" w:hAnsi="Arial" w:cs="Arial"/>
          <w:b/>
        </w:rPr>
        <w:t>54</w:t>
      </w:r>
      <w:r w:rsidRPr="00A52C3E">
        <w:rPr>
          <w:rFonts w:ascii="Arial" w:hAnsi="Arial" w:cs="Arial"/>
        </w:rPr>
        <w:t xml:space="preserve"> zaměstnanců oproti schválenému počtu </w:t>
      </w:r>
      <w:r w:rsidRPr="00A52C3E">
        <w:rPr>
          <w:rFonts w:ascii="Arial" w:hAnsi="Arial" w:cs="Arial"/>
          <w:b/>
        </w:rPr>
        <w:t>55</w:t>
      </w:r>
      <w:r w:rsidRPr="00A52C3E">
        <w:rPr>
          <w:rFonts w:ascii="Arial" w:hAnsi="Arial" w:cs="Arial"/>
        </w:rPr>
        <w:t xml:space="preserve"> systemizovaných míst pro rok 2018. Neobsazenost systemizovaných míst způsobil odchod zaměstnankyň na mateřskou dovolenou během roku 2018 a současný nedostatek uchazečů o práci ve veřejném sektoru a nízká kvalita u</w:t>
      </w:r>
      <w:r w:rsidR="00DE3C72" w:rsidRPr="00A52C3E">
        <w:rPr>
          <w:rFonts w:ascii="Arial" w:hAnsi="Arial" w:cs="Arial"/>
        </w:rPr>
        <w:t>chazečů, kteří zájem projevili.</w:t>
      </w:r>
    </w:p>
    <w:p w:rsidR="00A66947" w:rsidRPr="00E877AA" w:rsidRDefault="00A66947" w:rsidP="00A66947">
      <w:pPr>
        <w:jc w:val="both"/>
        <w:rPr>
          <w:rFonts w:ascii="Arial" w:hAnsi="Arial" w:cs="Arial"/>
        </w:rPr>
      </w:pPr>
      <w:r w:rsidRPr="00E877AA">
        <w:rPr>
          <w:rFonts w:ascii="Arial" w:hAnsi="Arial" w:cs="Arial"/>
        </w:rPr>
        <w:t>Finanční arbitr v </w:t>
      </w:r>
      <w:r w:rsidRPr="00C16DC4">
        <w:rPr>
          <w:rFonts w:ascii="Arial" w:hAnsi="Arial" w:cs="Arial"/>
        </w:rPr>
        <w:t xml:space="preserve">průběhu roku 2018 průběžně nařizoval stávajícím zaměstnancům práci přesčas, a to v celkovém </w:t>
      </w:r>
      <w:r w:rsidRPr="00D271DC">
        <w:rPr>
          <w:rFonts w:ascii="Arial" w:hAnsi="Arial" w:cs="Arial"/>
        </w:rPr>
        <w:t xml:space="preserve">počtu </w:t>
      </w:r>
      <w:r w:rsidR="00EF2B2B" w:rsidRPr="00D271DC">
        <w:rPr>
          <w:rFonts w:ascii="Arial" w:hAnsi="Arial" w:cs="Arial"/>
          <w:b/>
        </w:rPr>
        <w:t>1 903</w:t>
      </w:r>
      <w:r w:rsidRPr="00D271DC">
        <w:rPr>
          <w:rFonts w:ascii="Arial" w:hAnsi="Arial" w:cs="Arial"/>
        </w:rPr>
        <w:t xml:space="preserve"> přesčasových</w:t>
      </w:r>
      <w:r w:rsidRPr="00C16DC4">
        <w:rPr>
          <w:rFonts w:ascii="Arial" w:hAnsi="Arial" w:cs="Arial"/>
        </w:rPr>
        <w:t xml:space="preserve"> hodin, za kterou Kancelář finančního arbitra vynaložila celkem </w:t>
      </w:r>
      <w:r w:rsidRPr="00C16DC4">
        <w:rPr>
          <w:rFonts w:ascii="Arial" w:hAnsi="Arial" w:cs="Arial"/>
          <w:b/>
        </w:rPr>
        <w:t>719</w:t>
      </w:r>
      <w:r w:rsidRPr="00C16DC4">
        <w:rPr>
          <w:rFonts w:ascii="Arial" w:hAnsi="Arial" w:cs="Arial"/>
        </w:rPr>
        <w:t xml:space="preserve"> </w:t>
      </w:r>
      <w:r w:rsidRPr="00C16DC4">
        <w:rPr>
          <w:rFonts w:ascii="Arial" w:hAnsi="Arial" w:cs="Arial"/>
          <w:b/>
        </w:rPr>
        <w:t>tis. Kč</w:t>
      </w:r>
      <w:r w:rsidRPr="00C16DC4">
        <w:rPr>
          <w:rFonts w:ascii="Arial" w:hAnsi="Arial" w:cs="Arial"/>
        </w:rPr>
        <w:t>.</w:t>
      </w:r>
    </w:p>
    <w:p w:rsidR="00A66947" w:rsidRPr="00A52C3E" w:rsidRDefault="00A66947" w:rsidP="009A1D5A">
      <w:pPr>
        <w:keepNext/>
        <w:jc w:val="both"/>
        <w:rPr>
          <w:rFonts w:ascii="Arial" w:hAnsi="Arial" w:cs="Arial"/>
          <w:b/>
          <w:i/>
        </w:rPr>
      </w:pPr>
      <w:r w:rsidRPr="00E877AA">
        <w:rPr>
          <w:rFonts w:ascii="Arial" w:hAnsi="Arial" w:cs="Arial"/>
          <w:b/>
          <w:i/>
        </w:rPr>
        <w:lastRenderedPageBreak/>
        <w:t xml:space="preserve">Ostatní </w:t>
      </w:r>
      <w:r w:rsidRPr="00A52C3E">
        <w:rPr>
          <w:rFonts w:ascii="Arial" w:hAnsi="Arial" w:cs="Arial"/>
          <w:b/>
          <w:i/>
        </w:rPr>
        <w:t>běžné výdaje</w:t>
      </w:r>
    </w:p>
    <w:p w:rsidR="00A66947" w:rsidRPr="00A52C3E" w:rsidRDefault="00A66947" w:rsidP="00A66947">
      <w:pPr>
        <w:pStyle w:val="Bntextzprvy"/>
        <w:rPr>
          <w:rFonts w:cs="Arial"/>
          <w:szCs w:val="22"/>
        </w:rPr>
      </w:pPr>
      <w:r w:rsidRPr="00A52C3E">
        <w:rPr>
          <w:rFonts w:cs="Arial"/>
          <w:szCs w:val="22"/>
        </w:rPr>
        <w:t>Schválený rozpočet ostatních běžných výdajů ve výši</w:t>
      </w:r>
      <w:r w:rsidRPr="00A52C3E">
        <w:rPr>
          <w:rFonts w:cs="Arial"/>
          <w:b/>
          <w:szCs w:val="22"/>
        </w:rPr>
        <w:t xml:space="preserve"> 3.736 tis. Kč</w:t>
      </w:r>
      <w:r w:rsidRPr="00A52C3E">
        <w:rPr>
          <w:rFonts w:cs="Arial"/>
          <w:szCs w:val="22"/>
        </w:rPr>
        <w:t xml:space="preserve"> dosáhl po zapojení NNV celkové výše</w:t>
      </w:r>
      <w:r w:rsidRPr="00A52C3E">
        <w:rPr>
          <w:rFonts w:cs="Arial"/>
          <w:b/>
          <w:szCs w:val="22"/>
        </w:rPr>
        <w:t xml:space="preserve"> 12.181 tis. Kč.</w:t>
      </w:r>
      <w:r w:rsidRPr="00A52C3E">
        <w:rPr>
          <w:rFonts w:cs="Arial"/>
          <w:szCs w:val="22"/>
        </w:rPr>
        <w:t xml:space="preserve"> Čerpáno bylo</w:t>
      </w:r>
      <w:r w:rsidRPr="00A52C3E">
        <w:rPr>
          <w:rFonts w:cs="Arial"/>
          <w:b/>
          <w:szCs w:val="22"/>
        </w:rPr>
        <w:t xml:space="preserve"> 4.587 tis. Kč</w:t>
      </w:r>
      <w:r w:rsidRPr="00A52C3E">
        <w:rPr>
          <w:rFonts w:cs="Arial"/>
          <w:szCs w:val="22"/>
        </w:rPr>
        <w:t>, tj.</w:t>
      </w:r>
      <w:r w:rsidRPr="00A52C3E">
        <w:rPr>
          <w:rFonts w:cs="Arial"/>
          <w:b/>
          <w:szCs w:val="22"/>
        </w:rPr>
        <w:t xml:space="preserve"> 37,7 %</w:t>
      </w:r>
      <w:r w:rsidRPr="00A52C3E">
        <w:rPr>
          <w:rFonts w:cs="Arial"/>
          <w:szCs w:val="22"/>
        </w:rPr>
        <w:t xml:space="preserve"> konečného rozpočtu na ostatní běžné výdaje v roce 2018.</w:t>
      </w:r>
    </w:p>
    <w:p w:rsidR="00A66947" w:rsidRPr="00A52C3E" w:rsidRDefault="00A66947" w:rsidP="00A66947">
      <w:pPr>
        <w:jc w:val="both"/>
        <w:rPr>
          <w:rFonts w:ascii="Arial" w:hAnsi="Arial" w:cs="Arial"/>
        </w:rPr>
      </w:pPr>
      <w:r w:rsidRPr="00A52C3E">
        <w:rPr>
          <w:rFonts w:ascii="Arial" w:hAnsi="Arial" w:cs="Arial"/>
        </w:rPr>
        <w:t>Největší podíl na čerpání ostatních běžných výdajů představuje nákup služeb, vyčerpáno bylo</w:t>
      </w:r>
      <w:r w:rsidRPr="00A52C3E">
        <w:rPr>
          <w:rFonts w:ascii="Arial" w:hAnsi="Arial" w:cs="Arial"/>
          <w:b/>
        </w:rPr>
        <w:t xml:space="preserve"> 2.580 tis. Kč</w:t>
      </w:r>
      <w:r w:rsidRPr="00A52C3E">
        <w:rPr>
          <w:rFonts w:ascii="Arial" w:hAnsi="Arial" w:cs="Arial"/>
        </w:rPr>
        <w:t>, tj.</w:t>
      </w:r>
      <w:r w:rsidRPr="00A52C3E">
        <w:rPr>
          <w:rFonts w:ascii="Arial" w:hAnsi="Arial" w:cs="Arial"/>
          <w:b/>
        </w:rPr>
        <w:t xml:space="preserve"> 60,5 %</w:t>
      </w:r>
      <w:r w:rsidRPr="00A52C3E">
        <w:rPr>
          <w:rFonts w:ascii="Arial" w:hAnsi="Arial" w:cs="Arial"/>
        </w:rPr>
        <w:t xml:space="preserve"> celkového rozpočtu na nákup služeb v roce 2018. Výdaje za služby zpracování dat činily v roce 2018 </w:t>
      </w:r>
      <w:r w:rsidRPr="00A52C3E">
        <w:rPr>
          <w:rFonts w:ascii="Arial" w:hAnsi="Arial" w:cs="Arial"/>
          <w:b/>
        </w:rPr>
        <w:t>1.062 tis. Kč</w:t>
      </w:r>
      <w:r w:rsidRPr="00A52C3E">
        <w:rPr>
          <w:rFonts w:ascii="Arial" w:hAnsi="Arial" w:cs="Arial"/>
        </w:rPr>
        <w:t xml:space="preserve">, výdaje za služby školení a vzdělávání činily v roce 2018 </w:t>
      </w:r>
      <w:r w:rsidRPr="00A52C3E">
        <w:rPr>
          <w:rFonts w:ascii="Arial" w:hAnsi="Arial" w:cs="Arial"/>
          <w:b/>
        </w:rPr>
        <w:t>199 tis. Kč</w:t>
      </w:r>
      <w:r w:rsidRPr="00A52C3E">
        <w:rPr>
          <w:rFonts w:ascii="Arial" w:hAnsi="Arial" w:cs="Arial"/>
        </w:rPr>
        <w:t xml:space="preserve">, výdaje za služby poštovní činily v roce 2018 </w:t>
      </w:r>
      <w:r w:rsidRPr="00A52C3E">
        <w:rPr>
          <w:rFonts w:ascii="Arial" w:hAnsi="Arial" w:cs="Arial"/>
          <w:b/>
        </w:rPr>
        <w:t>318 tis. Kč</w:t>
      </w:r>
      <w:r w:rsidRPr="00A52C3E">
        <w:rPr>
          <w:rFonts w:ascii="Arial" w:hAnsi="Arial" w:cs="Arial"/>
        </w:rPr>
        <w:t xml:space="preserve"> a výdaje na služby telekomunikací a radiokomunikací činily v roce 2018 </w:t>
      </w:r>
      <w:r w:rsidRPr="00A52C3E">
        <w:rPr>
          <w:rFonts w:ascii="Arial" w:hAnsi="Arial" w:cs="Arial"/>
          <w:b/>
        </w:rPr>
        <w:t>46 tis. Kč</w:t>
      </w:r>
      <w:r w:rsidRPr="00A52C3E">
        <w:rPr>
          <w:rFonts w:ascii="Arial" w:hAnsi="Arial" w:cs="Arial"/>
        </w:rPr>
        <w:t xml:space="preserve">. Výdaje na nákup ostatních služeb činily celkem </w:t>
      </w:r>
      <w:r w:rsidRPr="00A52C3E">
        <w:rPr>
          <w:rFonts w:ascii="Arial" w:hAnsi="Arial" w:cs="Arial"/>
          <w:b/>
        </w:rPr>
        <w:t>900 tis. Kč</w:t>
      </w:r>
      <w:r w:rsidRPr="00A52C3E">
        <w:rPr>
          <w:rFonts w:ascii="Arial" w:hAnsi="Arial" w:cs="Arial"/>
        </w:rPr>
        <w:t xml:space="preserve"> (tato částka zahrnuje výdaje na příspěvek na stravování zaměstnanců ve výši 447 tis. Kč, na služby peněžních ústavů ve výši 19 tis. Kč, na nájemné parkovacího místa ve výši </w:t>
      </w:r>
      <w:r w:rsidRPr="00A52C3E">
        <w:rPr>
          <w:rFonts w:ascii="Arial" w:hAnsi="Arial" w:cs="Arial"/>
          <w:b/>
        </w:rPr>
        <w:t>36</w:t>
      </w:r>
      <w:r w:rsidRPr="00A52C3E">
        <w:rPr>
          <w:rFonts w:ascii="Arial" w:hAnsi="Arial" w:cs="Arial"/>
        </w:rPr>
        <w:t xml:space="preserve"> tis. Kč, a dále na služby telekomunikací ve výši 46 tis. Kč).</w:t>
      </w:r>
    </w:p>
    <w:p w:rsidR="00A66947" w:rsidRPr="00A52C3E" w:rsidRDefault="00A66947" w:rsidP="00A66947">
      <w:pPr>
        <w:jc w:val="both"/>
        <w:rPr>
          <w:rFonts w:ascii="Arial" w:hAnsi="Arial" w:cs="Arial"/>
        </w:rPr>
      </w:pPr>
      <w:r w:rsidRPr="00A52C3E">
        <w:rPr>
          <w:rFonts w:ascii="Arial" w:hAnsi="Arial" w:cs="Arial"/>
        </w:rPr>
        <w:t xml:space="preserve">Za ostatní nákupy bylo vyčerpáno </w:t>
      </w:r>
      <w:r w:rsidRPr="00A52C3E">
        <w:rPr>
          <w:rFonts w:ascii="Arial" w:hAnsi="Arial" w:cs="Arial"/>
          <w:b/>
        </w:rPr>
        <w:t>402 tis. Kč</w:t>
      </w:r>
      <w:r w:rsidRPr="00A52C3E">
        <w:rPr>
          <w:rFonts w:ascii="Arial" w:hAnsi="Arial" w:cs="Arial"/>
        </w:rPr>
        <w:t>, tj.</w:t>
      </w:r>
      <w:r w:rsidRPr="00A52C3E">
        <w:rPr>
          <w:rFonts w:ascii="Arial" w:hAnsi="Arial" w:cs="Arial"/>
          <w:b/>
        </w:rPr>
        <w:t xml:space="preserve"> 40 %</w:t>
      </w:r>
      <w:r w:rsidRPr="00A52C3E">
        <w:rPr>
          <w:rFonts w:ascii="Arial" w:hAnsi="Arial" w:cs="Arial"/>
        </w:rPr>
        <w:t xml:space="preserve"> z konečného rozpočtu na ostatní nákupy v roce 2018. Výdaje za opravy a udržování majetku Kanceláře finančního arbitra činily v roce 2018 </w:t>
      </w:r>
      <w:r w:rsidRPr="00A52C3E">
        <w:rPr>
          <w:rFonts w:ascii="Arial" w:hAnsi="Arial" w:cs="Arial"/>
          <w:b/>
        </w:rPr>
        <w:t xml:space="preserve">122 tis. Kč </w:t>
      </w:r>
      <w:r w:rsidRPr="00A52C3E">
        <w:rPr>
          <w:rFonts w:ascii="Arial" w:hAnsi="Arial" w:cs="Arial"/>
        </w:rPr>
        <w:t xml:space="preserve">(tyto služby jsou hrazeny na základě Zápisu o užívání nebytových prostor mezi Ministerstvem financí a Kanceláří finančního arbitra  uzavřené v roce 2011 a jsou kalkulovány na jednotlivé osoby a fakturovány čtvrtletně), výdaje za cestovné tuzemské a zahraniční činilo v roce 2018 </w:t>
      </w:r>
      <w:r w:rsidRPr="00A52C3E">
        <w:rPr>
          <w:rFonts w:ascii="Arial" w:hAnsi="Arial" w:cs="Arial"/>
          <w:b/>
        </w:rPr>
        <w:t>124 tis. Kč</w:t>
      </w:r>
      <w:r w:rsidRPr="00A52C3E">
        <w:rPr>
          <w:rFonts w:ascii="Arial" w:hAnsi="Arial" w:cs="Arial"/>
        </w:rPr>
        <w:t xml:space="preserve">, výdaje za účastnické poplatky na konference v roce 2018 činily </w:t>
      </w:r>
      <w:r w:rsidRPr="00A52C3E">
        <w:rPr>
          <w:rFonts w:ascii="Arial" w:hAnsi="Arial" w:cs="Arial"/>
          <w:b/>
        </w:rPr>
        <w:t>57 tis. Kč</w:t>
      </w:r>
      <w:r w:rsidRPr="00A52C3E">
        <w:rPr>
          <w:rFonts w:ascii="Arial" w:hAnsi="Arial" w:cs="Arial"/>
        </w:rPr>
        <w:t xml:space="preserve"> a výdaje na pohoštění činily v roce 2018 </w:t>
      </w:r>
      <w:r w:rsidRPr="00A52C3E">
        <w:rPr>
          <w:rFonts w:ascii="Arial" w:hAnsi="Arial" w:cs="Arial"/>
          <w:b/>
        </w:rPr>
        <w:t>11 tis. Kč</w:t>
      </w:r>
      <w:r w:rsidRPr="00A52C3E">
        <w:rPr>
          <w:rFonts w:ascii="Arial" w:hAnsi="Arial" w:cs="Arial"/>
        </w:rPr>
        <w:t>.</w:t>
      </w:r>
    </w:p>
    <w:p w:rsidR="00A66947" w:rsidRPr="00A52C3E" w:rsidRDefault="00A66947" w:rsidP="00A66947">
      <w:pPr>
        <w:jc w:val="both"/>
        <w:rPr>
          <w:rFonts w:ascii="Arial" w:hAnsi="Arial" w:cs="Arial"/>
        </w:rPr>
      </w:pPr>
      <w:r w:rsidRPr="00A52C3E">
        <w:rPr>
          <w:rFonts w:ascii="Arial" w:hAnsi="Arial" w:cs="Arial"/>
        </w:rPr>
        <w:t xml:space="preserve">Nákup materiálu představoval </w:t>
      </w:r>
      <w:r w:rsidRPr="00A52C3E">
        <w:rPr>
          <w:rFonts w:ascii="Arial" w:hAnsi="Arial" w:cs="Arial"/>
          <w:b/>
        </w:rPr>
        <w:t>684 tis. Kč</w:t>
      </w:r>
      <w:r w:rsidRPr="00A52C3E">
        <w:rPr>
          <w:rFonts w:ascii="Arial" w:hAnsi="Arial" w:cs="Arial"/>
        </w:rPr>
        <w:t xml:space="preserve">, tj. </w:t>
      </w:r>
      <w:r w:rsidRPr="00A52C3E">
        <w:rPr>
          <w:rFonts w:ascii="Arial" w:hAnsi="Arial" w:cs="Arial"/>
          <w:b/>
        </w:rPr>
        <w:t>55,9 %</w:t>
      </w:r>
      <w:r w:rsidRPr="00A52C3E">
        <w:rPr>
          <w:rFonts w:ascii="Arial" w:hAnsi="Arial" w:cs="Arial"/>
        </w:rPr>
        <w:t xml:space="preserve"> z konečného rozpočtu na nákup materiálu v roce 2018. Výdaje na nákup notebooků a mobilního telefonu včetně příslušenství činily v roce 2018 </w:t>
      </w:r>
      <w:r w:rsidRPr="00A52C3E">
        <w:rPr>
          <w:rFonts w:ascii="Arial" w:hAnsi="Arial" w:cs="Arial"/>
          <w:b/>
        </w:rPr>
        <w:t>550 tis. Kč</w:t>
      </w:r>
      <w:r w:rsidRPr="00A52C3E">
        <w:rPr>
          <w:rFonts w:ascii="Arial" w:hAnsi="Arial" w:cs="Arial"/>
        </w:rPr>
        <w:t xml:space="preserve">, výdaje na nákup publikací a knih činily v roce 2018 </w:t>
      </w:r>
      <w:r w:rsidRPr="00A52C3E">
        <w:rPr>
          <w:rFonts w:ascii="Arial" w:hAnsi="Arial" w:cs="Arial"/>
          <w:b/>
        </w:rPr>
        <w:t>9 tis. Kč</w:t>
      </w:r>
      <w:r w:rsidRPr="00A52C3E">
        <w:rPr>
          <w:rFonts w:ascii="Arial" w:hAnsi="Arial" w:cs="Arial"/>
        </w:rPr>
        <w:t xml:space="preserve">, výdaje na nákup kancelářského papíru a kancelářských potřeb činily v roce 2018 </w:t>
      </w:r>
      <w:r w:rsidRPr="00A52C3E">
        <w:rPr>
          <w:rFonts w:ascii="Arial" w:hAnsi="Arial" w:cs="Arial"/>
          <w:b/>
        </w:rPr>
        <w:t>124 tis. Kč</w:t>
      </w:r>
      <w:r w:rsidRPr="00A52C3E">
        <w:rPr>
          <w:rFonts w:ascii="Arial" w:hAnsi="Arial" w:cs="Arial"/>
        </w:rPr>
        <w:t xml:space="preserve">. Za vodu, paliva a energie bylo vyčerpáno celkem </w:t>
      </w:r>
      <w:r w:rsidRPr="00A52C3E">
        <w:rPr>
          <w:rFonts w:ascii="Arial" w:hAnsi="Arial" w:cs="Arial"/>
          <w:b/>
        </w:rPr>
        <w:t>284 tis. Kč</w:t>
      </w:r>
      <w:r w:rsidRPr="00A52C3E">
        <w:rPr>
          <w:rFonts w:ascii="Arial" w:hAnsi="Arial" w:cs="Arial"/>
        </w:rPr>
        <w:t>, tj.</w:t>
      </w:r>
      <w:r w:rsidRPr="00A52C3E">
        <w:rPr>
          <w:rFonts w:ascii="Arial" w:hAnsi="Arial" w:cs="Arial"/>
          <w:b/>
        </w:rPr>
        <w:t xml:space="preserve"> 27,7 %</w:t>
      </w:r>
      <w:r w:rsidRPr="00A52C3E">
        <w:rPr>
          <w:rFonts w:ascii="Arial" w:hAnsi="Arial" w:cs="Arial"/>
        </w:rPr>
        <w:t xml:space="preserve"> z konečného rozpočtu na nákup vody, paliv a energie v roce 2018. Čerpání je dáno výpočtem energií a služeb souvisejících s pronájmem nebytových prostor na základě Zápisu o užívání nebytových prostor uzavřeného mezi Kanceláří finančního arbitra a Ministerstvem financí v roce 2011, který upřesňuje související náklady hrazené pronajímateli podle počtu osob.</w:t>
      </w:r>
    </w:p>
    <w:p w:rsidR="00A66947" w:rsidRPr="00A52C3E" w:rsidRDefault="00A66947" w:rsidP="00A66947">
      <w:pPr>
        <w:jc w:val="both"/>
        <w:rPr>
          <w:rFonts w:ascii="Arial" w:hAnsi="Arial" w:cs="Arial"/>
        </w:rPr>
      </w:pPr>
      <w:r w:rsidRPr="00A52C3E">
        <w:rPr>
          <w:rFonts w:ascii="Arial" w:hAnsi="Arial" w:cs="Arial"/>
        </w:rPr>
        <w:t xml:space="preserve">Další výdaje v celkové výši </w:t>
      </w:r>
      <w:r w:rsidRPr="00A52C3E">
        <w:rPr>
          <w:rFonts w:ascii="Arial" w:hAnsi="Arial" w:cs="Arial"/>
          <w:b/>
        </w:rPr>
        <w:t xml:space="preserve">638 tis. Kč </w:t>
      </w:r>
      <w:r w:rsidRPr="00A52C3E">
        <w:rPr>
          <w:rFonts w:ascii="Arial" w:hAnsi="Arial" w:cs="Arial"/>
        </w:rPr>
        <w:t xml:space="preserve">představovaly výdaje za odvody za porušení povinnosti zaměstnávat zdravotně postižené ve výši </w:t>
      </w:r>
      <w:r w:rsidRPr="00A52C3E">
        <w:rPr>
          <w:rFonts w:ascii="Arial" w:hAnsi="Arial" w:cs="Arial"/>
          <w:b/>
        </w:rPr>
        <w:t>145</w:t>
      </w:r>
      <w:r w:rsidRPr="00A52C3E">
        <w:rPr>
          <w:rFonts w:ascii="Arial" w:hAnsi="Arial" w:cs="Arial"/>
        </w:rPr>
        <w:t xml:space="preserve"> </w:t>
      </w:r>
      <w:r w:rsidRPr="00A52C3E">
        <w:rPr>
          <w:rFonts w:ascii="Arial" w:hAnsi="Arial" w:cs="Arial"/>
          <w:b/>
        </w:rPr>
        <w:t>tis. Kč</w:t>
      </w:r>
      <w:r w:rsidRPr="00A52C3E">
        <w:rPr>
          <w:rFonts w:ascii="Arial" w:hAnsi="Arial" w:cs="Arial"/>
        </w:rPr>
        <w:t xml:space="preserve">, výdaje na náhrady mezd v době nemoci v roce 2018 ve výši </w:t>
      </w:r>
      <w:r w:rsidRPr="00A52C3E">
        <w:rPr>
          <w:rFonts w:ascii="Arial" w:hAnsi="Arial" w:cs="Arial"/>
          <w:b/>
        </w:rPr>
        <w:t>68 tis. Kč</w:t>
      </w:r>
      <w:r w:rsidRPr="00A52C3E">
        <w:rPr>
          <w:rFonts w:ascii="Arial" w:hAnsi="Arial" w:cs="Arial"/>
        </w:rPr>
        <w:t xml:space="preserve">, a výdaje na úhradu nákladů soudních řízení ve výši </w:t>
      </w:r>
      <w:r w:rsidRPr="00A52C3E">
        <w:rPr>
          <w:rFonts w:ascii="Arial" w:hAnsi="Arial" w:cs="Arial"/>
          <w:b/>
        </w:rPr>
        <w:t>421 tis. Kč</w:t>
      </w:r>
      <w:r w:rsidRPr="00A52C3E">
        <w:rPr>
          <w:rFonts w:ascii="Arial" w:hAnsi="Arial" w:cs="Arial"/>
        </w:rPr>
        <w:t xml:space="preserve">, ostatní výdaje jako platby daní a poplatků a kurzové rozdíly ve výši </w:t>
      </w:r>
      <w:r w:rsidRPr="00A52C3E">
        <w:rPr>
          <w:rFonts w:ascii="Arial" w:hAnsi="Arial" w:cs="Arial"/>
          <w:b/>
        </w:rPr>
        <w:t>3,6 tis. Kč</w:t>
      </w:r>
      <w:r w:rsidRPr="00A52C3E">
        <w:rPr>
          <w:rFonts w:ascii="Arial" w:hAnsi="Arial" w:cs="Arial"/>
        </w:rPr>
        <w:t>.</w:t>
      </w:r>
    </w:p>
    <w:p w:rsidR="00A66947" w:rsidRPr="00A52C3E" w:rsidRDefault="00A66947" w:rsidP="00A66947">
      <w:pPr>
        <w:pStyle w:val="Bntextzprvy"/>
        <w:rPr>
          <w:rFonts w:cs="Arial"/>
          <w:szCs w:val="22"/>
        </w:rPr>
      </w:pPr>
      <w:r w:rsidRPr="00A52C3E">
        <w:rPr>
          <w:rFonts w:cs="Arial"/>
          <w:szCs w:val="22"/>
        </w:rPr>
        <w:t xml:space="preserve">V roce 2018 uskutečnili zaměstnanci Kanceláře finančního arbitra celkem 4 zahraniční pracovní cesty a 5 tuzemských pracovních cest. Celkem bylo vynaloženo na pracovní cesty ve sledovaném období </w:t>
      </w:r>
      <w:r w:rsidRPr="00A52C3E">
        <w:rPr>
          <w:rFonts w:cs="Arial"/>
          <w:b/>
          <w:szCs w:val="22"/>
        </w:rPr>
        <w:t>124 tis. Kč.</w:t>
      </w:r>
    </w:p>
    <w:p w:rsidR="00A66947" w:rsidRPr="00A52C3E" w:rsidRDefault="00A66947" w:rsidP="00A66947">
      <w:pPr>
        <w:pStyle w:val="Bntextzprvy"/>
        <w:rPr>
          <w:rFonts w:cs="Arial"/>
          <w:b/>
          <w:i/>
          <w:szCs w:val="22"/>
        </w:rPr>
      </w:pPr>
      <w:r w:rsidRPr="00A52C3E">
        <w:rPr>
          <w:rFonts w:cs="Arial"/>
          <w:b/>
          <w:i/>
          <w:szCs w:val="22"/>
        </w:rPr>
        <w:t>Výdaje na programové financování</w:t>
      </w:r>
    </w:p>
    <w:p w:rsidR="00A66947" w:rsidRPr="00E877AA" w:rsidRDefault="00A66947" w:rsidP="00A66947">
      <w:pPr>
        <w:pStyle w:val="Bntextzprvy"/>
        <w:rPr>
          <w:rFonts w:cs="Arial"/>
          <w:szCs w:val="22"/>
        </w:rPr>
      </w:pPr>
      <w:r w:rsidRPr="00A52C3E">
        <w:rPr>
          <w:rFonts w:cs="Arial"/>
          <w:szCs w:val="22"/>
        </w:rPr>
        <w:t xml:space="preserve">Kancelář finančního arbitra evidovala ve sledovaném období </w:t>
      </w:r>
      <w:r w:rsidRPr="00A52C3E">
        <w:rPr>
          <w:rFonts w:cs="Arial"/>
          <w:b/>
          <w:i/>
          <w:szCs w:val="22"/>
        </w:rPr>
        <w:t xml:space="preserve">Program ev. č. 012V41, který byl realizován v podprogramech </w:t>
      </w:r>
      <w:r w:rsidRPr="00A52C3E">
        <w:rPr>
          <w:rFonts w:cs="Arial"/>
          <w:szCs w:val="22"/>
        </w:rPr>
        <w:t>0112V4110 – Pořízení, obnova a provozování ICT KFA – sledující potřeby zabezpečení výpočetní a komunikační technikou a odpovídajícími informačními systémy a 012V4120 – Pořízení a obnova</w:t>
      </w:r>
      <w:r w:rsidRPr="00E877AA">
        <w:rPr>
          <w:rFonts w:cs="Arial"/>
          <w:szCs w:val="22"/>
        </w:rPr>
        <w:t xml:space="preserve"> MTZ KFA, tj. zabezpečení reprodukce a obnovy majetku nezbytného pro vlastní činnost KFA; </w:t>
      </w:r>
      <w:r w:rsidRPr="00E877AA">
        <w:rPr>
          <w:rFonts w:cs="Arial"/>
          <w:b/>
          <w:i/>
          <w:szCs w:val="22"/>
        </w:rPr>
        <w:t xml:space="preserve">Program ev. č. 112V41, který byl realizován v podprogramu </w:t>
      </w:r>
      <w:r w:rsidRPr="00E877AA">
        <w:rPr>
          <w:rFonts w:cs="Arial"/>
          <w:szCs w:val="22"/>
        </w:rPr>
        <w:t>112V4110 – Pořízení, obnova a provozování ICT KFA – sledující potřeby zabezpečení výpočetní a komunikační technikou a odpov</w:t>
      </w:r>
      <w:r w:rsidR="00DE3C72" w:rsidRPr="00E877AA">
        <w:rPr>
          <w:rFonts w:cs="Arial"/>
          <w:szCs w:val="22"/>
        </w:rPr>
        <w:t>ídajícími informačními systémy.</w:t>
      </w:r>
    </w:p>
    <w:p w:rsidR="00A66947" w:rsidRPr="00E877AA" w:rsidRDefault="00A66947" w:rsidP="00A66947">
      <w:pPr>
        <w:spacing w:after="120"/>
        <w:jc w:val="both"/>
        <w:rPr>
          <w:rFonts w:ascii="Arial" w:hAnsi="Arial" w:cs="Arial"/>
          <w:i/>
        </w:rPr>
      </w:pPr>
      <w:r w:rsidRPr="00E877AA">
        <w:rPr>
          <w:rFonts w:ascii="Arial" w:hAnsi="Arial" w:cs="Arial"/>
          <w:i/>
        </w:rPr>
        <w:t>Podprogram 012V4110</w:t>
      </w:r>
    </w:p>
    <w:p w:rsidR="00A66947" w:rsidRPr="00E877AA" w:rsidRDefault="00A66947" w:rsidP="00A66947">
      <w:pPr>
        <w:jc w:val="both"/>
        <w:rPr>
          <w:rFonts w:ascii="Arial" w:hAnsi="Arial" w:cs="Arial"/>
        </w:rPr>
      </w:pPr>
      <w:r w:rsidRPr="00E877AA">
        <w:rPr>
          <w:rFonts w:ascii="Arial" w:hAnsi="Arial" w:cs="Arial"/>
        </w:rPr>
        <w:t xml:space="preserve">Schválený rozpočet na běžné výdaje programu činil </w:t>
      </w:r>
      <w:r w:rsidRPr="00E877AA">
        <w:rPr>
          <w:rFonts w:ascii="Arial" w:hAnsi="Arial" w:cs="Arial"/>
          <w:b/>
        </w:rPr>
        <w:t>764 tis. Kč</w:t>
      </w:r>
      <w:r w:rsidRPr="00E877AA">
        <w:rPr>
          <w:rFonts w:ascii="Arial" w:hAnsi="Arial" w:cs="Arial"/>
        </w:rPr>
        <w:t xml:space="preserve">. Po zapojení nároků z nespotřebovaných běžných výdajů evidujeme konečný rozpočet běžných výdajů </w:t>
      </w:r>
      <w:r w:rsidRPr="00E877AA">
        <w:rPr>
          <w:rFonts w:ascii="Arial" w:hAnsi="Arial" w:cs="Arial"/>
          <w:b/>
        </w:rPr>
        <w:t>2.576 tis. Kč</w:t>
      </w:r>
      <w:r w:rsidRPr="00E877AA">
        <w:rPr>
          <w:rFonts w:ascii="Arial" w:hAnsi="Arial" w:cs="Arial"/>
        </w:rPr>
        <w:t xml:space="preserve">. Ve sledovaném období byly prostředky na běžné (neinvestiční) výdaje programu čerpány v celkové výši </w:t>
      </w:r>
      <w:r w:rsidRPr="00E877AA">
        <w:rPr>
          <w:rFonts w:ascii="Arial" w:hAnsi="Arial" w:cs="Arial"/>
          <w:b/>
        </w:rPr>
        <w:t>1.742 tis. Kč</w:t>
      </w:r>
      <w:r w:rsidRPr="00E877AA">
        <w:rPr>
          <w:rFonts w:ascii="Arial" w:hAnsi="Arial" w:cs="Arial"/>
        </w:rPr>
        <w:t xml:space="preserve">, což představuje </w:t>
      </w:r>
      <w:r w:rsidRPr="00E877AA">
        <w:rPr>
          <w:rFonts w:ascii="Arial" w:hAnsi="Arial" w:cs="Arial"/>
          <w:b/>
        </w:rPr>
        <w:t>67,6 %</w:t>
      </w:r>
      <w:r w:rsidRPr="00E877AA">
        <w:rPr>
          <w:rFonts w:ascii="Arial" w:hAnsi="Arial" w:cs="Arial"/>
        </w:rPr>
        <w:t xml:space="preserve"> z konečného rozpočtu běžných výdajů určených na program v roce 2018.</w:t>
      </w:r>
    </w:p>
    <w:p w:rsidR="00A66947" w:rsidRPr="00A52C3E" w:rsidRDefault="00A66947" w:rsidP="00A66947">
      <w:pPr>
        <w:jc w:val="both"/>
        <w:rPr>
          <w:rFonts w:ascii="Arial" w:hAnsi="Arial" w:cs="Arial"/>
        </w:rPr>
      </w:pPr>
      <w:r w:rsidRPr="00E877AA">
        <w:rPr>
          <w:rFonts w:ascii="Arial" w:hAnsi="Arial" w:cs="Arial"/>
        </w:rPr>
        <w:lastRenderedPageBreak/>
        <w:t xml:space="preserve">Schválený rozpočet na </w:t>
      </w:r>
      <w:r w:rsidRPr="00A52C3E">
        <w:rPr>
          <w:rFonts w:ascii="Arial" w:hAnsi="Arial" w:cs="Arial"/>
        </w:rPr>
        <w:t xml:space="preserve">kapitálové výdaje podprogramu 012V4110 činil </w:t>
      </w:r>
      <w:r w:rsidRPr="00A52C3E">
        <w:rPr>
          <w:rFonts w:ascii="Arial" w:hAnsi="Arial" w:cs="Arial"/>
          <w:b/>
        </w:rPr>
        <w:t xml:space="preserve">1.000 tis. Kč, </w:t>
      </w:r>
      <w:r w:rsidRPr="00A52C3E">
        <w:rPr>
          <w:rFonts w:ascii="Arial" w:hAnsi="Arial" w:cs="Arial"/>
        </w:rPr>
        <w:t>po zapojení nároků z nespotřebovaných kapitálových výdajů činil konečný rozpočet</w:t>
      </w:r>
      <w:r w:rsidRPr="00A52C3E">
        <w:rPr>
          <w:rFonts w:ascii="Arial" w:hAnsi="Arial" w:cs="Arial"/>
          <w:b/>
        </w:rPr>
        <w:t xml:space="preserve"> 2.972 tis. Kč.</w:t>
      </w:r>
      <w:r w:rsidRPr="00A52C3E">
        <w:rPr>
          <w:rFonts w:ascii="Arial" w:hAnsi="Arial" w:cs="Arial"/>
        </w:rPr>
        <w:t xml:space="preserve"> Ve sledovaném období byly prostředky na kapitálové (investiční) výdaje programu čerpány v celkové výši </w:t>
      </w:r>
      <w:r w:rsidRPr="00A52C3E">
        <w:rPr>
          <w:rFonts w:ascii="Arial" w:hAnsi="Arial" w:cs="Arial"/>
          <w:b/>
        </w:rPr>
        <w:t>1.047 tis. Kč</w:t>
      </w:r>
      <w:r w:rsidRPr="00A52C3E">
        <w:rPr>
          <w:rFonts w:ascii="Arial" w:hAnsi="Arial" w:cs="Arial"/>
        </w:rPr>
        <w:t>, což představuje</w:t>
      </w:r>
      <w:r w:rsidRPr="00A52C3E">
        <w:rPr>
          <w:rFonts w:ascii="Arial" w:hAnsi="Arial" w:cs="Arial"/>
          <w:b/>
        </w:rPr>
        <w:t xml:space="preserve"> 35,2</w:t>
      </w:r>
      <w:r w:rsidRPr="00A52C3E">
        <w:rPr>
          <w:rFonts w:ascii="Arial" w:hAnsi="Arial" w:cs="Arial"/>
        </w:rPr>
        <w:t xml:space="preserve"> </w:t>
      </w:r>
      <w:r w:rsidRPr="00A52C3E">
        <w:rPr>
          <w:rFonts w:ascii="Arial" w:hAnsi="Arial" w:cs="Arial"/>
          <w:b/>
        </w:rPr>
        <w:t>%</w:t>
      </w:r>
      <w:r w:rsidRPr="00A52C3E">
        <w:rPr>
          <w:rFonts w:ascii="Arial" w:hAnsi="Arial" w:cs="Arial"/>
        </w:rPr>
        <w:t xml:space="preserve"> z konečného rozpočtu kapitálových výdajů v roce 2018.</w:t>
      </w:r>
    </w:p>
    <w:p w:rsidR="00A66947" w:rsidRPr="00A52C3E" w:rsidRDefault="00A66947" w:rsidP="0061285A">
      <w:pPr>
        <w:pStyle w:val="Bntextzprvy"/>
        <w:keepNext/>
        <w:rPr>
          <w:rFonts w:cs="Arial"/>
          <w:b/>
          <w:i/>
          <w:szCs w:val="22"/>
        </w:rPr>
      </w:pPr>
      <w:r w:rsidRPr="00A52C3E">
        <w:rPr>
          <w:rFonts w:cs="Arial"/>
          <w:b/>
          <w:i/>
          <w:szCs w:val="22"/>
        </w:rPr>
        <w:t>Příjmy</w:t>
      </w:r>
    </w:p>
    <w:p w:rsidR="00A66947" w:rsidRPr="00A52C3E" w:rsidRDefault="00A66947" w:rsidP="00A66947">
      <w:pPr>
        <w:pStyle w:val="Bntextzprvy"/>
        <w:rPr>
          <w:rFonts w:cs="Arial"/>
          <w:szCs w:val="22"/>
        </w:rPr>
      </w:pPr>
      <w:r w:rsidRPr="00A52C3E">
        <w:rPr>
          <w:rFonts w:cs="Arial"/>
          <w:szCs w:val="22"/>
        </w:rPr>
        <w:t>Pro rok 2018, stejně jako v minulých obdobích, nebyly v rozpočtu Kanceláře finančního arbitra příjmy stanoveny, protože činností Kanceláře finančního arbitra není zajišťování příjmů do státního rozpočtu a současně případné příjmy Kanceláře finančního arbitra jsou nepředvídatelné.</w:t>
      </w:r>
    </w:p>
    <w:p w:rsidR="00A66947" w:rsidRPr="00A52C3E" w:rsidRDefault="00A66947" w:rsidP="00A66947">
      <w:pPr>
        <w:pStyle w:val="Bnuvozovacodstavec"/>
        <w:rPr>
          <w:rFonts w:cs="Arial"/>
          <w:szCs w:val="22"/>
        </w:rPr>
      </w:pPr>
      <w:r w:rsidRPr="00A52C3E">
        <w:rPr>
          <w:rFonts w:cs="Arial"/>
          <w:szCs w:val="22"/>
        </w:rPr>
        <w:t>Kancelář finančního arbitra v roce 2018 dosáhla příjmy v celkové výši</w:t>
      </w:r>
      <w:r w:rsidRPr="00A52C3E">
        <w:rPr>
          <w:rFonts w:cs="Arial"/>
          <w:b/>
          <w:szCs w:val="22"/>
        </w:rPr>
        <w:t xml:space="preserve"> 1.289.859,31 Kč</w:t>
      </w:r>
      <w:r w:rsidRPr="00A52C3E">
        <w:rPr>
          <w:rFonts w:cs="Arial"/>
          <w:szCs w:val="22"/>
        </w:rPr>
        <w:t>, z toho:</w:t>
      </w:r>
    </w:p>
    <w:p w:rsidR="00A66947" w:rsidRPr="0005133A" w:rsidRDefault="00A66947" w:rsidP="006756A3">
      <w:pPr>
        <w:numPr>
          <w:ilvl w:val="0"/>
          <w:numId w:val="2"/>
        </w:numPr>
        <w:tabs>
          <w:tab w:val="clear" w:pos="720"/>
          <w:tab w:val="num" w:pos="426"/>
        </w:tabs>
        <w:spacing w:after="0"/>
        <w:ind w:left="425" w:hanging="425"/>
        <w:jc w:val="both"/>
        <w:rPr>
          <w:rFonts w:ascii="Arial" w:hAnsi="Arial" w:cs="Arial"/>
        </w:rPr>
      </w:pPr>
      <w:r w:rsidRPr="0005133A">
        <w:rPr>
          <w:rFonts w:ascii="Arial" w:hAnsi="Arial" w:cs="Arial"/>
        </w:rPr>
        <w:t xml:space="preserve">přijaté sankční platby ve výši </w:t>
      </w:r>
      <w:r w:rsidRPr="0005133A">
        <w:rPr>
          <w:rFonts w:ascii="Arial" w:hAnsi="Arial" w:cs="Arial"/>
          <w:b/>
        </w:rPr>
        <w:t>1.202.787,52 Kč</w:t>
      </w:r>
      <w:r w:rsidRPr="0005133A">
        <w:rPr>
          <w:rFonts w:ascii="Arial" w:hAnsi="Arial" w:cs="Arial"/>
        </w:rPr>
        <w:t>, které představují uložené sankce v řízení vedených před finančním arbitrem (konkrétně jde o 78 sankcí, když finanční arbitr je podle § 17a odst. 1 zákona o finančním arbitrovi povinen uložit sankci ve výši 10 % z částky, kterou je instituce povinna zaplatit navrhovateli, nejméně však 15.000 Kč a tato je příjmem státního rozpočtu;</w:t>
      </w:r>
    </w:p>
    <w:p w:rsidR="00A66947" w:rsidRPr="0005133A" w:rsidRDefault="00A66947" w:rsidP="006756A3">
      <w:pPr>
        <w:numPr>
          <w:ilvl w:val="0"/>
          <w:numId w:val="2"/>
        </w:numPr>
        <w:tabs>
          <w:tab w:val="clear" w:pos="720"/>
          <w:tab w:val="num" w:pos="426"/>
        </w:tabs>
        <w:spacing w:after="0"/>
        <w:ind w:left="425" w:hanging="425"/>
        <w:jc w:val="both"/>
        <w:rPr>
          <w:rFonts w:ascii="Arial" w:hAnsi="Arial" w:cs="Arial"/>
        </w:rPr>
      </w:pPr>
      <w:r w:rsidRPr="0005133A">
        <w:rPr>
          <w:rFonts w:ascii="Arial" w:hAnsi="Arial" w:cs="Arial"/>
        </w:rPr>
        <w:t xml:space="preserve">refundace zahraničních služebních cest ve </w:t>
      </w:r>
      <w:r w:rsidRPr="0005133A">
        <w:rPr>
          <w:rFonts w:ascii="Arial" w:hAnsi="Arial" w:cs="Arial"/>
          <w:b/>
        </w:rPr>
        <w:t xml:space="preserve">44.239,86 Kč </w:t>
      </w:r>
      <w:r w:rsidRPr="0005133A">
        <w:rPr>
          <w:rFonts w:ascii="Arial" w:hAnsi="Arial" w:cs="Arial"/>
        </w:rPr>
        <w:t xml:space="preserve">(zahrnuje refundace zahraničních cest uskutečněných v roce 2018 do Bruselu, Osla a Dublinu); refundace byly přijaty od </w:t>
      </w:r>
      <w:r w:rsidR="000B187E" w:rsidRPr="0005133A">
        <w:rPr>
          <w:rFonts w:ascii="Arial" w:hAnsi="Arial" w:cs="Arial"/>
        </w:rPr>
        <w:t>Evropské komise</w:t>
      </w:r>
      <w:r w:rsidRPr="0005133A">
        <w:rPr>
          <w:rFonts w:ascii="Arial" w:hAnsi="Arial" w:cs="Arial"/>
        </w:rPr>
        <w:t>;</w:t>
      </w:r>
    </w:p>
    <w:p w:rsidR="00A66947" w:rsidRPr="0005133A" w:rsidRDefault="00A66947" w:rsidP="006756A3">
      <w:pPr>
        <w:numPr>
          <w:ilvl w:val="0"/>
          <w:numId w:val="2"/>
        </w:numPr>
        <w:tabs>
          <w:tab w:val="clear" w:pos="720"/>
          <w:tab w:val="num" w:pos="426"/>
        </w:tabs>
        <w:spacing w:after="0"/>
        <w:ind w:left="425" w:hanging="425"/>
        <w:jc w:val="both"/>
        <w:rPr>
          <w:rFonts w:ascii="Arial" w:hAnsi="Arial" w:cs="Arial"/>
        </w:rPr>
      </w:pPr>
      <w:r w:rsidRPr="0005133A">
        <w:rPr>
          <w:rFonts w:ascii="Arial" w:hAnsi="Arial" w:cs="Arial"/>
        </w:rPr>
        <w:t xml:space="preserve">převod z vlastních fondů ve výši </w:t>
      </w:r>
      <w:r w:rsidRPr="0005133A">
        <w:rPr>
          <w:rFonts w:ascii="Arial" w:hAnsi="Arial" w:cs="Arial"/>
          <w:b/>
        </w:rPr>
        <w:t>20.000 Kč</w:t>
      </w:r>
      <w:r w:rsidRPr="0005133A">
        <w:rPr>
          <w:rFonts w:ascii="Arial" w:hAnsi="Arial" w:cs="Arial"/>
        </w:rPr>
        <w:t xml:space="preserve"> (tato částka byla rezervou pro případné neočekávané výdaje spojené s výplatou mezd za poslední měsíc v kalendářním roce</w:t>
      </w:r>
      <w:r w:rsidR="003434B0" w:rsidRPr="0005133A">
        <w:rPr>
          <w:rFonts w:ascii="Arial" w:hAnsi="Arial" w:cs="Arial"/>
        </w:rPr>
        <w:t xml:space="preserve"> 2017</w:t>
      </w:r>
      <w:r w:rsidRPr="0005133A">
        <w:rPr>
          <w:rFonts w:ascii="Arial" w:hAnsi="Arial" w:cs="Arial"/>
        </w:rPr>
        <w:t>; protože nedošlo k žádným nepředvídatelným událostem, byly tyto prostředky vráceny na příjmový účet jako převod z vlastních fondů);</w:t>
      </w:r>
    </w:p>
    <w:p w:rsidR="00E12679" w:rsidRPr="006756A3" w:rsidRDefault="00A66947" w:rsidP="00415FED">
      <w:pPr>
        <w:numPr>
          <w:ilvl w:val="0"/>
          <w:numId w:val="2"/>
        </w:numPr>
        <w:tabs>
          <w:tab w:val="clear" w:pos="720"/>
          <w:tab w:val="num" w:pos="426"/>
        </w:tabs>
        <w:spacing w:after="0"/>
        <w:ind w:left="425" w:hanging="425"/>
        <w:jc w:val="both"/>
        <w:rPr>
          <w:rFonts w:ascii="Arial" w:hAnsi="Arial" w:cs="Arial"/>
          <w:sz w:val="16"/>
          <w:szCs w:val="16"/>
        </w:rPr>
      </w:pPr>
      <w:r w:rsidRPr="0005133A">
        <w:rPr>
          <w:rFonts w:ascii="Arial" w:hAnsi="Arial" w:cs="Arial"/>
        </w:rPr>
        <w:t>příjem přeplatku za služby od Ministerstva financí jako pronajímatele prostor, ve kterých Kancelář finančního arbitra sídlí, částečné vyúčtování služeb ze smlouvy o nájmu nebytových prostor ke dni 31. 12. 2018 ve výši</w:t>
      </w:r>
      <w:r w:rsidRPr="0005133A">
        <w:rPr>
          <w:rFonts w:ascii="Arial" w:hAnsi="Arial" w:cs="Arial"/>
          <w:b/>
        </w:rPr>
        <w:t xml:space="preserve"> 22.831,93 K</w:t>
      </w:r>
      <w:r w:rsidRPr="006756A3">
        <w:rPr>
          <w:rFonts w:ascii="Arial" w:hAnsi="Arial" w:cs="Arial"/>
          <w:b/>
        </w:rPr>
        <w:t>č</w:t>
      </w:r>
      <w:r w:rsidRPr="006756A3">
        <w:rPr>
          <w:rFonts w:ascii="Arial" w:hAnsi="Arial" w:cs="Arial"/>
        </w:rPr>
        <w:t>.</w:t>
      </w:r>
    </w:p>
    <w:tbl>
      <w:tblPr>
        <w:tblpPr w:leftFromText="141" w:rightFromText="141" w:vertAnchor="text" w:horzAnchor="margin" w:tblpXSpec="center" w:tblpY="376"/>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9"/>
        <w:gridCol w:w="905"/>
        <w:gridCol w:w="851"/>
        <w:gridCol w:w="798"/>
        <w:gridCol w:w="703"/>
        <w:gridCol w:w="760"/>
        <w:gridCol w:w="880"/>
        <w:gridCol w:w="849"/>
        <w:gridCol w:w="992"/>
        <w:gridCol w:w="802"/>
      </w:tblGrid>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 </w:t>
            </w:r>
          </w:p>
        </w:tc>
        <w:tc>
          <w:tcPr>
            <w:tcW w:w="905"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2017</w:t>
            </w:r>
          </w:p>
        </w:tc>
        <w:tc>
          <w:tcPr>
            <w:tcW w:w="851"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 </w:t>
            </w:r>
          </w:p>
        </w:tc>
        <w:tc>
          <w:tcPr>
            <w:tcW w:w="798"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 </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b/>
                <w:sz w:val="14"/>
                <w:szCs w:val="14"/>
                <w:lang w:eastAsia="cs-CZ"/>
              </w:rPr>
            </w:pPr>
            <w:r w:rsidRPr="006756A3">
              <w:rPr>
                <w:rFonts w:ascii="Arial" w:eastAsia="Times New Roman" w:hAnsi="Arial" w:cs="Arial"/>
                <w:b/>
                <w:sz w:val="14"/>
                <w:szCs w:val="14"/>
                <w:lang w:eastAsia="cs-CZ"/>
              </w:rPr>
              <w:t>2018</w:t>
            </w:r>
          </w:p>
        </w:tc>
        <w:tc>
          <w:tcPr>
            <w:tcW w:w="760"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 </w:t>
            </w:r>
          </w:p>
        </w:tc>
        <w:tc>
          <w:tcPr>
            <w:tcW w:w="880"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 </w:t>
            </w:r>
          </w:p>
        </w:tc>
        <w:tc>
          <w:tcPr>
            <w:tcW w:w="849"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 </w:t>
            </w:r>
          </w:p>
        </w:tc>
        <w:tc>
          <w:tcPr>
            <w:tcW w:w="992"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 </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2018/2017</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Ukazatel</w:t>
            </w:r>
          </w:p>
        </w:tc>
        <w:tc>
          <w:tcPr>
            <w:tcW w:w="905"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skutečnost</w:t>
            </w:r>
          </w:p>
        </w:tc>
        <w:tc>
          <w:tcPr>
            <w:tcW w:w="1649" w:type="dxa"/>
            <w:gridSpan w:val="2"/>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rozpočet k 31. 12.</w:t>
            </w:r>
          </w:p>
        </w:tc>
        <w:tc>
          <w:tcPr>
            <w:tcW w:w="703"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 </w:t>
            </w:r>
          </w:p>
        </w:tc>
        <w:tc>
          <w:tcPr>
            <w:tcW w:w="760"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 </w:t>
            </w:r>
          </w:p>
        </w:tc>
        <w:tc>
          <w:tcPr>
            <w:tcW w:w="880"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skutečnost</w:t>
            </w:r>
          </w:p>
        </w:tc>
        <w:tc>
          <w:tcPr>
            <w:tcW w:w="849"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%plnění</w:t>
            </w:r>
          </w:p>
        </w:tc>
        <w:tc>
          <w:tcPr>
            <w:tcW w:w="992"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%plnění</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skut.</w:t>
            </w:r>
          </w:p>
        </w:tc>
      </w:tr>
      <w:tr w:rsidR="0061285A" w:rsidRPr="002A18E1" w:rsidTr="00755D1E">
        <w:trPr>
          <w:trHeight w:val="255"/>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 </w:t>
            </w:r>
          </w:p>
        </w:tc>
        <w:tc>
          <w:tcPr>
            <w:tcW w:w="905"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k 31. 12.</w:t>
            </w:r>
          </w:p>
        </w:tc>
        <w:tc>
          <w:tcPr>
            <w:tcW w:w="851"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schválený</w:t>
            </w:r>
          </w:p>
        </w:tc>
        <w:tc>
          <w:tcPr>
            <w:tcW w:w="798"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upravený</w:t>
            </w:r>
          </w:p>
        </w:tc>
        <w:tc>
          <w:tcPr>
            <w:tcW w:w="703"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NNV</w:t>
            </w:r>
          </w:p>
        </w:tc>
        <w:tc>
          <w:tcPr>
            <w:tcW w:w="760"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celkový</w:t>
            </w:r>
          </w:p>
        </w:tc>
        <w:tc>
          <w:tcPr>
            <w:tcW w:w="880"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k 31. 12.</w:t>
            </w:r>
          </w:p>
        </w:tc>
        <w:tc>
          <w:tcPr>
            <w:tcW w:w="849"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r w:rsidRPr="006756A3">
              <w:rPr>
                <w:rFonts w:ascii="Arial" w:eastAsia="Times New Roman" w:hAnsi="Arial" w:cs="Arial"/>
                <w:b/>
                <w:sz w:val="14"/>
                <w:szCs w:val="14"/>
                <w:lang w:eastAsia="cs-CZ"/>
              </w:rPr>
              <w:t>uprav. r.</w:t>
            </w:r>
          </w:p>
        </w:tc>
        <w:tc>
          <w:tcPr>
            <w:tcW w:w="992" w:type="dxa"/>
            <w:shd w:val="clear" w:color="auto" w:fill="auto"/>
            <w:noWrap/>
            <w:vAlign w:val="bottom"/>
            <w:hideMark/>
          </w:tcPr>
          <w:p w:rsidR="0061285A" w:rsidRPr="006756A3" w:rsidRDefault="0061285A" w:rsidP="00415FED">
            <w:pPr>
              <w:spacing w:after="0"/>
              <w:jc w:val="center"/>
              <w:rPr>
                <w:rFonts w:ascii="Arial" w:eastAsia="Times New Roman" w:hAnsi="Arial" w:cs="Arial"/>
                <w:b/>
                <w:sz w:val="14"/>
                <w:szCs w:val="14"/>
                <w:lang w:eastAsia="cs-CZ"/>
              </w:rPr>
            </w:pPr>
            <w:proofErr w:type="spellStart"/>
            <w:r w:rsidRPr="006756A3">
              <w:rPr>
                <w:rFonts w:ascii="Arial" w:eastAsia="Times New Roman" w:hAnsi="Arial" w:cs="Arial"/>
                <w:b/>
                <w:sz w:val="14"/>
                <w:szCs w:val="14"/>
                <w:lang w:eastAsia="cs-CZ"/>
              </w:rPr>
              <w:t>celkov</w:t>
            </w:r>
            <w:proofErr w:type="spellEnd"/>
            <w:r w:rsidRPr="006756A3">
              <w:rPr>
                <w:rFonts w:ascii="Arial" w:eastAsia="Times New Roman" w:hAnsi="Arial" w:cs="Arial"/>
                <w:b/>
                <w:sz w:val="14"/>
                <w:szCs w:val="14"/>
                <w:lang w:eastAsia="cs-CZ"/>
              </w:rPr>
              <w:t>. r.</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b/>
                <w:sz w:val="14"/>
                <w:szCs w:val="14"/>
                <w:lang w:eastAsia="cs-CZ"/>
              </w:rPr>
            </w:pPr>
            <w:r w:rsidRPr="006756A3">
              <w:rPr>
                <w:rFonts w:ascii="Arial" w:eastAsia="Times New Roman" w:hAnsi="Arial" w:cs="Arial"/>
                <w:b/>
                <w:sz w:val="14"/>
                <w:szCs w:val="14"/>
                <w:lang w:eastAsia="cs-CZ"/>
              </w:rPr>
              <w:t>v %</w:t>
            </w:r>
          </w:p>
        </w:tc>
      </w:tr>
      <w:tr w:rsidR="0061285A" w:rsidRPr="002A18E1" w:rsidTr="00755D1E">
        <w:trPr>
          <w:trHeight w:val="255"/>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sloupec</w:t>
            </w:r>
          </w:p>
        </w:tc>
        <w:tc>
          <w:tcPr>
            <w:tcW w:w="905"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1</w:t>
            </w:r>
          </w:p>
        </w:tc>
        <w:tc>
          <w:tcPr>
            <w:tcW w:w="851"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2</w:t>
            </w:r>
          </w:p>
        </w:tc>
        <w:tc>
          <w:tcPr>
            <w:tcW w:w="798"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3</w:t>
            </w:r>
          </w:p>
        </w:tc>
        <w:tc>
          <w:tcPr>
            <w:tcW w:w="703"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4</w:t>
            </w:r>
          </w:p>
        </w:tc>
        <w:tc>
          <w:tcPr>
            <w:tcW w:w="760"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7</w:t>
            </w:r>
          </w:p>
        </w:tc>
        <w:tc>
          <w:tcPr>
            <w:tcW w:w="880"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8</w:t>
            </w:r>
          </w:p>
        </w:tc>
        <w:tc>
          <w:tcPr>
            <w:tcW w:w="849"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8:3</w:t>
            </w:r>
          </w:p>
        </w:tc>
        <w:tc>
          <w:tcPr>
            <w:tcW w:w="992"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8:7</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8:1</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Příjmy celkem</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471</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0</w:t>
            </w:r>
          </w:p>
        </w:tc>
        <w:tc>
          <w:tcPr>
            <w:tcW w:w="703" w:type="dxa"/>
            <w:shd w:val="clear" w:color="auto" w:fill="auto"/>
            <w:noWrap/>
            <w:vAlign w:val="bottom"/>
            <w:hideMark/>
          </w:tcPr>
          <w:p w:rsidR="0061285A" w:rsidRPr="006756A3" w:rsidRDefault="0061285A" w:rsidP="00415FED">
            <w:pPr>
              <w:spacing w:after="0"/>
              <w:jc w:val="center"/>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x</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0</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1 290</w:t>
            </w:r>
          </w:p>
        </w:tc>
        <w:tc>
          <w:tcPr>
            <w:tcW w:w="849" w:type="dxa"/>
            <w:shd w:val="clear" w:color="auto" w:fill="auto"/>
            <w:noWrap/>
            <w:vAlign w:val="bottom"/>
            <w:hideMark/>
          </w:tcPr>
          <w:p w:rsidR="0061285A" w:rsidRPr="006756A3" w:rsidRDefault="0061285A" w:rsidP="00415FED">
            <w:pPr>
              <w:spacing w:after="0"/>
              <w:jc w:val="center"/>
              <w:rPr>
                <w:rFonts w:ascii="Arial" w:eastAsia="Times New Roman" w:hAnsi="Arial" w:cs="Arial"/>
                <w:b/>
                <w:bCs/>
                <w:sz w:val="14"/>
                <w:szCs w:val="14"/>
                <w:lang w:eastAsia="cs-CZ"/>
              </w:rPr>
            </w:pPr>
          </w:p>
        </w:tc>
        <w:tc>
          <w:tcPr>
            <w:tcW w:w="992" w:type="dxa"/>
            <w:shd w:val="clear" w:color="auto" w:fill="auto"/>
            <w:noWrap/>
            <w:vAlign w:val="bottom"/>
          </w:tcPr>
          <w:p w:rsidR="0061285A" w:rsidRPr="006756A3" w:rsidRDefault="0061285A" w:rsidP="00415FED">
            <w:pPr>
              <w:spacing w:after="0"/>
              <w:jc w:val="center"/>
              <w:rPr>
                <w:rFonts w:ascii="Arial" w:eastAsia="Times New Roman" w:hAnsi="Arial" w:cs="Arial"/>
                <w:b/>
                <w:bCs/>
                <w:sz w:val="14"/>
                <w:szCs w:val="14"/>
                <w:lang w:eastAsia="cs-CZ"/>
              </w:rPr>
            </w:pP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273,7</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v tom:</w:t>
            </w:r>
          </w:p>
        </w:tc>
        <w:tc>
          <w:tcPr>
            <w:tcW w:w="905"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51"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98"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03"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6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8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4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992" w:type="dxa"/>
            <w:shd w:val="clear" w:color="auto" w:fill="auto"/>
            <w:noWrap/>
            <w:vAlign w:val="bottom"/>
          </w:tcPr>
          <w:p w:rsidR="0061285A" w:rsidRPr="006756A3" w:rsidRDefault="0061285A" w:rsidP="00415FED">
            <w:pPr>
              <w:spacing w:after="0"/>
              <w:rPr>
                <w:rFonts w:ascii="Arial" w:eastAsia="Times New Roman" w:hAnsi="Arial" w:cs="Arial"/>
                <w:sz w:val="14"/>
                <w:szCs w:val="14"/>
                <w:lang w:eastAsia="cs-CZ"/>
              </w:rPr>
            </w:pP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 přijaté sankční platby a vratky </w:t>
            </w:r>
            <w:proofErr w:type="spellStart"/>
            <w:r w:rsidRPr="006756A3">
              <w:rPr>
                <w:rFonts w:ascii="Arial" w:eastAsia="Times New Roman" w:hAnsi="Arial" w:cs="Arial"/>
                <w:sz w:val="14"/>
                <w:szCs w:val="14"/>
                <w:lang w:eastAsia="cs-CZ"/>
              </w:rPr>
              <w:t>transf</w:t>
            </w:r>
            <w:proofErr w:type="spellEnd"/>
            <w:r w:rsidRPr="006756A3">
              <w:rPr>
                <w:rFonts w:ascii="Arial" w:eastAsia="Times New Roman" w:hAnsi="Arial" w:cs="Arial"/>
                <w:sz w:val="14"/>
                <w:szCs w:val="14"/>
                <w:lang w:eastAsia="cs-CZ"/>
              </w:rPr>
              <w:t>.</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373</w:t>
            </w:r>
          </w:p>
        </w:tc>
        <w:tc>
          <w:tcPr>
            <w:tcW w:w="851"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98"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03"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x</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1 203</w:t>
            </w:r>
          </w:p>
        </w:tc>
        <w:tc>
          <w:tcPr>
            <w:tcW w:w="849" w:type="dxa"/>
            <w:shd w:val="clear" w:color="auto" w:fill="auto"/>
            <w:noWrap/>
            <w:vAlign w:val="bottom"/>
          </w:tcPr>
          <w:p w:rsidR="0061285A" w:rsidRPr="006756A3" w:rsidRDefault="0061285A" w:rsidP="00415FED">
            <w:pPr>
              <w:spacing w:after="0"/>
              <w:jc w:val="center"/>
              <w:rPr>
                <w:rFonts w:ascii="Arial" w:eastAsia="Times New Roman" w:hAnsi="Arial" w:cs="Arial"/>
                <w:sz w:val="14"/>
                <w:szCs w:val="14"/>
                <w:lang w:eastAsia="cs-CZ"/>
              </w:rPr>
            </w:pPr>
          </w:p>
        </w:tc>
        <w:tc>
          <w:tcPr>
            <w:tcW w:w="992" w:type="dxa"/>
            <w:shd w:val="clear" w:color="auto" w:fill="auto"/>
            <w:noWrap/>
            <w:vAlign w:val="bottom"/>
          </w:tcPr>
          <w:p w:rsidR="0061285A" w:rsidRPr="006756A3" w:rsidRDefault="0061285A" w:rsidP="00415FED">
            <w:pPr>
              <w:spacing w:after="0"/>
              <w:jc w:val="center"/>
              <w:rPr>
                <w:rFonts w:ascii="Arial" w:eastAsia="Times New Roman" w:hAnsi="Arial" w:cs="Arial"/>
                <w:sz w:val="14"/>
                <w:szCs w:val="14"/>
                <w:lang w:eastAsia="cs-CZ"/>
              </w:rPr>
            </w:pP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322,5</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 ostatní nedaňové příjmy</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68</w:t>
            </w:r>
          </w:p>
        </w:tc>
        <w:tc>
          <w:tcPr>
            <w:tcW w:w="851"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98"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03"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x</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67</w:t>
            </w:r>
          </w:p>
        </w:tc>
        <w:tc>
          <w:tcPr>
            <w:tcW w:w="849" w:type="dxa"/>
            <w:shd w:val="clear" w:color="auto" w:fill="auto"/>
            <w:noWrap/>
            <w:vAlign w:val="bottom"/>
          </w:tcPr>
          <w:p w:rsidR="0061285A" w:rsidRPr="006756A3" w:rsidRDefault="0061285A" w:rsidP="00415FED">
            <w:pPr>
              <w:spacing w:after="0"/>
              <w:jc w:val="center"/>
              <w:rPr>
                <w:rFonts w:ascii="Arial" w:eastAsia="Times New Roman" w:hAnsi="Arial" w:cs="Arial"/>
                <w:sz w:val="14"/>
                <w:szCs w:val="14"/>
                <w:lang w:eastAsia="cs-CZ"/>
              </w:rPr>
            </w:pPr>
          </w:p>
        </w:tc>
        <w:tc>
          <w:tcPr>
            <w:tcW w:w="992" w:type="dxa"/>
            <w:shd w:val="clear" w:color="auto" w:fill="auto"/>
            <w:noWrap/>
            <w:vAlign w:val="bottom"/>
          </w:tcPr>
          <w:p w:rsidR="0061285A" w:rsidRPr="006756A3" w:rsidRDefault="0061285A" w:rsidP="00415FED">
            <w:pPr>
              <w:spacing w:after="0"/>
              <w:jc w:val="center"/>
              <w:rPr>
                <w:rFonts w:ascii="Arial" w:eastAsia="Times New Roman" w:hAnsi="Arial" w:cs="Arial"/>
                <w:sz w:val="14"/>
                <w:szCs w:val="14"/>
                <w:lang w:eastAsia="cs-CZ"/>
              </w:rPr>
            </w:pP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98,1</w:t>
            </w:r>
          </w:p>
        </w:tc>
      </w:tr>
      <w:tr w:rsidR="0061285A" w:rsidRPr="002A18E1" w:rsidTr="00755D1E">
        <w:trPr>
          <w:trHeight w:val="255"/>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 převod z vlastních fondů</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30</w:t>
            </w:r>
          </w:p>
        </w:tc>
        <w:tc>
          <w:tcPr>
            <w:tcW w:w="851"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98"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03" w:type="dxa"/>
            <w:shd w:val="clear" w:color="auto" w:fill="auto"/>
            <w:noWrap/>
            <w:vAlign w:val="bottom"/>
            <w:hideMark/>
          </w:tcPr>
          <w:p w:rsidR="0061285A" w:rsidRPr="006756A3" w:rsidRDefault="0061285A" w:rsidP="00415FED">
            <w:pPr>
              <w:spacing w:after="0"/>
              <w:jc w:val="center"/>
              <w:rPr>
                <w:rFonts w:ascii="Arial" w:eastAsia="Times New Roman" w:hAnsi="Arial" w:cs="Arial"/>
                <w:sz w:val="14"/>
                <w:szCs w:val="14"/>
                <w:lang w:eastAsia="cs-CZ"/>
              </w:rPr>
            </w:pPr>
            <w:r w:rsidRPr="006756A3">
              <w:rPr>
                <w:rFonts w:ascii="Arial" w:eastAsia="Times New Roman" w:hAnsi="Arial" w:cs="Arial"/>
                <w:sz w:val="14"/>
                <w:szCs w:val="14"/>
                <w:lang w:eastAsia="cs-CZ"/>
              </w:rPr>
              <w:t>x</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20</w:t>
            </w:r>
          </w:p>
        </w:tc>
        <w:tc>
          <w:tcPr>
            <w:tcW w:w="849" w:type="dxa"/>
            <w:shd w:val="clear" w:color="auto" w:fill="auto"/>
            <w:noWrap/>
            <w:vAlign w:val="bottom"/>
          </w:tcPr>
          <w:p w:rsidR="0061285A" w:rsidRPr="006756A3" w:rsidRDefault="0061285A" w:rsidP="00415FED">
            <w:pPr>
              <w:spacing w:after="0"/>
              <w:jc w:val="center"/>
              <w:rPr>
                <w:rFonts w:ascii="Arial" w:eastAsia="Times New Roman" w:hAnsi="Arial" w:cs="Arial"/>
                <w:sz w:val="14"/>
                <w:szCs w:val="14"/>
                <w:lang w:eastAsia="cs-CZ"/>
              </w:rPr>
            </w:pPr>
          </w:p>
        </w:tc>
        <w:tc>
          <w:tcPr>
            <w:tcW w:w="992" w:type="dxa"/>
            <w:shd w:val="clear" w:color="auto" w:fill="auto"/>
            <w:noWrap/>
            <w:vAlign w:val="bottom"/>
          </w:tcPr>
          <w:p w:rsidR="0061285A" w:rsidRPr="006756A3" w:rsidRDefault="0061285A" w:rsidP="00415FED">
            <w:pPr>
              <w:spacing w:after="0"/>
              <w:jc w:val="center"/>
              <w:rPr>
                <w:rFonts w:ascii="Arial" w:eastAsia="Times New Roman" w:hAnsi="Arial" w:cs="Arial"/>
                <w:sz w:val="14"/>
                <w:szCs w:val="14"/>
                <w:lang w:eastAsia="cs-CZ"/>
              </w:rPr>
            </w:pP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66,7</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Výdaje celkem</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53 521</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61 290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60 640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16 480</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77 120</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61 118</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100,8</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79,3</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114,2</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v tom:  </w:t>
            </w:r>
          </w:p>
        </w:tc>
        <w:tc>
          <w:tcPr>
            <w:tcW w:w="905"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51"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98"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03"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6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8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4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99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 xml:space="preserve"> - kapitálové (investiční)</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1 288</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1 050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1 050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1 972</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3 022</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1 047</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99,8</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34,7</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81,3</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v tom:</w:t>
            </w:r>
          </w:p>
        </w:tc>
        <w:tc>
          <w:tcPr>
            <w:tcW w:w="905"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51"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98"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03"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w:t>
            </w:r>
          </w:p>
        </w:tc>
        <w:tc>
          <w:tcPr>
            <w:tcW w:w="88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4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99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 pořízení </w:t>
            </w:r>
            <w:proofErr w:type="spellStart"/>
            <w:r w:rsidRPr="006756A3">
              <w:rPr>
                <w:rFonts w:ascii="Arial" w:eastAsia="Times New Roman" w:hAnsi="Arial" w:cs="Arial"/>
                <w:sz w:val="14"/>
                <w:szCs w:val="14"/>
                <w:lang w:eastAsia="cs-CZ"/>
              </w:rPr>
              <w:t>nehm</w:t>
            </w:r>
            <w:proofErr w:type="spellEnd"/>
            <w:r w:rsidRPr="006756A3">
              <w:rPr>
                <w:rFonts w:ascii="Arial" w:eastAsia="Times New Roman" w:hAnsi="Arial" w:cs="Arial"/>
                <w:sz w:val="14"/>
                <w:szCs w:val="14"/>
                <w:lang w:eastAsia="cs-CZ"/>
              </w:rPr>
              <w:t xml:space="preserve">. </w:t>
            </w:r>
            <w:proofErr w:type="spellStart"/>
            <w:r w:rsidRPr="006756A3">
              <w:rPr>
                <w:rFonts w:ascii="Arial" w:eastAsia="Times New Roman" w:hAnsi="Arial" w:cs="Arial"/>
                <w:sz w:val="14"/>
                <w:szCs w:val="14"/>
                <w:lang w:eastAsia="cs-CZ"/>
              </w:rPr>
              <w:t>inv</w:t>
            </w:r>
            <w:proofErr w:type="spellEnd"/>
            <w:r w:rsidRPr="006756A3">
              <w:rPr>
                <w:rFonts w:ascii="Arial" w:eastAsia="Times New Roman" w:hAnsi="Arial" w:cs="Arial"/>
                <w:sz w:val="14"/>
                <w:szCs w:val="14"/>
                <w:lang w:eastAsia="cs-CZ"/>
              </w:rPr>
              <w:t>. majetku</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1 288</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1 000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1 000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1 972</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2 972</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1 047</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104,7</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35,2</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81,29</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 pořízení hmot. </w:t>
            </w:r>
            <w:proofErr w:type="spellStart"/>
            <w:r w:rsidRPr="006756A3">
              <w:rPr>
                <w:rFonts w:ascii="Arial" w:eastAsia="Times New Roman" w:hAnsi="Arial" w:cs="Arial"/>
                <w:sz w:val="14"/>
                <w:szCs w:val="14"/>
                <w:lang w:eastAsia="cs-CZ"/>
              </w:rPr>
              <w:t>inv</w:t>
            </w:r>
            <w:proofErr w:type="spellEnd"/>
            <w:r w:rsidRPr="006756A3">
              <w:rPr>
                <w:rFonts w:ascii="Arial" w:eastAsia="Times New Roman" w:hAnsi="Arial" w:cs="Arial"/>
                <w:sz w:val="14"/>
                <w:szCs w:val="14"/>
                <w:lang w:eastAsia="cs-CZ"/>
              </w:rPr>
              <w:t>. majetku</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50</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0,0</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0,0</w:t>
            </w:r>
          </w:p>
        </w:tc>
        <w:tc>
          <w:tcPr>
            <w:tcW w:w="802" w:type="dxa"/>
            <w:shd w:val="clear" w:color="auto" w:fill="auto"/>
            <w:noWrap/>
            <w:vAlign w:val="bottom"/>
          </w:tcPr>
          <w:p w:rsidR="0061285A" w:rsidRPr="006756A3" w:rsidRDefault="0061285A" w:rsidP="00D8546E">
            <w:pPr>
              <w:spacing w:after="0"/>
              <w:rPr>
                <w:rFonts w:ascii="Arial" w:eastAsia="Times New Roman" w:hAnsi="Arial" w:cs="Arial"/>
                <w:sz w:val="14"/>
                <w:szCs w:val="14"/>
                <w:lang w:eastAsia="cs-CZ"/>
              </w:rPr>
            </w:pPr>
          </w:p>
        </w:tc>
      </w:tr>
      <w:tr w:rsidR="0061285A" w:rsidRPr="002A18E1" w:rsidTr="00755D1E">
        <w:trPr>
          <w:trHeight w:val="9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905"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51"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98"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03"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6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8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4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99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 xml:space="preserve"> - běžné (neinvestiční)</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52 232</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60 240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59 590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14 508</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74 098</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60 071</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100,8</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81,1</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115,0</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v tom:</w:t>
            </w:r>
          </w:p>
        </w:tc>
        <w:tc>
          <w:tcPr>
            <w:tcW w:w="905"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51"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98"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03"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6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8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4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99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 xml:space="preserve">   - platy </w:t>
            </w:r>
            <w:proofErr w:type="spellStart"/>
            <w:r w:rsidRPr="006756A3">
              <w:rPr>
                <w:rFonts w:ascii="Arial" w:eastAsia="Times New Roman" w:hAnsi="Arial" w:cs="Arial"/>
                <w:b/>
                <w:bCs/>
                <w:sz w:val="14"/>
                <w:szCs w:val="14"/>
                <w:lang w:eastAsia="cs-CZ"/>
              </w:rPr>
              <w:t>zam</w:t>
            </w:r>
            <w:proofErr w:type="spellEnd"/>
            <w:r w:rsidRPr="006756A3">
              <w:rPr>
                <w:rFonts w:ascii="Arial" w:eastAsia="Times New Roman" w:hAnsi="Arial" w:cs="Arial"/>
                <w:b/>
                <w:bCs/>
                <w:sz w:val="14"/>
                <w:szCs w:val="14"/>
                <w:lang w:eastAsia="cs-CZ"/>
              </w:rPr>
              <w:t xml:space="preserve">. a </w:t>
            </w:r>
            <w:proofErr w:type="spellStart"/>
            <w:r w:rsidRPr="006756A3">
              <w:rPr>
                <w:rFonts w:ascii="Arial" w:eastAsia="Times New Roman" w:hAnsi="Arial" w:cs="Arial"/>
                <w:b/>
                <w:bCs/>
                <w:sz w:val="14"/>
                <w:szCs w:val="14"/>
                <w:lang w:eastAsia="cs-CZ"/>
              </w:rPr>
              <w:t>ost</w:t>
            </w:r>
            <w:proofErr w:type="spellEnd"/>
            <w:r w:rsidRPr="006756A3">
              <w:rPr>
                <w:rFonts w:ascii="Arial" w:eastAsia="Times New Roman" w:hAnsi="Arial" w:cs="Arial"/>
                <w:b/>
                <w:bCs/>
                <w:sz w:val="14"/>
                <w:szCs w:val="14"/>
                <w:lang w:eastAsia="cs-CZ"/>
              </w:rPr>
              <w:t>. platby</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36 043</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41 556</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41 556</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3 545</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45 101</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40 854</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98,3</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90,6</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113,35</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v tom:  platy zaměstnanců (5011)</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35 625</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40 960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40 960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3 161</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44 121</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40 308</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98,4</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91,4</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113,15</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ostatní platby celkem</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418</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596</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596</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384</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980</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545</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91,5</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55,7</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130,35</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 xml:space="preserve">   -  povinné pojistné</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12 048</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14 129</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14 129</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1 809</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15 938</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13 823</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97,8</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86,7</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114,74</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 xml:space="preserve">   -  příděl do FKSP</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712</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819</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819</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60</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879</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806</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98,4</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91,7</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113,15</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 xml:space="preserve">   - sociální dávky</w:t>
            </w:r>
          </w:p>
        </w:tc>
        <w:tc>
          <w:tcPr>
            <w:tcW w:w="905" w:type="dxa"/>
            <w:shd w:val="clear" w:color="auto" w:fill="auto"/>
            <w:noWrap/>
            <w:vAlign w:val="bottom"/>
            <w:hideMark/>
          </w:tcPr>
          <w:p w:rsidR="0061285A" w:rsidRPr="006756A3" w:rsidRDefault="0061285A" w:rsidP="00415FED">
            <w:pPr>
              <w:spacing w:after="0"/>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 </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0</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0</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0</w:t>
            </w:r>
          </w:p>
        </w:tc>
        <w:tc>
          <w:tcPr>
            <w:tcW w:w="849" w:type="dxa"/>
            <w:shd w:val="clear" w:color="auto" w:fill="auto"/>
            <w:noWrap/>
            <w:vAlign w:val="bottom"/>
          </w:tcPr>
          <w:p w:rsidR="0061285A" w:rsidRPr="006756A3" w:rsidRDefault="0061285A" w:rsidP="00415FED">
            <w:pPr>
              <w:spacing w:after="0"/>
              <w:jc w:val="center"/>
              <w:rPr>
                <w:rFonts w:ascii="Arial" w:eastAsia="Times New Roman" w:hAnsi="Arial" w:cs="Arial"/>
                <w:sz w:val="14"/>
                <w:szCs w:val="14"/>
                <w:lang w:eastAsia="cs-CZ"/>
              </w:rPr>
            </w:pPr>
          </w:p>
        </w:tc>
        <w:tc>
          <w:tcPr>
            <w:tcW w:w="992" w:type="dxa"/>
            <w:shd w:val="clear" w:color="auto" w:fill="auto"/>
            <w:noWrap/>
            <w:vAlign w:val="bottom"/>
          </w:tcPr>
          <w:p w:rsidR="0061285A" w:rsidRPr="006756A3" w:rsidRDefault="0061285A" w:rsidP="00415FED">
            <w:pPr>
              <w:spacing w:after="0"/>
              <w:jc w:val="center"/>
              <w:rPr>
                <w:rFonts w:ascii="Arial" w:eastAsia="Times New Roman" w:hAnsi="Arial" w:cs="Arial"/>
                <w:sz w:val="14"/>
                <w:szCs w:val="14"/>
                <w:lang w:eastAsia="cs-CZ"/>
              </w:rPr>
            </w:pPr>
          </w:p>
        </w:tc>
        <w:tc>
          <w:tcPr>
            <w:tcW w:w="802" w:type="dxa"/>
            <w:shd w:val="clear" w:color="auto" w:fill="auto"/>
            <w:noWrap/>
            <w:vAlign w:val="bottom"/>
          </w:tcPr>
          <w:p w:rsidR="0061285A" w:rsidRPr="006756A3" w:rsidRDefault="0061285A" w:rsidP="00D8546E">
            <w:pPr>
              <w:spacing w:after="0"/>
              <w:rPr>
                <w:rFonts w:ascii="Arial" w:eastAsia="Times New Roman" w:hAnsi="Arial" w:cs="Arial"/>
                <w:sz w:val="14"/>
                <w:szCs w:val="14"/>
                <w:lang w:eastAsia="cs-CZ"/>
              </w:rPr>
            </w:pP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 xml:space="preserve">   -  ostatní běžné  výdaje</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3 428</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3 736</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3 086</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9 095</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12 181</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b/>
                <w:bCs/>
                <w:sz w:val="14"/>
                <w:szCs w:val="14"/>
                <w:lang w:eastAsia="cs-CZ"/>
              </w:rPr>
            </w:pPr>
            <w:r w:rsidRPr="006756A3">
              <w:rPr>
                <w:rFonts w:ascii="Arial" w:eastAsia="Times New Roman" w:hAnsi="Arial" w:cs="Arial"/>
                <w:b/>
                <w:bCs/>
                <w:sz w:val="14"/>
                <w:szCs w:val="14"/>
                <w:lang w:eastAsia="cs-CZ"/>
              </w:rPr>
              <w:t>4 587</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148,6</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37,7</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133,80</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v tom:</w:t>
            </w:r>
          </w:p>
        </w:tc>
        <w:tc>
          <w:tcPr>
            <w:tcW w:w="905"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51"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98"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03"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6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80"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4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99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 nákup materiálu </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332</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414</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414</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810</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1 224</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684</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165,2</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55,9</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206,21</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 nákup vody, paliv, energie</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274</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460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460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563</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1 023</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284</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61,7</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27,7</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103,55</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lastRenderedPageBreak/>
              <w:t xml:space="preserve">        - nákup služeb</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2 105</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1 986</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1 526</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2 740</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4 266</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2 580</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169,1</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60,5</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122,56</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z toho: nájemné</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36</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36</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36</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36</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36</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100,0</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100,0</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100,00</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 ostatní nákupy</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501</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380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190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817</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1 007</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402</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211,8</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40,0</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80,28</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z toho: opravy a udržování</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187</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110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110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339</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449</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122</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110,7</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27,1</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65,04</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cestovné</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237</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200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316</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326</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124</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1 235,2</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37,9</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52,22</w:t>
            </w:r>
          </w:p>
        </w:tc>
      </w:tr>
      <w:tr w:rsidR="0061285A" w:rsidRPr="002A18E1" w:rsidTr="00755D1E">
        <w:trPr>
          <w:trHeight w:val="255"/>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       - ostatní pol.                                   </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217</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496</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496</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4 165</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4 661</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638</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128,5</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13,7</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294,30</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proofErr w:type="spellStart"/>
            <w:r w:rsidRPr="006756A3">
              <w:rPr>
                <w:rFonts w:ascii="Arial" w:eastAsia="Times New Roman" w:hAnsi="Arial" w:cs="Arial"/>
                <w:sz w:val="14"/>
                <w:szCs w:val="14"/>
                <w:lang w:eastAsia="cs-CZ"/>
              </w:rPr>
              <w:t>prům</w:t>
            </w:r>
            <w:proofErr w:type="spellEnd"/>
            <w:r w:rsidRPr="006756A3">
              <w:rPr>
                <w:rFonts w:ascii="Arial" w:eastAsia="Times New Roman" w:hAnsi="Arial" w:cs="Arial"/>
                <w:sz w:val="14"/>
                <w:szCs w:val="14"/>
                <w:lang w:eastAsia="cs-CZ"/>
              </w:rPr>
              <w:t xml:space="preserve">. </w:t>
            </w:r>
            <w:proofErr w:type="spellStart"/>
            <w:r w:rsidRPr="006756A3">
              <w:rPr>
                <w:rFonts w:ascii="Arial" w:eastAsia="Times New Roman" w:hAnsi="Arial" w:cs="Arial"/>
                <w:sz w:val="14"/>
                <w:szCs w:val="14"/>
                <w:lang w:eastAsia="cs-CZ"/>
              </w:rPr>
              <w:t>přep</w:t>
            </w:r>
            <w:proofErr w:type="spellEnd"/>
            <w:r w:rsidRPr="006756A3">
              <w:rPr>
                <w:rFonts w:ascii="Arial" w:eastAsia="Times New Roman" w:hAnsi="Arial" w:cs="Arial"/>
                <w:sz w:val="14"/>
                <w:szCs w:val="14"/>
                <w:lang w:eastAsia="cs-CZ"/>
              </w:rPr>
              <w:t xml:space="preserve">. počet </w:t>
            </w:r>
            <w:proofErr w:type="spellStart"/>
            <w:r w:rsidRPr="006756A3">
              <w:rPr>
                <w:rFonts w:ascii="Arial" w:eastAsia="Times New Roman" w:hAnsi="Arial" w:cs="Arial"/>
                <w:sz w:val="14"/>
                <w:szCs w:val="14"/>
                <w:lang w:eastAsia="cs-CZ"/>
              </w:rPr>
              <w:t>zaměst</w:t>
            </w:r>
            <w:proofErr w:type="spellEnd"/>
            <w:r w:rsidRPr="006756A3">
              <w:rPr>
                <w:rFonts w:ascii="Arial" w:eastAsia="Times New Roman" w:hAnsi="Arial" w:cs="Arial"/>
                <w:sz w:val="14"/>
                <w:szCs w:val="14"/>
                <w:lang w:eastAsia="cs-CZ"/>
              </w:rPr>
              <w:t>.</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50</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55</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55</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0</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55</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54</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98,2</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98,2</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108,00</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platy včetně prosince v tis. Kč</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35 625</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40 960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40 960</w:t>
            </w:r>
          </w:p>
        </w:tc>
        <w:tc>
          <w:tcPr>
            <w:tcW w:w="703"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3 161</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44 121</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40 308</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98,4</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91,4</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113,15</w:t>
            </w:r>
          </w:p>
        </w:tc>
      </w:tr>
      <w:tr w:rsidR="0061285A" w:rsidRPr="002A18E1" w:rsidTr="00755D1E">
        <w:trPr>
          <w:trHeight w:val="240"/>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průměrný měsíční plat v Kč</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59 375</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62 060</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62 060</w:t>
            </w:r>
          </w:p>
        </w:tc>
        <w:tc>
          <w:tcPr>
            <w:tcW w:w="703"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66 849</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62 204</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100,2</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93,1</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104,77</w:t>
            </w:r>
          </w:p>
        </w:tc>
      </w:tr>
      <w:tr w:rsidR="0061285A" w:rsidRPr="002A18E1" w:rsidTr="00755D1E">
        <w:trPr>
          <w:trHeight w:val="255"/>
        </w:trPr>
        <w:tc>
          <w:tcPr>
            <w:tcW w:w="2129"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xml:space="preserve">ostatní běžné </w:t>
            </w:r>
            <w:proofErr w:type="gramStart"/>
            <w:r w:rsidRPr="006756A3">
              <w:rPr>
                <w:rFonts w:ascii="Arial" w:eastAsia="Times New Roman" w:hAnsi="Arial" w:cs="Arial"/>
                <w:sz w:val="14"/>
                <w:szCs w:val="14"/>
                <w:lang w:eastAsia="cs-CZ"/>
              </w:rPr>
              <w:t>výdaje  na</w:t>
            </w:r>
            <w:proofErr w:type="gramEnd"/>
            <w:r w:rsidRPr="006756A3">
              <w:rPr>
                <w:rFonts w:ascii="Arial" w:eastAsia="Times New Roman" w:hAnsi="Arial" w:cs="Arial"/>
                <w:sz w:val="14"/>
                <w:szCs w:val="14"/>
                <w:lang w:eastAsia="cs-CZ"/>
              </w:rPr>
              <w:t xml:space="preserve"> 1 </w:t>
            </w:r>
            <w:proofErr w:type="spellStart"/>
            <w:r w:rsidRPr="006756A3">
              <w:rPr>
                <w:rFonts w:ascii="Arial" w:eastAsia="Times New Roman" w:hAnsi="Arial" w:cs="Arial"/>
                <w:sz w:val="14"/>
                <w:szCs w:val="14"/>
                <w:lang w:eastAsia="cs-CZ"/>
              </w:rPr>
              <w:t>zam</w:t>
            </w:r>
            <w:proofErr w:type="spellEnd"/>
            <w:r w:rsidRPr="006756A3">
              <w:rPr>
                <w:rFonts w:ascii="Arial" w:eastAsia="Times New Roman" w:hAnsi="Arial" w:cs="Arial"/>
                <w:sz w:val="14"/>
                <w:szCs w:val="14"/>
                <w:lang w:eastAsia="cs-CZ"/>
              </w:rPr>
              <w:t>. v Kč</w:t>
            </w:r>
          </w:p>
        </w:tc>
        <w:tc>
          <w:tcPr>
            <w:tcW w:w="905"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68 569</w:t>
            </w:r>
          </w:p>
        </w:tc>
        <w:tc>
          <w:tcPr>
            <w:tcW w:w="851"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67 929</w:t>
            </w:r>
          </w:p>
        </w:tc>
        <w:tc>
          <w:tcPr>
            <w:tcW w:w="798"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56 111</w:t>
            </w:r>
          </w:p>
        </w:tc>
        <w:tc>
          <w:tcPr>
            <w:tcW w:w="703"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 </w:t>
            </w:r>
          </w:p>
        </w:tc>
        <w:tc>
          <w:tcPr>
            <w:tcW w:w="76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221 468</w:t>
            </w:r>
          </w:p>
        </w:tc>
        <w:tc>
          <w:tcPr>
            <w:tcW w:w="880"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84 952</w:t>
            </w:r>
          </w:p>
        </w:tc>
        <w:tc>
          <w:tcPr>
            <w:tcW w:w="849"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151,4</w:t>
            </w:r>
          </w:p>
        </w:tc>
        <w:tc>
          <w:tcPr>
            <w:tcW w:w="992" w:type="dxa"/>
            <w:shd w:val="clear" w:color="auto" w:fill="auto"/>
            <w:noWrap/>
            <w:vAlign w:val="bottom"/>
            <w:hideMark/>
          </w:tcPr>
          <w:p w:rsidR="0061285A" w:rsidRPr="006756A3" w:rsidRDefault="0061285A" w:rsidP="00415FED">
            <w:pPr>
              <w:spacing w:after="0"/>
              <w:jc w:val="right"/>
              <w:rPr>
                <w:rFonts w:ascii="Arial" w:eastAsia="Times New Roman" w:hAnsi="Arial" w:cs="Arial"/>
                <w:sz w:val="14"/>
                <w:szCs w:val="14"/>
                <w:lang w:eastAsia="cs-CZ"/>
              </w:rPr>
            </w:pPr>
            <w:r w:rsidRPr="006756A3">
              <w:rPr>
                <w:rFonts w:ascii="Arial" w:eastAsia="Times New Roman" w:hAnsi="Arial" w:cs="Arial"/>
                <w:sz w:val="14"/>
                <w:szCs w:val="14"/>
                <w:lang w:eastAsia="cs-CZ"/>
              </w:rPr>
              <w:t>38,4</w:t>
            </w:r>
          </w:p>
        </w:tc>
        <w:tc>
          <w:tcPr>
            <w:tcW w:w="802" w:type="dxa"/>
            <w:shd w:val="clear" w:color="auto" w:fill="auto"/>
            <w:noWrap/>
            <w:vAlign w:val="bottom"/>
            <w:hideMark/>
          </w:tcPr>
          <w:p w:rsidR="0061285A" w:rsidRPr="006756A3" w:rsidRDefault="0061285A" w:rsidP="00415FED">
            <w:pPr>
              <w:spacing w:after="0"/>
              <w:rPr>
                <w:rFonts w:ascii="Arial" w:eastAsia="Times New Roman" w:hAnsi="Arial" w:cs="Arial"/>
                <w:sz w:val="14"/>
                <w:szCs w:val="14"/>
                <w:lang w:eastAsia="cs-CZ"/>
              </w:rPr>
            </w:pPr>
            <w:r w:rsidRPr="006756A3">
              <w:rPr>
                <w:rFonts w:ascii="Arial" w:eastAsia="Times New Roman" w:hAnsi="Arial" w:cs="Arial"/>
                <w:sz w:val="14"/>
                <w:szCs w:val="14"/>
                <w:lang w:eastAsia="cs-CZ"/>
              </w:rPr>
              <w:t>123,89</w:t>
            </w:r>
          </w:p>
        </w:tc>
      </w:tr>
    </w:tbl>
    <w:p w:rsidR="00E12679" w:rsidRDefault="00E12679" w:rsidP="00E12679">
      <w:pPr>
        <w:spacing w:after="0"/>
        <w:jc w:val="both"/>
        <w:rPr>
          <w:rFonts w:ascii="Times New Roman CE" w:eastAsia="Times New Roman" w:hAnsi="Times New Roman CE" w:cs="Times New Roman CE"/>
          <w:sz w:val="18"/>
          <w:szCs w:val="18"/>
          <w:lang w:eastAsia="cs-CZ"/>
        </w:rPr>
      </w:pPr>
    </w:p>
    <w:p w:rsidR="006031DD" w:rsidRPr="009D40D4" w:rsidRDefault="00F7603F" w:rsidP="00D8546E">
      <w:pPr>
        <w:pStyle w:val="Nadpis1"/>
        <w:rPr>
          <w:rFonts w:ascii="Arial" w:hAnsi="Arial" w:cs="Arial"/>
        </w:rPr>
      </w:pPr>
      <w:bookmarkStart w:id="6" w:name="_Toc2918278"/>
      <w:bookmarkStart w:id="7" w:name="_Toc2918279"/>
      <w:bookmarkStart w:id="8" w:name="_Toc4591462"/>
      <w:bookmarkEnd w:id="6"/>
      <w:bookmarkEnd w:id="7"/>
      <w:r w:rsidRPr="009D40D4">
        <w:rPr>
          <w:rFonts w:ascii="Arial" w:hAnsi="Arial" w:cs="Arial"/>
        </w:rPr>
        <w:lastRenderedPageBreak/>
        <w:t xml:space="preserve">INFORMAČNÍ POVINNOSTI FINANČNÍHO ARBITRA, </w:t>
      </w:r>
      <w:r w:rsidR="006031DD" w:rsidRPr="009D40D4">
        <w:rPr>
          <w:rFonts w:ascii="Arial" w:hAnsi="Arial" w:cs="Arial"/>
        </w:rPr>
        <w:t>VZTAHY S VEŘEJNOSTÍ</w:t>
      </w:r>
      <w:bookmarkEnd w:id="8"/>
    </w:p>
    <w:p w:rsidR="0068436B" w:rsidRPr="00E877AA" w:rsidRDefault="0068436B" w:rsidP="00166E77">
      <w:pPr>
        <w:pStyle w:val="Mezinadpis"/>
        <w:rPr>
          <w:rFonts w:ascii="Arial" w:hAnsi="Arial" w:cs="Arial"/>
          <w:sz w:val="22"/>
          <w:szCs w:val="22"/>
        </w:rPr>
      </w:pPr>
      <w:r w:rsidRPr="00E877AA">
        <w:rPr>
          <w:rFonts w:ascii="Arial" w:hAnsi="Arial" w:cs="Arial"/>
          <w:sz w:val="22"/>
          <w:szCs w:val="22"/>
        </w:rPr>
        <w:t>Vyřizování dotazů</w:t>
      </w:r>
    </w:p>
    <w:p w:rsidR="003434B0" w:rsidRPr="00E877AA" w:rsidRDefault="0068436B" w:rsidP="00166E77">
      <w:pPr>
        <w:pStyle w:val="Bntextzprvy"/>
        <w:rPr>
          <w:rFonts w:cs="Arial"/>
          <w:szCs w:val="22"/>
        </w:rPr>
      </w:pPr>
      <w:r w:rsidRPr="00E877AA">
        <w:rPr>
          <w:rFonts w:cs="Arial"/>
          <w:szCs w:val="22"/>
        </w:rPr>
        <w:t>Finanční arbitr zodpoví každý dotaz, tedy i ten, který se netýká činnosti finančního arbitra, a to alespoň v rozsahu poučení o nepříslušnosti finančního arbitra a tam, kde je to mož</w:t>
      </w:r>
      <w:r w:rsidR="00DE3C72" w:rsidRPr="00E877AA">
        <w:rPr>
          <w:rFonts w:cs="Arial"/>
          <w:szCs w:val="22"/>
        </w:rPr>
        <w:t>né s odkazem na příslušný úřad.</w:t>
      </w:r>
    </w:p>
    <w:p w:rsidR="00585F26" w:rsidRPr="00E877AA" w:rsidRDefault="0068436B" w:rsidP="00166E77">
      <w:pPr>
        <w:pStyle w:val="Bntextzprvy"/>
        <w:rPr>
          <w:rFonts w:cs="Arial"/>
          <w:szCs w:val="22"/>
        </w:rPr>
      </w:pPr>
      <w:r w:rsidRPr="00E877AA">
        <w:rPr>
          <w:rFonts w:cs="Arial"/>
          <w:szCs w:val="22"/>
        </w:rPr>
        <w:t>V odpovědích na dotazy v</w:t>
      </w:r>
      <w:r w:rsidR="00C97ED3" w:rsidRPr="00E877AA">
        <w:rPr>
          <w:rFonts w:cs="Arial"/>
          <w:szCs w:val="22"/>
        </w:rPr>
        <w:t> </w:t>
      </w:r>
      <w:r w:rsidRPr="00E877AA">
        <w:rPr>
          <w:rFonts w:cs="Arial"/>
          <w:szCs w:val="22"/>
        </w:rPr>
        <w:t xml:space="preserve">působnosti finančního arbitra, každý tazatel obdrží předběžné posouzení, zda spor do působnosti finančního arbitra spadá či nikoli, podrobné poučení o náležitostech návrhu na zahájení řízení a přehled podkladů, které by měl k návrhu připojit. </w:t>
      </w:r>
    </w:p>
    <w:p w:rsidR="0068436B" w:rsidRPr="00E877AA" w:rsidRDefault="0068436B" w:rsidP="00166E77">
      <w:pPr>
        <w:pStyle w:val="Bntextzprvy"/>
        <w:rPr>
          <w:rFonts w:cs="Arial"/>
          <w:szCs w:val="22"/>
        </w:rPr>
      </w:pPr>
      <w:r w:rsidRPr="00E877AA">
        <w:rPr>
          <w:rFonts w:cs="Arial"/>
          <w:szCs w:val="22"/>
        </w:rPr>
        <w:t xml:space="preserve">Finanční arbitr přijal v roce </w:t>
      </w:r>
      <w:r w:rsidR="00336C9B" w:rsidRPr="00E877AA">
        <w:rPr>
          <w:rFonts w:cs="Arial"/>
          <w:szCs w:val="22"/>
        </w:rPr>
        <w:t xml:space="preserve">2018 </w:t>
      </w:r>
      <w:r w:rsidR="00045439" w:rsidRPr="00E877AA">
        <w:rPr>
          <w:rFonts w:cs="Arial"/>
          <w:szCs w:val="22"/>
        </w:rPr>
        <w:t>přes</w:t>
      </w:r>
      <w:r w:rsidRPr="00E877AA">
        <w:rPr>
          <w:rFonts w:cs="Arial"/>
          <w:szCs w:val="22"/>
        </w:rPr>
        <w:t xml:space="preserve"> </w:t>
      </w:r>
      <w:r w:rsidR="00336C9B" w:rsidRPr="00E877AA">
        <w:rPr>
          <w:rFonts w:cs="Arial"/>
          <w:szCs w:val="22"/>
        </w:rPr>
        <w:t>5 </w:t>
      </w:r>
      <w:r w:rsidRPr="00E877AA">
        <w:rPr>
          <w:rFonts w:cs="Arial"/>
          <w:szCs w:val="22"/>
        </w:rPr>
        <w:t>000 dotazů (včetně telefonických). Písemné odpovědi na dotazy vyřizoval finanční arbitr bez zbytečného odkladu, nejčastěji v řádu několika dnů.</w:t>
      </w:r>
    </w:p>
    <w:p w:rsidR="00F7603F" w:rsidRPr="00E877AA" w:rsidRDefault="00F7603F" w:rsidP="00166E77">
      <w:pPr>
        <w:pStyle w:val="Mezinadpis"/>
        <w:rPr>
          <w:rFonts w:ascii="Arial" w:hAnsi="Arial" w:cs="Arial"/>
          <w:sz w:val="22"/>
          <w:szCs w:val="22"/>
        </w:rPr>
      </w:pPr>
      <w:r w:rsidRPr="00E877AA">
        <w:rPr>
          <w:rFonts w:ascii="Arial" w:hAnsi="Arial" w:cs="Arial"/>
          <w:sz w:val="22"/>
          <w:szCs w:val="22"/>
        </w:rPr>
        <w:t>Informační povinnosti finančního arbitra</w:t>
      </w:r>
    </w:p>
    <w:p w:rsidR="00EE227B" w:rsidRPr="00E877AA" w:rsidRDefault="00EE227B" w:rsidP="00166E77">
      <w:pPr>
        <w:pStyle w:val="Bntextzprvy"/>
        <w:rPr>
          <w:rFonts w:cs="Arial"/>
          <w:szCs w:val="22"/>
        </w:rPr>
      </w:pPr>
      <w:r w:rsidRPr="00E877AA">
        <w:rPr>
          <w:rFonts w:cs="Arial"/>
          <w:szCs w:val="22"/>
        </w:rPr>
        <w:t>F</w:t>
      </w:r>
      <w:r w:rsidR="00F7603F" w:rsidRPr="00E877AA">
        <w:rPr>
          <w:rFonts w:cs="Arial"/>
          <w:szCs w:val="22"/>
        </w:rPr>
        <w:t xml:space="preserve">inanční arbitr </w:t>
      </w:r>
      <w:r w:rsidRPr="00E877AA">
        <w:rPr>
          <w:rFonts w:cs="Arial"/>
          <w:szCs w:val="22"/>
        </w:rPr>
        <w:t xml:space="preserve">je </w:t>
      </w:r>
      <w:r w:rsidR="00F7603F" w:rsidRPr="00E877AA">
        <w:rPr>
          <w:rFonts w:cs="Arial"/>
          <w:szCs w:val="22"/>
        </w:rPr>
        <w:t xml:space="preserve">povinen </w:t>
      </w:r>
      <w:r w:rsidRPr="00E877AA">
        <w:rPr>
          <w:rFonts w:cs="Arial"/>
          <w:szCs w:val="22"/>
        </w:rPr>
        <w:t xml:space="preserve">pro širokou veřejnost </w:t>
      </w:r>
      <w:r w:rsidR="00F7603F" w:rsidRPr="00E877AA">
        <w:rPr>
          <w:rFonts w:cs="Arial"/>
          <w:szCs w:val="22"/>
        </w:rPr>
        <w:t>o své činnosti vypracovat výroční zprávu</w:t>
      </w:r>
      <w:r w:rsidR="005050CA" w:rsidRPr="00E877AA">
        <w:rPr>
          <w:rFonts w:cs="Arial"/>
          <w:szCs w:val="22"/>
        </w:rPr>
        <w:t xml:space="preserve"> o své činnosti. </w:t>
      </w:r>
      <w:r w:rsidRPr="00E877AA">
        <w:rPr>
          <w:rFonts w:cs="Arial"/>
          <w:szCs w:val="22"/>
        </w:rPr>
        <w:t>Výroční zprávu</w:t>
      </w:r>
      <w:r w:rsidR="005050CA" w:rsidRPr="00E877AA">
        <w:rPr>
          <w:rFonts w:cs="Arial"/>
          <w:szCs w:val="22"/>
        </w:rPr>
        <w:t xml:space="preserve"> zejména s</w:t>
      </w:r>
      <w:r w:rsidR="00C97ED3" w:rsidRPr="00E877AA">
        <w:rPr>
          <w:rFonts w:cs="Arial"/>
          <w:szCs w:val="22"/>
        </w:rPr>
        <w:t> </w:t>
      </w:r>
      <w:r w:rsidR="005050CA" w:rsidRPr="00E877AA">
        <w:rPr>
          <w:rFonts w:cs="Arial"/>
          <w:szCs w:val="22"/>
        </w:rPr>
        <w:t xml:space="preserve">podrobnými informacemi o počtu vedených řízení a způsobu vyřešení sporů, </w:t>
      </w:r>
      <w:r w:rsidRPr="00E877AA">
        <w:rPr>
          <w:rFonts w:cs="Arial"/>
          <w:szCs w:val="22"/>
        </w:rPr>
        <w:t xml:space="preserve">včetně popisu vybraných projednávaných sporů je finanční arbitr povinen vhodným způsobem </w:t>
      </w:r>
      <w:r w:rsidR="005050CA" w:rsidRPr="00E877AA">
        <w:rPr>
          <w:rFonts w:cs="Arial"/>
          <w:szCs w:val="22"/>
        </w:rPr>
        <w:t xml:space="preserve">umožňujícím dálkový přístup uveřejnit </w:t>
      </w:r>
      <w:r w:rsidRPr="00E877AA">
        <w:rPr>
          <w:rFonts w:cs="Arial"/>
          <w:szCs w:val="22"/>
        </w:rPr>
        <w:t>jednou ročně, nejpozději do 30.</w:t>
      </w:r>
      <w:r w:rsidR="0031354F" w:rsidRPr="00E877AA">
        <w:rPr>
          <w:rFonts w:cs="Arial"/>
          <w:szCs w:val="22"/>
        </w:rPr>
        <w:t> </w:t>
      </w:r>
      <w:r w:rsidRPr="00E877AA">
        <w:rPr>
          <w:rFonts w:cs="Arial"/>
          <w:szCs w:val="22"/>
        </w:rPr>
        <w:t>června následujícího kalendářního roku.</w:t>
      </w:r>
    </w:p>
    <w:p w:rsidR="005050CA" w:rsidRPr="00E877AA" w:rsidRDefault="00F7603F" w:rsidP="00166E77">
      <w:pPr>
        <w:pStyle w:val="Bntextzprvy"/>
        <w:rPr>
          <w:rFonts w:cs="Arial"/>
          <w:szCs w:val="22"/>
        </w:rPr>
      </w:pPr>
      <w:r w:rsidRPr="00E877AA">
        <w:rPr>
          <w:rFonts w:cs="Arial"/>
          <w:szCs w:val="22"/>
        </w:rPr>
        <w:t xml:space="preserve">Všechny výroční zprávy o činnosti finančního arbitra jsou uveřejněny a jsou také přístupné na webových stránkách Kanceláře finančního arbitra, adresa </w:t>
      </w:r>
      <w:hyperlink r:id="rId28" w:history="1">
        <w:r w:rsidR="00B12F75" w:rsidRPr="00E877AA">
          <w:rPr>
            <w:rStyle w:val="Hypertextovodkaz"/>
            <w:rFonts w:cs="Arial"/>
            <w:szCs w:val="22"/>
          </w:rPr>
          <w:t>http://www.finarbitr.cz/cs/informace-pro-verejnost/vyrocni-zpravy.html</w:t>
        </w:r>
      </w:hyperlink>
      <w:r w:rsidR="006E3417" w:rsidRPr="00E877AA">
        <w:rPr>
          <w:rFonts w:cs="Arial"/>
          <w:szCs w:val="22"/>
        </w:rPr>
        <w:t>.</w:t>
      </w:r>
    </w:p>
    <w:p w:rsidR="00F7603F" w:rsidRPr="00E877AA" w:rsidRDefault="00F7603F" w:rsidP="00166E77">
      <w:pPr>
        <w:pStyle w:val="Bntextzprvy"/>
        <w:rPr>
          <w:rFonts w:cs="Arial"/>
          <w:szCs w:val="22"/>
        </w:rPr>
      </w:pPr>
      <w:r w:rsidRPr="00E877AA">
        <w:rPr>
          <w:rFonts w:cs="Arial"/>
          <w:szCs w:val="22"/>
        </w:rPr>
        <w:t>Veřej</w:t>
      </w:r>
      <w:r w:rsidR="00E60EFF" w:rsidRPr="00E877AA">
        <w:rPr>
          <w:rFonts w:cs="Arial"/>
          <w:szCs w:val="22"/>
        </w:rPr>
        <w:t xml:space="preserve">nost finanční arbitr o své činnosti </w:t>
      </w:r>
      <w:r w:rsidRPr="00E877AA">
        <w:rPr>
          <w:rFonts w:cs="Arial"/>
          <w:szCs w:val="22"/>
        </w:rPr>
        <w:t>inform</w:t>
      </w:r>
      <w:r w:rsidR="00E60EFF" w:rsidRPr="00E877AA">
        <w:rPr>
          <w:rFonts w:cs="Arial"/>
          <w:szCs w:val="22"/>
        </w:rPr>
        <w:t>uje</w:t>
      </w:r>
      <w:r w:rsidRPr="00E877AA">
        <w:rPr>
          <w:rFonts w:cs="Arial"/>
          <w:szCs w:val="22"/>
        </w:rPr>
        <w:t xml:space="preserve"> i prostřednictvím výroční zprávy o poskytování informací podle zákona č.</w:t>
      </w:r>
      <w:r w:rsidR="003205A1" w:rsidRPr="00E877AA">
        <w:rPr>
          <w:rFonts w:cs="Arial"/>
          <w:szCs w:val="22"/>
        </w:rPr>
        <w:t> </w:t>
      </w:r>
      <w:r w:rsidRPr="00E877AA">
        <w:rPr>
          <w:rFonts w:cs="Arial"/>
          <w:szCs w:val="22"/>
        </w:rPr>
        <w:t xml:space="preserve">106/1999 Sb., tiskových zpráv, informací uveřejňovaných na svých internetových stránkách, </w:t>
      </w:r>
      <w:r w:rsidR="0061460E" w:rsidRPr="00E877AA">
        <w:rPr>
          <w:rFonts w:cs="Arial"/>
          <w:szCs w:val="22"/>
        </w:rPr>
        <w:t>informací poskytovaných médiím.</w:t>
      </w:r>
    </w:p>
    <w:p w:rsidR="00487EFD" w:rsidRPr="00E877AA" w:rsidRDefault="005050CA" w:rsidP="00166E77">
      <w:pPr>
        <w:pStyle w:val="Bntextzprvy"/>
        <w:rPr>
          <w:rFonts w:cs="Arial"/>
          <w:szCs w:val="22"/>
        </w:rPr>
      </w:pPr>
      <w:r w:rsidRPr="00E877AA">
        <w:rPr>
          <w:rFonts w:cs="Arial"/>
          <w:szCs w:val="22"/>
        </w:rPr>
        <w:t xml:space="preserve">Finanční arbitr podle potřeby informuje o zjištěných nedostatcích orgány dohledu </w:t>
      </w:r>
      <w:r w:rsidR="00487EFD" w:rsidRPr="00E877AA">
        <w:rPr>
          <w:rFonts w:cs="Arial"/>
          <w:szCs w:val="22"/>
        </w:rPr>
        <w:t xml:space="preserve">nebo státního dozoru </w:t>
      </w:r>
      <w:r w:rsidRPr="00E877AA">
        <w:rPr>
          <w:rFonts w:cs="Arial"/>
          <w:szCs w:val="22"/>
        </w:rPr>
        <w:t xml:space="preserve">nad </w:t>
      </w:r>
      <w:r w:rsidR="00487EFD" w:rsidRPr="00E877AA">
        <w:rPr>
          <w:rFonts w:cs="Arial"/>
          <w:szCs w:val="22"/>
        </w:rPr>
        <w:t xml:space="preserve">finančními </w:t>
      </w:r>
      <w:r w:rsidRPr="00E877AA">
        <w:rPr>
          <w:rFonts w:cs="Arial"/>
          <w:szCs w:val="22"/>
        </w:rPr>
        <w:t xml:space="preserve">institucemi, </w:t>
      </w:r>
      <w:r w:rsidR="00487EFD" w:rsidRPr="00E877AA">
        <w:rPr>
          <w:rFonts w:cs="Arial"/>
          <w:szCs w:val="22"/>
        </w:rPr>
        <w:t>se kterými vedl finanční arbit</w:t>
      </w:r>
      <w:r w:rsidR="00FA6A30" w:rsidRPr="00E877AA">
        <w:rPr>
          <w:rFonts w:cs="Arial"/>
          <w:szCs w:val="22"/>
        </w:rPr>
        <w:t>r na návrh spotřebitelů řízení.</w:t>
      </w:r>
    </w:p>
    <w:p w:rsidR="00EE227B" w:rsidRPr="00E877AA" w:rsidRDefault="00A35D32" w:rsidP="00166E77">
      <w:pPr>
        <w:pStyle w:val="Bntextzprvy"/>
        <w:rPr>
          <w:rFonts w:cs="Arial"/>
          <w:szCs w:val="22"/>
        </w:rPr>
      </w:pPr>
      <w:r w:rsidRPr="00E877AA">
        <w:rPr>
          <w:color w:val="000000"/>
        </w:rPr>
        <w:t>Finanční arbitr předkládá Poslanecké sněmovně a vládě jedenkrát ročně, a to vždy do 31.</w:t>
      </w:r>
      <w:r w:rsidR="009B6B05" w:rsidRPr="00E877AA">
        <w:rPr>
          <w:color w:val="000000"/>
        </w:rPr>
        <w:t> </w:t>
      </w:r>
      <w:r w:rsidRPr="00E877AA">
        <w:rPr>
          <w:color w:val="000000"/>
        </w:rPr>
        <w:t>března za uplynulý kalendářní rok, zprávu o své činnosti, která obsahuje rovněž informaci o nákladech vynaložených na zajištění výkonu činnosti. Zpráva má obsahovat též informace o projednávaných sporech bez uvedení iden</w:t>
      </w:r>
      <w:r w:rsidR="00FA6A30" w:rsidRPr="00E877AA">
        <w:rPr>
          <w:color w:val="000000"/>
        </w:rPr>
        <w:t>tifikačních údajů navrhovatelů.</w:t>
      </w:r>
    </w:p>
    <w:p w:rsidR="00D67EB1" w:rsidRPr="00E877AA" w:rsidRDefault="00487EFD" w:rsidP="00166E77">
      <w:pPr>
        <w:pStyle w:val="Bntextzprvy"/>
        <w:rPr>
          <w:rFonts w:cs="Arial"/>
          <w:szCs w:val="22"/>
        </w:rPr>
      </w:pPr>
      <w:r w:rsidRPr="00E877AA">
        <w:rPr>
          <w:rFonts w:cs="Arial"/>
          <w:szCs w:val="22"/>
        </w:rPr>
        <w:t>Povinnost informovat navrhovatele o možnosti poskytování pomoci v řízení před finančním arbitrem a o svém postupu při rozhodování podle zákona o finančním arbitrovi a o projednávaných sporech plní finanční arbitr prostřednictvím individuálních úkonů v jednotlivých řízení</w:t>
      </w:r>
      <w:r w:rsidR="000249E5" w:rsidRPr="00E877AA">
        <w:rPr>
          <w:rFonts w:cs="Arial"/>
          <w:szCs w:val="22"/>
        </w:rPr>
        <w:t>ch</w:t>
      </w:r>
      <w:r w:rsidRPr="00E877AA">
        <w:rPr>
          <w:rFonts w:cs="Arial"/>
          <w:szCs w:val="22"/>
        </w:rPr>
        <w:t xml:space="preserve">, v rámci odpovídání na dotazy veřejnosti a především prostřednictvím </w:t>
      </w:r>
      <w:r w:rsidR="0004176C" w:rsidRPr="00E877AA">
        <w:rPr>
          <w:rFonts w:cs="Arial"/>
          <w:szCs w:val="22"/>
        </w:rPr>
        <w:t>internetových stránek, které Kancelář finančního arbitra provozuje</w:t>
      </w:r>
      <w:r w:rsidRPr="00E877AA">
        <w:rPr>
          <w:rFonts w:cs="Arial"/>
          <w:szCs w:val="22"/>
        </w:rPr>
        <w:t>.</w:t>
      </w:r>
    </w:p>
    <w:p w:rsidR="00F7603F" w:rsidRPr="00E877AA" w:rsidRDefault="00F7603F" w:rsidP="00166E77">
      <w:pPr>
        <w:pStyle w:val="Mezinadpis"/>
        <w:rPr>
          <w:rFonts w:ascii="Arial" w:hAnsi="Arial" w:cs="Arial"/>
          <w:sz w:val="22"/>
          <w:szCs w:val="22"/>
        </w:rPr>
      </w:pPr>
      <w:r w:rsidRPr="00E877AA">
        <w:rPr>
          <w:rFonts w:ascii="Arial" w:hAnsi="Arial" w:cs="Arial"/>
          <w:sz w:val="22"/>
          <w:szCs w:val="22"/>
        </w:rPr>
        <w:t>Sbírka rozhodnutí</w:t>
      </w:r>
    </w:p>
    <w:p w:rsidR="00AB45CE" w:rsidRPr="00E877AA" w:rsidRDefault="0006063F" w:rsidP="0006063F">
      <w:pPr>
        <w:pStyle w:val="Normlnweb"/>
        <w:jc w:val="both"/>
        <w:rPr>
          <w:rFonts w:cs="Arial"/>
          <w:szCs w:val="22"/>
        </w:rPr>
      </w:pPr>
      <w:r w:rsidRPr="00E877AA">
        <w:rPr>
          <w:rFonts w:ascii="Arial" w:hAnsi="Arial" w:cs="Arial"/>
          <w:sz w:val="22"/>
          <w:szCs w:val="22"/>
        </w:rPr>
        <w:t>Tak jako v předešlých letech, také v roce 2018</w:t>
      </w:r>
      <w:r w:rsidR="0018742F" w:rsidRPr="00E877AA">
        <w:rPr>
          <w:rFonts w:ascii="Arial" w:hAnsi="Arial" w:cs="Arial"/>
          <w:sz w:val="22"/>
          <w:szCs w:val="22"/>
        </w:rPr>
        <w:t xml:space="preserve"> pokračoval </w:t>
      </w:r>
      <w:r w:rsidR="00F7603F" w:rsidRPr="00E877AA">
        <w:rPr>
          <w:rFonts w:ascii="Arial" w:hAnsi="Arial" w:cs="Arial"/>
          <w:sz w:val="22"/>
          <w:szCs w:val="22"/>
        </w:rPr>
        <w:t xml:space="preserve">finanční arbitr </w:t>
      </w:r>
      <w:r w:rsidR="0018742F" w:rsidRPr="00E877AA">
        <w:rPr>
          <w:rFonts w:ascii="Arial" w:hAnsi="Arial" w:cs="Arial"/>
          <w:sz w:val="22"/>
          <w:szCs w:val="22"/>
        </w:rPr>
        <w:t xml:space="preserve">v uveřejňování </w:t>
      </w:r>
      <w:r w:rsidR="00DF2C0A" w:rsidRPr="00E877AA">
        <w:rPr>
          <w:rFonts w:ascii="Arial" w:hAnsi="Arial" w:cs="Arial"/>
          <w:sz w:val="22"/>
          <w:szCs w:val="22"/>
        </w:rPr>
        <w:t>úpln</w:t>
      </w:r>
      <w:r w:rsidR="0018742F" w:rsidRPr="00E877AA">
        <w:rPr>
          <w:rFonts w:ascii="Arial" w:hAnsi="Arial" w:cs="Arial"/>
          <w:sz w:val="22"/>
          <w:szCs w:val="22"/>
        </w:rPr>
        <w:t>ých</w:t>
      </w:r>
      <w:r w:rsidR="00DF2C0A" w:rsidRPr="00E877AA">
        <w:rPr>
          <w:rFonts w:ascii="Arial" w:hAnsi="Arial" w:cs="Arial"/>
          <w:sz w:val="22"/>
          <w:szCs w:val="22"/>
        </w:rPr>
        <w:t xml:space="preserve"> znění </w:t>
      </w:r>
      <w:r w:rsidR="00F7603F" w:rsidRPr="00E877AA">
        <w:rPr>
          <w:rFonts w:ascii="Arial" w:hAnsi="Arial" w:cs="Arial"/>
          <w:sz w:val="22"/>
          <w:szCs w:val="22"/>
        </w:rPr>
        <w:t>vybran</w:t>
      </w:r>
      <w:r w:rsidR="00DF2C0A" w:rsidRPr="00E877AA">
        <w:rPr>
          <w:rFonts w:ascii="Arial" w:hAnsi="Arial" w:cs="Arial"/>
          <w:sz w:val="22"/>
          <w:szCs w:val="22"/>
        </w:rPr>
        <w:t>ých</w:t>
      </w:r>
      <w:r w:rsidR="00F7603F" w:rsidRPr="00E877AA">
        <w:rPr>
          <w:rFonts w:ascii="Arial" w:hAnsi="Arial" w:cs="Arial"/>
          <w:sz w:val="22"/>
          <w:szCs w:val="22"/>
        </w:rPr>
        <w:t xml:space="preserve"> rozhodnutí ve</w:t>
      </w:r>
      <w:r w:rsidR="0018742F" w:rsidRPr="00E877AA">
        <w:rPr>
          <w:rFonts w:ascii="Arial" w:hAnsi="Arial" w:cs="Arial"/>
          <w:sz w:val="22"/>
          <w:szCs w:val="22"/>
        </w:rPr>
        <w:t> </w:t>
      </w:r>
      <w:r w:rsidR="00F7603F" w:rsidRPr="00E877AA">
        <w:rPr>
          <w:rFonts w:ascii="Arial" w:hAnsi="Arial" w:cs="Arial"/>
          <w:sz w:val="22"/>
          <w:szCs w:val="22"/>
        </w:rPr>
        <w:t>Sbírce rozhodnutí, která je umístěna na webových stránkách</w:t>
      </w:r>
      <w:r w:rsidR="00F7603F" w:rsidRPr="00E877AA">
        <w:rPr>
          <w:rFonts w:cs="Arial"/>
          <w:szCs w:val="22"/>
        </w:rPr>
        <w:t xml:space="preserve"> </w:t>
      </w:r>
      <w:r w:rsidRPr="00E877AA">
        <w:rPr>
          <w:rFonts w:ascii="Arial" w:hAnsi="Arial" w:cs="Arial"/>
          <w:sz w:val="22"/>
          <w:szCs w:val="22"/>
        </w:rPr>
        <w:t>finančního arbitra</w:t>
      </w:r>
      <w:r w:rsidRPr="00E877AA">
        <w:rPr>
          <w:rFonts w:cs="Arial"/>
          <w:szCs w:val="22"/>
        </w:rPr>
        <w:t xml:space="preserve">. </w:t>
      </w:r>
      <w:r w:rsidRPr="00E877AA">
        <w:rPr>
          <w:rFonts w:ascii="Arial" w:hAnsi="Arial" w:cs="Arial"/>
          <w:sz w:val="22"/>
          <w:szCs w:val="22"/>
        </w:rPr>
        <w:t xml:space="preserve">Ve Sbírce rozhodnutí lze vyhledávat pomocí fulltextového vyhledávání zadáním spisové značky nebo klíčových slov. Všechna uvedená rozhodnutí jsou dostupná v anonymizované podobě zde: </w:t>
      </w:r>
      <w:hyperlink r:id="rId29" w:history="1">
        <w:r w:rsidRPr="00E877AA">
          <w:rPr>
            <w:rStyle w:val="Hypertextovodkaz"/>
            <w:rFonts w:ascii="Arial" w:hAnsi="Arial" w:cs="Arial"/>
            <w:sz w:val="22"/>
            <w:szCs w:val="22"/>
          </w:rPr>
          <w:t>http://www.finarbitr.cz/cs/reseni-sporu/sbirka-rozhodnuti.html</w:t>
        </w:r>
      </w:hyperlink>
      <w:r w:rsidRPr="00E877AA">
        <w:rPr>
          <w:rFonts w:ascii="Arial" w:hAnsi="Arial" w:cs="Arial"/>
          <w:sz w:val="22"/>
          <w:szCs w:val="22"/>
        </w:rPr>
        <w:t xml:space="preserve"> </w:t>
      </w:r>
      <w:r w:rsidR="00FA6A30" w:rsidRPr="00E877AA">
        <w:rPr>
          <w:rFonts w:ascii="Arial" w:hAnsi="Arial" w:cs="Arial"/>
          <w:sz w:val="22"/>
          <w:szCs w:val="22"/>
        </w:rPr>
        <w:t>.</w:t>
      </w:r>
    </w:p>
    <w:p w:rsidR="00AB45CE" w:rsidRPr="00E877AA" w:rsidRDefault="0018742F" w:rsidP="00166E77">
      <w:pPr>
        <w:pStyle w:val="Bntextzprvy"/>
        <w:rPr>
          <w:rFonts w:cs="Arial"/>
          <w:szCs w:val="22"/>
        </w:rPr>
      </w:pPr>
      <w:r w:rsidRPr="00E877AA">
        <w:rPr>
          <w:rFonts w:cs="Arial"/>
          <w:szCs w:val="22"/>
        </w:rPr>
        <w:t xml:space="preserve">Finanční arbitr vždy </w:t>
      </w:r>
      <w:r w:rsidR="00AB45CE" w:rsidRPr="00E877AA">
        <w:rPr>
          <w:rFonts w:cs="Arial"/>
          <w:szCs w:val="22"/>
        </w:rPr>
        <w:t>uveřejňuj</w:t>
      </w:r>
      <w:r w:rsidRPr="00E877AA">
        <w:rPr>
          <w:rFonts w:cs="Arial"/>
          <w:szCs w:val="22"/>
        </w:rPr>
        <w:t>e</w:t>
      </w:r>
      <w:r w:rsidR="00AB45CE" w:rsidRPr="00E877AA">
        <w:rPr>
          <w:rFonts w:cs="Arial"/>
          <w:szCs w:val="22"/>
        </w:rPr>
        <w:t xml:space="preserve"> rozhodnutí ve věci, tedy nález nebo i rozhodnutí o námitkách</w:t>
      </w:r>
      <w:r w:rsidRPr="00E877AA">
        <w:rPr>
          <w:rFonts w:cs="Arial"/>
          <w:szCs w:val="22"/>
        </w:rPr>
        <w:t>, které jsou co do nároku, o kterém finanční arbitr rozhodoval, nové nebo jakkoli užitečné pro laickou i odbornou veřejnost</w:t>
      </w:r>
      <w:r w:rsidR="00AB45CE" w:rsidRPr="00E877AA">
        <w:rPr>
          <w:rFonts w:cs="Arial"/>
          <w:szCs w:val="22"/>
        </w:rPr>
        <w:t>. Uveřejňují se i rozhodnutí o uložení pokuty za nesoučinnost instituce v řízení před finančním arbitrem. Ve Sbírce rozhodnutí se neuveřejňují usnesení o</w:t>
      </w:r>
      <w:r w:rsidR="005C6CAF" w:rsidRPr="00E877AA">
        <w:rPr>
          <w:rFonts w:cs="Arial"/>
          <w:szCs w:val="22"/>
        </w:rPr>
        <w:t> </w:t>
      </w:r>
      <w:r w:rsidR="00AB45CE" w:rsidRPr="00E877AA">
        <w:rPr>
          <w:rFonts w:cs="Arial"/>
          <w:szCs w:val="22"/>
        </w:rPr>
        <w:t xml:space="preserve">zastavení řízení pro zpětvzetí </w:t>
      </w:r>
      <w:r w:rsidRPr="00E877AA">
        <w:rPr>
          <w:rFonts w:cs="Arial"/>
          <w:szCs w:val="22"/>
        </w:rPr>
        <w:t xml:space="preserve">nebo bezpředmětnost návrhu na zahájení řízení, stejně jako usnesení </w:t>
      </w:r>
      <w:r w:rsidR="00FA6A30" w:rsidRPr="00E877AA">
        <w:rPr>
          <w:rFonts w:cs="Arial"/>
          <w:szCs w:val="22"/>
        </w:rPr>
        <w:t xml:space="preserve">o </w:t>
      </w:r>
      <w:r w:rsidRPr="00E877AA">
        <w:rPr>
          <w:rFonts w:cs="Arial"/>
          <w:szCs w:val="22"/>
        </w:rPr>
        <w:t xml:space="preserve">zastavení řízení </w:t>
      </w:r>
      <w:r w:rsidRPr="00E877AA">
        <w:rPr>
          <w:rFonts w:cs="Arial"/>
          <w:szCs w:val="22"/>
        </w:rPr>
        <w:lastRenderedPageBreak/>
        <w:t>pro nesoučinnost navrhovatele</w:t>
      </w:r>
      <w:r w:rsidR="00AB45CE" w:rsidRPr="00E877AA">
        <w:rPr>
          <w:rFonts w:cs="Arial"/>
          <w:szCs w:val="22"/>
        </w:rPr>
        <w:t>. Usnesení o zastavení řízení pro</w:t>
      </w:r>
      <w:r w:rsidR="005C6CAF" w:rsidRPr="00E877AA">
        <w:rPr>
          <w:rFonts w:cs="Arial"/>
          <w:szCs w:val="22"/>
        </w:rPr>
        <w:t> </w:t>
      </w:r>
      <w:r w:rsidR="00AB45CE" w:rsidRPr="00E877AA">
        <w:rPr>
          <w:rFonts w:cs="Arial"/>
          <w:szCs w:val="22"/>
        </w:rPr>
        <w:t xml:space="preserve">nepřípustnost návrhu se uveřejňují jen tehdy, mají-li informační hodnotu pro </w:t>
      </w:r>
      <w:r w:rsidR="00934BC3" w:rsidRPr="00E877AA">
        <w:rPr>
          <w:rFonts w:cs="Arial"/>
          <w:szCs w:val="22"/>
        </w:rPr>
        <w:t>veřejnost</w:t>
      </w:r>
      <w:r w:rsidR="00FA6A30" w:rsidRPr="00E877AA">
        <w:rPr>
          <w:rFonts w:cs="Arial"/>
          <w:szCs w:val="22"/>
        </w:rPr>
        <w:t>.</w:t>
      </w:r>
    </w:p>
    <w:p w:rsidR="000249E5" w:rsidRPr="00E877AA" w:rsidRDefault="009A1A74" w:rsidP="00166E77">
      <w:pPr>
        <w:pStyle w:val="Bntextzprvy"/>
        <w:rPr>
          <w:rFonts w:cs="Arial"/>
          <w:szCs w:val="22"/>
        </w:rPr>
      </w:pPr>
      <w:r w:rsidRPr="00E877AA">
        <w:rPr>
          <w:rFonts w:cs="Arial"/>
          <w:szCs w:val="22"/>
        </w:rPr>
        <w:t>Uveřejňovaná r</w:t>
      </w:r>
      <w:r w:rsidR="00F7603F" w:rsidRPr="00E877AA">
        <w:rPr>
          <w:rFonts w:cs="Arial"/>
          <w:szCs w:val="22"/>
        </w:rPr>
        <w:t>ozhodnutí jsou</w:t>
      </w:r>
      <w:r w:rsidRPr="00E877AA">
        <w:rPr>
          <w:rFonts w:cs="Arial"/>
          <w:szCs w:val="22"/>
        </w:rPr>
        <w:t xml:space="preserve"> ve Sbírce rozhodnutí</w:t>
      </w:r>
      <w:r w:rsidR="00F7603F" w:rsidRPr="00E877AA">
        <w:rPr>
          <w:rFonts w:cs="Arial"/>
          <w:szCs w:val="22"/>
        </w:rPr>
        <w:t xml:space="preserve"> označena typem rozhodnutí (nález, rozhodnutí o námitkách, usnesení</w:t>
      </w:r>
      <w:r w:rsidRPr="00E877AA">
        <w:rPr>
          <w:rFonts w:cs="Arial"/>
          <w:szCs w:val="22"/>
        </w:rPr>
        <w:t>, rozhodnutí</w:t>
      </w:r>
      <w:r w:rsidR="00F7603F" w:rsidRPr="00E877AA">
        <w:rPr>
          <w:rFonts w:cs="Arial"/>
          <w:szCs w:val="22"/>
        </w:rPr>
        <w:t>), registračním číslem nebo spisovou značkou, evidenčním číslem, datem vydání rozhodnutí a</w:t>
      </w:r>
      <w:r w:rsidR="009F5B3B" w:rsidRPr="00E877AA">
        <w:rPr>
          <w:rFonts w:cs="Arial"/>
          <w:szCs w:val="22"/>
        </w:rPr>
        <w:t> </w:t>
      </w:r>
      <w:r w:rsidR="00F7603F" w:rsidRPr="00E877AA">
        <w:rPr>
          <w:rFonts w:cs="Arial"/>
          <w:szCs w:val="22"/>
        </w:rPr>
        <w:t>obchodní firmou nebo jménem instituce, proti které návrh na</w:t>
      </w:r>
      <w:r w:rsidRPr="00E877AA">
        <w:rPr>
          <w:rFonts w:cs="Arial"/>
          <w:szCs w:val="22"/>
        </w:rPr>
        <w:t> </w:t>
      </w:r>
      <w:r w:rsidR="00F7603F" w:rsidRPr="00E877AA">
        <w:rPr>
          <w:rFonts w:cs="Arial"/>
          <w:szCs w:val="22"/>
        </w:rPr>
        <w:t>zahájení řízení před finančním arbitrem směřoval.</w:t>
      </w:r>
      <w:r w:rsidR="009F5B3B" w:rsidRPr="00E877AA">
        <w:rPr>
          <w:rFonts w:cs="Arial"/>
          <w:szCs w:val="22"/>
        </w:rPr>
        <w:t xml:space="preserve"> </w:t>
      </w:r>
      <w:r w:rsidR="00F7603F" w:rsidRPr="00E877AA">
        <w:rPr>
          <w:rFonts w:cs="Arial"/>
          <w:szCs w:val="22"/>
        </w:rPr>
        <w:t>V souladu s § 8a zákona o svobodném přístupu k informacím a v souladu s</w:t>
      </w:r>
      <w:r w:rsidR="009F5B3B" w:rsidRPr="00E877AA">
        <w:rPr>
          <w:rFonts w:cs="Arial"/>
          <w:szCs w:val="22"/>
        </w:rPr>
        <w:t> </w:t>
      </w:r>
      <w:r w:rsidR="00F7603F" w:rsidRPr="00E877AA">
        <w:rPr>
          <w:rFonts w:cs="Arial"/>
          <w:szCs w:val="22"/>
        </w:rPr>
        <w:t>ustanovením § 21 odst. 6 zákona o finančním arbitrovi publikované části rozhodnutí neobsahují osobní ani jiné identifikační údaje navrhovatelů.</w:t>
      </w:r>
      <w:r w:rsidRPr="00E877AA">
        <w:rPr>
          <w:rFonts w:cs="Arial"/>
          <w:szCs w:val="22"/>
        </w:rPr>
        <w:t xml:space="preserve"> Rozhodnutí lze vyhledávat podle jednotlivých oblastí nebo formou fulltextového vyhledávání.</w:t>
      </w:r>
    </w:p>
    <w:p w:rsidR="000249E5" w:rsidRPr="00E877AA" w:rsidRDefault="000249E5" w:rsidP="00166E77">
      <w:pPr>
        <w:pStyle w:val="Bntextzprvy"/>
        <w:rPr>
          <w:rFonts w:cs="Arial"/>
          <w:szCs w:val="22"/>
        </w:rPr>
      </w:pPr>
      <w:r w:rsidRPr="00E877AA">
        <w:rPr>
          <w:rFonts w:cs="Arial"/>
          <w:szCs w:val="22"/>
        </w:rPr>
        <w:t>Finanční arbitr pokračoval v naplňování Sbírky rozhodnutí na svých internetových stránkách a</w:t>
      </w:r>
      <w:r w:rsidR="002940ED" w:rsidRPr="00E877AA">
        <w:rPr>
          <w:rFonts w:cs="Arial"/>
          <w:szCs w:val="22"/>
        </w:rPr>
        <w:t> </w:t>
      </w:r>
      <w:r w:rsidRPr="00E877AA">
        <w:rPr>
          <w:rFonts w:cs="Arial"/>
          <w:szCs w:val="22"/>
        </w:rPr>
        <w:t>publikoval všechna svá zásadní rozhodnutí v plném znění (bez uvedení identifikačních údajů navrhovatelů). Ve Sbírce lze vysledovat předvídatelnost rozhodovací činnosti finančního arbitra, což slouží nejen institucím, resp. jejich právním zástupcům, ale i samotným navrhovatelům, spotřebitelům. Ti se stále častěji odkazují na Sbírku rozhodnutí a citují z rozhodnutí finančního arbitra ve svých návrzích na zahájení řízení a dalších vyjádřeních v průběhu řízení.</w:t>
      </w:r>
    </w:p>
    <w:p w:rsidR="003434B0" w:rsidRPr="00E877AA" w:rsidRDefault="003434B0" w:rsidP="003434B0">
      <w:pPr>
        <w:pStyle w:val="Mezinadpis"/>
        <w:rPr>
          <w:rFonts w:ascii="Arial" w:hAnsi="Arial" w:cs="Arial"/>
          <w:sz w:val="22"/>
          <w:szCs w:val="22"/>
        </w:rPr>
      </w:pPr>
      <w:r w:rsidRPr="00E877AA">
        <w:rPr>
          <w:rFonts w:ascii="Arial" w:hAnsi="Arial" w:cs="Arial"/>
          <w:sz w:val="22"/>
          <w:szCs w:val="22"/>
        </w:rPr>
        <w:t>Internetové stránky</w:t>
      </w:r>
    </w:p>
    <w:p w:rsidR="003434B0" w:rsidRPr="00E877AA" w:rsidRDefault="003434B0" w:rsidP="003434B0">
      <w:pPr>
        <w:pStyle w:val="Bntextzprvy"/>
        <w:rPr>
          <w:rFonts w:cs="Arial"/>
          <w:szCs w:val="22"/>
        </w:rPr>
      </w:pPr>
      <w:r w:rsidRPr="00E877AA">
        <w:rPr>
          <w:rFonts w:cs="Arial"/>
          <w:szCs w:val="22"/>
        </w:rPr>
        <w:t xml:space="preserve">Finanční arbitr využívá </w:t>
      </w:r>
      <w:r w:rsidR="00F541DC" w:rsidRPr="00E877AA">
        <w:rPr>
          <w:rFonts w:cs="Arial"/>
          <w:szCs w:val="22"/>
        </w:rPr>
        <w:t>internetové</w:t>
      </w:r>
      <w:r w:rsidRPr="00E877AA">
        <w:rPr>
          <w:rFonts w:cs="Arial"/>
          <w:szCs w:val="22"/>
        </w:rPr>
        <w:t xml:space="preserve"> stránky, které provozuje Kancelář finančního arbitra, k plnění svých informačních povinností a dalšímu informování laické i odborné veřejnosti o své činnosti.</w:t>
      </w:r>
    </w:p>
    <w:p w:rsidR="003434B0" w:rsidRPr="00E877AA" w:rsidRDefault="003434B0" w:rsidP="003434B0">
      <w:pPr>
        <w:pStyle w:val="Bntextzprvy"/>
        <w:rPr>
          <w:rFonts w:cs="Arial"/>
          <w:szCs w:val="22"/>
        </w:rPr>
      </w:pPr>
      <w:r w:rsidRPr="00E877AA">
        <w:rPr>
          <w:rFonts w:cs="Arial"/>
          <w:szCs w:val="22"/>
        </w:rPr>
        <w:t>V průběhu roku 2018 byly provedeny významné úpravy stránek s cílem zajistit co nejjednodušší orientaci v informacích o finančním arbitrovi, maximálně zjednodušit podání dotazu</w:t>
      </w:r>
      <w:r w:rsidR="00F541DC" w:rsidRPr="00E877AA">
        <w:rPr>
          <w:rFonts w:cs="Arial"/>
          <w:szCs w:val="22"/>
        </w:rPr>
        <w:t xml:space="preserve">, podání </w:t>
      </w:r>
      <w:r w:rsidRPr="00E877AA">
        <w:rPr>
          <w:rFonts w:cs="Arial"/>
          <w:szCs w:val="22"/>
        </w:rPr>
        <w:t>návrhu na zahájení řízení</w:t>
      </w:r>
      <w:r w:rsidR="00F541DC" w:rsidRPr="00E877AA">
        <w:rPr>
          <w:rFonts w:cs="Arial"/>
          <w:szCs w:val="22"/>
        </w:rPr>
        <w:t xml:space="preserve"> nebo doplnit již podaný návrh na zahájení řízení</w:t>
      </w:r>
      <w:r w:rsidRPr="00E877AA">
        <w:rPr>
          <w:rFonts w:cs="Arial"/>
          <w:szCs w:val="22"/>
        </w:rPr>
        <w:t xml:space="preserve">. Na hlavní straně je </w:t>
      </w:r>
      <w:r w:rsidR="00F541DC" w:rsidRPr="00E877AA">
        <w:rPr>
          <w:rFonts w:cs="Arial"/>
          <w:szCs w:val="22"/>
        </w:rPr>
        <w:t xml:space="preserve">tak </w:t>
      </w:r>
      <w:r w:rsidRPr="00E877AA">
        <w:rPr>
          <w:rFonts w:cs="Arial"/>
          <w:szCs w:val="22"/>
        </w:rPr>
        <w:t>díky úpravám možné jednoduše získat informace o</w:t>
      </w:r>
      <w:r w:rsidR="00F541DC" w:rsidRPr="00E877AA">
        <w:rPr>
          <w:rFonts w:cs="Arial"/>
          <w:szCs w:val="22"/>
        </w:rPr>
        <w:t xml:space="preserve"> finančním arbitrovi, základních pravidlech řízení před finančním arbitrem,</w:t>
      </w:r>
      <w:r w:rsidRPr="00E877AA">
        <w:rPr>
          <w:rFonts w:cs="Arial"/>
          <w:szCs w:val="22"/>
        </w:rPr>
        <w:t xml:space="preserve"> jednotlivých oblastech a typech sporu, které je finanční arbitr příslušný řešit, včetně odkazů na právní úpravu a Sbírku rozhodnutí.</w:t>
      </w:r>
    </w:p>
    <w:p w:rsidR="003434B0" w:rsidRPr="00E877AA" w:rsidRDefault="003434B0" w:rsidP="003434B0">
      <w:pPr>
        <w:pStyle w:val="Bntextzprvy"/>
        <w:rPr>
          <w:rFonts w:cs="Arial"/>
          <w:szCs w:val="22"/>
        </w:rPr>
      </w:pPr>
      <w:r w:rsidRPr="00E877AA">
        <w:rPr>
          <w:rFonts w:cs="Arial"/>
          <w:szCs w:val="22"/>
        </w:rPr>
        <w:t>K dispozici jsou také odpovědi na nejčastější dotazy, a to jak věcné, tak týkající se přímo řízení před finančním arbitrem. K dispozici jsou také doporučení, kam se obrátit v případě, že finanční arbitr není příslušný k řešení sporu.</w:t>
      </w:r>
    </w:p>
    <w:p w:rsidR="003434B0" w:rsidRPr="00E877AA" w:rsidRDefault="003434B0" w:rsidP="003434B0">
      <w:pPr>
        <w:pStyle w:val="Bntextzprvy"/>
        <w:rPr>
          <w:rFonts w:cs="Arial"/>
          <w:szCs w:val="22"/>
        </w:rPr>
      </w:pPr>
      <w:r w:rsidRPr="00E877AA">
        <w:rPr>
          <w:rFonts w:cs="Arial"/>
          <w:szCs w:val="22"/>
        </w:rPr>
        <w:t>K zasílání tiskových zpráv, aktualit nebo informace o uveřejnění anonymizovaného rozhodnutí ve Sbírce rozhodnutí slouží služba „Přihlásit k odběru novinek“. Zájemce se může přihlásit k odběru novinek tím, že zadá pouze svoji e-mailovou adresu, kam mu budou informace zaslány.</w:t>
      </w:r>
    </w:p>
    <w:p w:rsidR="003434B0" w:rsidRPr="00E877AA" w:rsidRDefault="003434B0" w:rsidP="003434B0">
      <w:pPr>
        <w:pStyle w:val="Bntextzprvy"/>
        <w:rPr>
          <w:rFonts w:cs="Arial"/>
          <w:szCs w:val="22"/>
        </w:rPr>
      </w:pPr>
      <w:r w:rsidRPr="00E877AA">
        <w:rPr>
          <w:rFonts w:cs="Arial"/>
          <w:szCs w:val="22"/>
        </w:rPr>
        <w:t xml:space="preserve">V roce 2018 byla také oficiálně </w:t>
      </w:r>
      <w:r w:rsidR="00F541DC" w:rsidRPr="00E877AA">
        <w:rPr>
          <w:rFonts w:cs="Arial"/>
          <w:szCs w:val="22"/>
        </w:rPr>
        <w:t xml:space="preserve">spuštěna </w:t>
      </w:r>
      <w:r w:rsidRPr="00E877AA">
        <w:rPr>
          <w:rFonts w:cs="Arial"/>
          <w:szCs w:val="22"/>
        </w:rPr>
        <w:t xml:space="preserve">anglická verze </w:t>
      </w:r>
      <w:r w:rsidR="00F541DC" w:rsidRPr="00E877AA">
        <w:rPr>
          <w:rFonts w:cs="Arial"/>
          <w:szCs w:val="22"/>
        </w:rPr>
        <w:t>internetových</w:t>
      </w:r>
      <w:r w:rsidRPr="00E877AA">
        <w:rPr>
          <w:rFonts w:cs="Arial"/>
          <w:szCs w:val="22"/>
        </w:rPr>
        <w:t xml:space="preserve"> stránek, která doposud fungovala jen v pilotním testovacím režimu.</w:t>
      </w:r>
    </w:p>
    <w:p w:rsidR="009B3B52" w:rsidRPr="00E877AA" w:rsidRDefault="009B3B52" w:rsidP="003434B0">
      <w:pPr>
        <w:pStyle w:val="Bntextzprvy"/>
        <w:rPr>
          <w:rFonts w:cs="Arial"/>
          <w:b/>
          <w:i/>
          <w:szCs w:val="22"/>
        </w:rPr>
      </w:pPr>
      <w:r w:rsidRPr="00E877AA">
        <w:rPr>
          <w:rFonts w:cs="Arial"/>
          <w:b/>
          <w:i/>
          <w:szCs w:val="22"/>
        </w:rPr>
        <w:t xml:space="preserve">Tiskové zprávy </w:t>
      </w:r>
    </w:p>
    <w:p w:rsidR="009B3B52" w:rsidRPr="00E877AA" w:rsidRDefault="009B3B52" w:rsidP="009B3B52">
      <w:pPr>
        <w:spacing w:after="0"/>
        <w:jc w:val="both"/>
        <w:rPr>
          <w:rFonts w:ascii="Arial" w:hAnsi="Arial" w:cs="Arial"/>
        </w:rPr>
      </w:pPr>
      <w:r w:rsidRPr="00E877AA">
        <w:rPr>
          <w:rFonts w:ascii="Arial" w:hAnsi="Arial" w:cs="Arial"/>
        </w:rPr>
        <w:t xml:space="preserve">Finanční arbitr na internetových stránkách uveřejnil několik důležitých tiskových zpráv, a to jak k vydaným rozhodnutím, tak i jako upozornění veřejnosti. </w:t>
      </w:r>
    </w:p>
    <w:p w:rsidR="009B3B52" w:rsidRPr="00E877AA" w:rsidRDefault="009B3B52" w:rsidP="009B3B52">
      <w:pPr>
        <w:pStyle w:val="Nadpis2"/>
        <w:numPr>
          <w:ilvl w:val="0"/>
          <w:numId w:val="0"/>
        </w:numPr>
        <w:spacing w:after="120"/>
        <w:rPr>
          <w:rFonts w:ascii="Arial" w:hAnsi="Arial" w:cs="Arial"/>
          <w:color w:val="333333"/>
          <w:sz w:val="22"/>
          <w:szCs w:val="22"/>
        </w:rPr>
      </w:pPr>
      <w:r w:rsidRPr="00E877AA">
        <w:rPr>
          <w:rFonts w:ascii="Arial" w:hAnsi="Arial" w:cs="Arial"/>
          <w:color w:val="333333"/>
          <w:sz w:val="22"/>
          <w:szCs w:val="22"/>
        </w:rPr>
        <w:t>Tisková zpráva: Vydání rozhodnutí o neplatnosti smlouvy o životním pojištění</w:t>
      </w:r>
    </w:p>
    <w:p w:rsidR="009D40D4" w:rsidRDefault="009B3B52" w:rsidP="009B3B52">
      <w:pPr>
        <w:pStyle w:val="Normlnweb"/>
        <w:spacing w:before="120" w:beforeAutospacing="0" w:after="120" w:afterAutospacing="0"/>
        <w:jc w:val="both"/>
        <w:rPr>
          <w:rFonts w:ascii="Arial" w:hAnsi="Arial" w:cs="Arial"/>
          <w:color w:val="333333"/>
          <w:sz w:val="22"/>
          <w:szCs w:val="22"/>
        </w:rPr>
      </w:pPr>
      <w:r w:rsidRPr="00E877AA">
        <w:rPr>
          <w:rFonts w:ascii="Arial" w:hAnsi="Arial" w:cs="Arial"/>
          <w:color w:val="333333"/>
          <w:sz w:val="22"/>
          <w:szCs w:val="22"/>
        </w:rPr>
        <w:t xml:space="preserve">Nálezem ze dne 15. 8. 2017 rozhodl finanční arbitr v řízení vedeném na návrh spotřebitele proti společnosti AXA životní pojišťovna a.s., že smlouva o investičním životním pojištění </w:t>
      </w:r>
      <w:proofErr w:type="spellStart"/>
      <w:r w:rsidRPr="00E877AA">
        <w:rPr>
          <w:rFonts w:ascii="Arial" w:hAnsi="Arial" w:cs="Arial"/>
          <w:color w:val="333333"/>
          <w:sz w:val="22"/>
          <w:szCs w:val="22"/>
        </w:rPr>
        <w:t>Kumulativ</w:t>
      </w:r>
      <w:proofErr w:type="spellEnd"/>
      <w:r w:rsidRPr="00E877AA">
        <w:rPr>
          <w:rFonts w:ascii="Arial" w:hAnsi="Arial" w:cs="Arial"/>
          <w:color w:val="333333"/>
          <w:sz w:val="22"/>
          <w:szCs w:val="22"/>
        </w:rPr>
        <w:t xml:space="preserve"> </w:t>
      </w:r>
      <w:proofErr w:type="spellStart"/>
      <w:r w:rsidRPr="00E877AA">
        <w:rPr>
          <w:rFonts w:ascii="Arial" w:hAnsi="Arial" w:cs="Arial"/>
          <w:color w:val="333333"/>
          <w:sz w:val="22"/>
          <w:szCs w:val="22"/>
        </w:rPr>
        <w:t>Life</w:t>
      </w:r>
      <w:proofErr w:type="spellEnd"/>
      <w:r w:rsidRPr="00E877AA">
        <w:rPr>
          <w:rFonts w:ascii="Arial" w:hAnsi="Arial" w:cs="Arial"/>
          <w:color w:val="333333"/>
          <w:sz w:val="22"/>
          <w:szCs w:val="22"/>
        </w:rPr>
        <w:t xml:space="preserve"> je neplatná, protože odporuje zákonu o pojistné smlouvě (společnost AXA životní pojišťovna a.s. na základě pojistné smlouvy nepřebrala pojistné riziko, ani spotřebitel jejím prostřednictvím nenaplnil svůj pojistný zájem, když oba tyto faktory představují esenciální prvky pojistného vztahu). </w:t>
      </w:r>
    </w:p>
    <w:p w:rsidR="009B3B52" w:rsidRPr="00E877AA" w:rsidRDefault="009B3B52" w:rsidP="009B3B52">
      <w:pPr>
        <w:pStyle w:val="Normlnweb"/>
        <w:spacing w:before="120" w:beforeAutospacing="0" w:after="120" w:afterAutospacing="0"/>
        <w:jc w:val="both"/>
        <w:rPr>
          <w:rFonts w:ascii="Arial" w:hAnsi="Arial" w:cs="Arial"/>
          <w:color w:val="333333"/>
          <w:sz w:val="22"/>
          <w:szCs w:val="22"/>
        </w:rPr>
      </w:pPr>
      <w:r w:rsidRPr="00E877AA">
        <w:rPr>
          <w:rFonts w:ascii="Arial" w:hAnsi="Arial" w:cs="Arial"/>
          <w:color w:val="333333"/>
          <w:sz w:val="22"/>
          <w:szCs w:val="22"/>
        </w:rPr>
        <w:t xml:space="preserve">Tento svůj právní závěr finanční arbitr potvrdil v rozhodnutí o námitkách ze dne 29. 11. 2017. Od vydání rozhodnutí mají obě strany sporu právo podat žalobu k obecnému soudu na přezkoumání rozhodnutí finančního arbitra. Protože se strany sporu v řízení před finančním arbitrem odmítly rozejít smírně, lze více než předpokládat, že bude rozhodnutí finančního arbitra předmětem soudního přezkumu. </w:t>
      </w:r>
      <w:r w:rsidR="00C120F3" w:rsidRPr="00E877AA">
        <w:rPr>
          <w:rFonts w:ascii="Arial" w:hAnsi="Arial" w:cs="Arial"/>
          <w:color w:val="333333"/>
          <w:sz w:val="22"/>
          <w:szCs w:val="22"/>
        </w:rPr>
        <w:t>…</w:t>
      </w:r>
    </w:p>
    <w:p w:rsidR="009B3B52" w:rsidRPr="00E877AA" w:rsidRDefault="009B3B52" w:rsidP="009B3B52">
      <w:pPr>
        <w:pStyle w:val="Nadpis2"/>
        <w:numPr>
          <w:ilvl w:val="0"/>
          <w:numId w:val="0"/>
        </w:numPr>
        <w:rPr>
          <w:rFonts w:ascii="Arial" w:hAnsi="Arial" w:cs="Arial"/>
          <w:color w:val="333333"/>
          <w:sz w:val="22"/>
          <w:szCs w:val="22"/>
        </w:rPr>
      </w:pPr>
      <w:r w:rsidRPr="00E877AA">
        <w:rPr>
          <w:rFonts w:ascii="Arial" w:hAnsi="Arial" w:cs="Arial"/>
          <w:color w:val="333333"/>
          <w:sz w:val="22"/>
          <w:szCs w:val="22"/>
        </w:rPr>
        <w:lastRenderedPageBreak/>
        <w:t>Tisková zpráva: Vydání rozhodnutí o neplatnosti smlouvy o životním pojištění</w:t>
      </w:r>
    </w:p>
    <w:p w:rsidR="009D40D4" w:rsidRDefault="009B3B52" w:rsidP="009B3B52">
      <w:pPr>
        <w:pStyle w:val="Normlnweb"/>
        <w:spacing w:before="120" w:beforeAutospacing="0" w:after="120" w:afterAutospacing="0"/>
        <w:jc w:val="both"/>
        <w:rPr>
          <w:rFonts w:ascii="Arial" w:hAnsi="Arial" w:cs="Arial"/>
          <w:color w:val="333333"/>
          <w:sz w:val="22"/>
          <w:szCs w:val="22"/>
        </w:rPr>
      </w:pPr>
      <w:r w:rsidRPr="00E877AA">
        <w:rPr>
          <w:rFonts w:ascii="Arial" w:hAnsi="Arial" w:cs="Arial"/>
          <w:color w:val="333333"/>
          <w:sz w:val="22"/>
          <w:szCs w:val="22"/>
        </w:rPr>
        <w:t xml:space="preserve">Nálezem ze dne 26. 9. 2017 rozhodl finanční arbitr v řízení vedeném na návrh spotřebitele proti společnosti Česká pojišťovna, že smlouva o investičním životním pojištění PROFI Invest je neplatná, protože jsou neplatná ujednání o poplatcích pro jejich neurčitost, a současně tato ujednání nelze oddělit od zbytku pojistné smlouvy. </w:t>
      </w:r>
    </w:p>
    <w:p w:rsidR="009B3B52" w:rsidRPr="00E877AA" w:rsidRDefault="009B3B52" w:rsidP="009B3B52">
      <w:pPr>
        <w:pStyle w:val="Normlnweb"/>
        <w:spacing w:before="120" w:beforeAutospacing="0" w:after="120" w:afterAutospacing="0"/>
        <w:jc w:val="both"/>
        <w:rPr>
          <w:rFonts w:ascii="Arial" w:hAnsi="Arial" w:cs="Arial"/>
          <w:color w:val="333333"/>
          <w:sz w:val="22"/>
          <w:szCs w:val="22"/>
        </w:rPr>
      </w:pPr>
      <w:r w:rsidRPr="00E877AA">
        <w:rPr>
          <w:rFonts w:ascii="Arial" w:hAnsi="Arial" w:cs="Arial"/>
          <w:color w:val="333333"/>
          <w:sz w:val="22"/>
          <w:szCs w:val="22"/>
        </w:rPr>
        <w:t>Tento svůj právní závěr finanční arbitr potvrdil v rozhodnutí o námitkách ze dne 24. 1. 2018.</w:t>
      </w:r>
      <w:r w:rsidR="00C120F3" w:rsidRPr="00E877AA">
        <w:rPr>
          <w:rFonts w:ascii="Arial" w:hAnsi="Arial" w:cs="Arial"/>
          <w:color w:val="333333"/>
          <w:sz w:val="22"/>
          <w:szCs w:val="22"/>
        </w:rPr>
        <w:t xml:space="preserve"> </w:t>
      </w:r>
      <w:r w:rsidRPr="00E877AA">
        <w:rPr>
          <w:rFonts w:ascii="Arial" w:hAnsi="Arial" w:cs="Arial"/>
          <w:color w:val="333333"/>
          <w:sz w:val="22"/>
          <w:szCs w:val="22"/>
        </w:rPr>
        <w:t>Od vydání rozhodnutí mají obě strany sporu právo podat žalobu k obecnému soudu na přezkoumání rozhodnutí finančního arbitra. Protože se strany sporu v řízení před finančním arbitrem odmítly rozejít smírně, lze více než předpokládat, že bude rozhodnutí finančního arbitra předmětem soudního přezkumu.</w:t>
      </w:r>
      <w:r w:rsidR="00C120F3" w:rsidRPr="00E877AA">
        <w:rPr>
          <w:rFonts w:ascii="Arial" w:hAnsi="Arial" w:cs="Arial"/>
          <w:color w:val="333333"/>
          <w:sz w:val="22"/>
          <w:szCs w:val="22"/>
        </w:rPr>
        <w:t xml:space="preserve"> …</w:t>
      </w:r>
    </w:p>
    <w:p w:rsidR="009B3B52" w:rsidRPr="00E877AA" w:rsidRDefault="009B3B52" w:rsidP="00461854">
      <w:pPr>
        <w:pStyle w:val="Nadpis2"/>
        <w:numPr>
          <w:ilvl w:val="0"/>
          <w:numId w:val="0"/>
        </w:numPr>
        <w:jc w:val="both"/>
        <w:rPr>
          <w:rFonts w:ascii="Arial" w:hAnsi="Arial" w:cs="Arial"/>
          <w:color w:val="333333"/>
          <w:sz w:val="22"/>
          <w:szCs w:val="22"/>
        </w:rPr>
      </w:pPr>
      <w:r w:rsidRPr="00E877AA">
        <w:rPr>
          <w:rFonts w:ascii="Arial" w:hAnsi="Arial" w:cs="Arial"/>
          <w:color w:val="333333"/>
          <w:sz w:val="22"/>
          <w:szCs w:val="22"/>
        </w:rPr>
        <w:t>Upozornění na rizika spojená s postoupením pohledávky ze životního pojištění nebo příkazní smlouvou</w:t>
      </w:r>
    </w:p>
    <w:p w:rsidR="009D40D4" w:rsidRDefault="009B3B52" w:rsidP="009D40D4">
      <w:pPr>
        <w:pStyle w:val="Normlnweb"/>
        <w:jc w:val="both"/>
        <w:rPr>
          <w:rFonts w:ascii="Arial" w:hAnsi="Arial" w:cs="Arial"/>
          <w:color w:val="333333"/>
          <w:sz w:val="22"/>
          <w:szCs w:val="22"/>
        </w:rPr>
      </w:pPr>
      <w:r w:rsidRPr="00E877AA">
        <w:rPr>
          <w:rFonts w:ascii="Arial" w:hAnsi="Arial" w:cs="Arial"/>
          <w:color w:val="333333"/>
          <w:sz w:val="22"/>
          <w:szCs w:val="22"/>
        </w:rPr>
        <w:t>Finanční arbitr informuje veřejnost, že při rozhodování sporů ze životního pojištění opakovaně zjistil, že na finančním trhu vystupuje obchodní společnost, potažmo advokáti či advokátní kanceláře, kteří při řešení sporů s pojišťovnou uzavírají se spotřebiteli smlouvy, kterými spotřebitelé „prodávají" těmto podnikatelům své ukončené pojistné smlouvy, a následně o nich vedou jménem spotřebitelů bez jejich vědomí řízení před finančním arbitrem, nebo uzavírají smlouvy o vysoké odměně za zastupování v řízení před finančním arbitrem, které je bezplatné.</w:t>
      </w:r>
      <w:r w:rsidR="009D40D4">
        <w:rPr>
          <w:rFonts w:ascii="Arial" w:hAnsi="Arial" w:cs="Arial"/>
          <w:color w:val="333333"/>
          <w:sz w:val="22"/>
          <w:szCs w:val="22"/>
        </w:rPr>
        <w:t xml:space="preserve"> </w:t>
      </w:r>
    </w:p>
    <w:p w:rsidR="009D40D4" w:rsidRDefault="009B3B52" w:rsidP="009D40D4">
      <w:pPr>
        <w:pStyle w:val="Normlnweb"/>
        <w:jc w:val="both"/>
        <w:rPr>
          <w:rFonts w:ascii="Arial" w:hAnsi="Arial" w:cs="Arial"/>
          <w:color w:val="333333"/>
          <w:sz w:val="22"/>
          <w:szCs w:val="22"/>
        </w:rPr>
      </w:pPr>
      <w:r w:rsidRPr="00E877AA">
        <w:rPr>
          <w:rFonts w:ascii="Arial" w:hAnsi="Arial" w:cs="Arial"/>
          <w:color w:val="333333"/>
          <w:sz w:val="22"/>
          <w:szCs w:val="22"/>
        </w:rPr>
        <w:t xml:space="preserve">Byť jsou spotřebitelé vázáni mlčenlivostí pod hrozbou vysoké peněžité sankce, někteří se na finančního arbitra obrátili s žádostí o pomoc. </w:t>
      </w:r>
    </w:p>
    <w:p w:rsidR="009B3B52" w:rsidRPr="00E877AA" w:rsidRDefault="009B3B52" w:rsidP="009D40D4">
      <w:pPr>
        <w:pStyle w:val="Normlnweb"/>
        <w:spacing w:before="0" w:beforeAutospacing="0" w:after="0" w:afterAutospacing="0"/>
        <w:jc w:val="both"/>
        <w:rPr>
          <w:rFonts w:ascii="Arial" w:hAnsi="Arial" w:cs="Arial"/>
          <w:color w:val="333333"/>
          <w:sz w:val="22"/>
          <w:szCs w:val="22"/>
        </w:rPr>
      </w:pPr>
      <w:r w:rsidRPr="00E877AA">
        <w:rPr>
          <w:rFonts w:ascii="Arial" w:hAnsi="Arial" w:cs="Arial"/>
          <w:color w:val="333333"/>
          <w:sz w:val="22"/>
          <w:szCs w:val="22"/>
        </w:rPr>
        <w:t>Finanční arbitr tak zjistil, že se jedná o:</w:t>
      </w:r>
    </w:p>
    <w:p w:rsidR="009B3B52" w:rsidRPr="009D40D4" w:rsidRDefault="009B3B52" w:rsidP="009D40D4">
      <w:pPr>
        <w:pStyle w:val="Normlnweb"/>
        <w:spacing w:before="0" w:beforeAutospacing="0" w:after="0" w:afterAutospacing="0"/>
        <w:ind w:left="705" w:hanging="705"/>
        <w:jc w:val="both"/>
        <w:rPr>
          <w:rFonts w:ascii="Arial" w:hAnsi="Arial" w:cs="Arial"/>
          <w:color w:val="333333"/>
          <w:sz w:val="22"/>
          <w:szCs w:val="22"/>
        </w:rPr>
      </w:pPr>
      <w:r w:rsidRPr="00E877AA">
        <w:rPr>
          <w:rFonts w:ascii="Arial" w:hAnsi="Arial" w:cs="Arial"/>
          <w:color w:val="333333"/>
          <w:sz w:val="22"/>
          <w:szCs w:val="22"/>
        </w:rPr>
        <w:t>a)</w:t>
      </w:r>
      <w:r w:rsidR="009D40D4">
        <w:rPr>
          <w:rFonts w:ascii="Arial" w:hAnsi="Arial" w:cs="Arial"/>
          <w:color w:val="333333"/>
          <w:sz w:val="22"/>
          <w:szCs w:val="22"/>
        </w:rPr>
        <w:tab/>
      </w:r>
      <w:r w:rsidRPr="009D40D4">
        <w:rPr>
          <w:rStyle w:val="Siln"/>
          <w:rFonts w:ascii="Arial" w:hAnsi="Arial" w:cs="Arial"/>
          <w:b w:val="0"/>
          <w:color w:val="333333"/>
          <w:sz w:val="22"/>
          <w:szCs w:val="22"/>
        </w:rPr>
        <w:t>smlouvu o postoupení pohledávky</w:t>
      </w:r>
      <w:r w:rsidRPr="009D40D4">
        <w:rPr>
          <w:rFonts w:ascii="Arial" w:hAnsi="Arial" w:cs="Arial"/>
          <w:color w:val="333333"/>
          <w:sz w:val="22"/>
          <w:szCs w:val="22"/>
        </w:rPr>
        <w:t xml:space="preserve"> za společností Česká pojišťovna, a.s., vzniklé ze smlouvy o</w:t>
      </w:r>
      <w:r w:rsidR="00461854" w:rsidRPr="009D40D4">
        <w:rPr>
          <w:rFonts w:ascii="Arial" w:hAnsi="Arial" w:cs="Arial"/>
          <w:color w:val="333333"/>
          <w:sz w:val="22"/>
          <w:szCs w:val="22"/>
        </w:rPr>
        <w:t> </w:t>
      </w:r>
      <w:r w:rsidRPr="009D40D4">
        <w:rPr>
          <w:rFonts w:ascii="Arial" w:hAnsi="Arial" w:cs="Arial"/>
          <w:color w:val="333333"/>
          <w:sz w:val="22"/>
          <w:szCs w:val="22"/>
        </w:rPr>
        <w:t>životním pojištění,</w:t>
      </w:r>
    </w:p>
    <w:p w:rsidR="009B3B52" w:rsidRPr="00E877AA" w:rsidRDefault="009B3B52" w:rsidP="009D40D4">
      <w:pPr>
        <w:pStyle w:val="Normlnweb"/>
        <w:spacing w:before="0" w:beforeAutospacing="0" w:after="0" w:afterAutospacing="0"/>
        <w:jc w:val="both"/>
        <w:rPr>
          <w:rFonts w:ascii="Arial" w:hAnsi="Arial" w:cs="Arial"/>
          <w:color w:val="333333"/>
          <w:sz w:val="22"/>
          <w:szCs w:val="22"/>
        </w:rPr>
      </w:pPr>
      <w:r w:rsidRPr="009D40D4">
        <w:rPr>
          <w:rFonts w:ascii="Arial" w:hAnsi="Arial" w:cs="Arial"/>
          <w:color w:val="333333"/>
          <w:sz w:val="22"/>
          <w:szCs w:val="22"/>
        </w:rPr>
        <w:t>b)</w:t>
      </w:r>
      <w:r w:rsidR="009D40D4" w:rsidRPr="009D40D4">
        <w:rPr>
          <w:rFonts w:ascii="Arial" w:hAnsi="Arial" w:cs="Arial"/>
          <w:color w:val="333333"/>
          <w:sz w:val="22"/>
          <w:szCs w:val="22"/>
        </w:rPr>
        <w:tab/>
      </w:r>
      <w:r w:rsidRPr="009D40D4">
        <w:rPr>
          <w:rStyle w:val="Siln"/>
          <w:rFonts w:ascii="Arial" w:hAnsi="Arial" w:cs="Arial"/>
          <w:b w:val="0"/>
          <w:color w:val="333333"/>
          <w:sz w:val="22"/>
          <w:szCs w:val="22"/>
        </w:rPr>
        <w:t>příkazní smlouvu</w:t>
      </w:r>
      <w:r w:rsidRPr="009D40D4">
        <w:rPr>
          <w:rFonts w:ascii="Arial" w:hAnsi="Arial" w:cs="Arial"/>
          <w:color w:val="333333"/>
          <w:sz w:val="22"/>
          <w:szCs w:val="22"/>
        </w:rPr>
        <w:t>.</w:t>
      </w:r>
    </w:p>
    <w:p w:rsidR="009D40D4" w:rsidRDefault="009B3B52" w:rsidP="009B3B52">
      <w:pPr>
        <w:pStyle w:val="Normlnweb"/>
        <w:jc w:val="both"/>
        <w:rPr>
          <w:rFonts w:ascii="Arial" w:hAnsi="Arial" w:cs="Arial"/>
          <w:color w:val="333333"/>
          <w:sz w:val="22"/>
          <w:szCs w:val="22"/>
        </w:rPr>
      </w:pPr>
      <w:r w:rsidRPr="00E877AA">
        <w:rPr>
          <w:rFonts w:ascii="Arial" w:hAnsi="Arial" w:cs="Arial"/>
          <w:color w:val="333333"/>
          <w:sz w:val="22"/>
          <w:szCs w:val="22"/>
        </w:rPr>
        <w:t>Finančnímu arbitrovi několik desítek spotřebitelů potvrdilo, že uzavřením smlouvy o postoupení pohledávky „prodali" svoji pojistnou smlouvu, kterou před prodejem vypověděli, resp. pojištění sjednané touto pojistnou smlouvou zaniklo. Tito spotřebitelé nyní vůbec netuší, proč, kdo a za jakým účelem vede jejich jménem řízení před finančním arbitrem, když „prodejem" pojistné smlouvy považovali vztah s pojišťovnou za uzavřený.</w:t>
      </w:r>
      <w:r w:rsidR="00C120F3" w:rsidRPr="00E877AA">
        <w:rPr>
          <w:rFonts w:ascii="Arial" w:hAnsi="Arial" w:cs="Arial"/>
          <w:color w:val="333333"/>
          <w:sz w:val="22"/>
          <w:szCs w:val="22"/>
        </w:rPr>
        <w:t xml:space="preserve"> … </w:t>
      </w:r>
    </w:p>
    <w:p w:rsidR="009D40D4" w:rsidRDefault="009B3B52" w:rsidP="009B3B52">
      <w:pPr>
        <w:pStyle w:val="Normlnweb"/>
        <w:jc w:val="both"/>
        <w:rPr>
          <w:rFonts w:ascii="Arial" w:hAnsi="Arial" w:cs="Arial"/>
          <w:color w:val="333333"/>
          <w:sz w:val="22"/>
          <w:szCs w:val="22"/>
        </w:rPr>
      </w:pPr>
      <w:r w:rsidRPr="00E877AA">
        <w:rPr>
          <w:rFonts w:ascii="Arial" w:hAnsi="Arial" w:cs="Arial"/>
          <w:color w:val="333333"/>
          <w:sz w:val="22"/>
          <w:szCs w:val="22"/>
        </w:rPr>
        <w:t>Finanční arbitr nezpochybňuje právo spotřebitele postoupit svoji pohledávku z pojistné smlouvy, a to ani na podnikatele (obchodní společnost). Postoupením pohledávky se však ze sporu spotřebitele fakticky stává spor mezi dvěma podnikateli, obchodní společností a pojišťovnou, tedy spor mimo působnost a příslušnost finančního arbitra.</w:t>
      </w:r>
      <w:r w:rsidR="00C120F3" w:rsidRPr="00E877AA">
        <w:rPr>
          <w:rFonts w:ascii="Arial" w:hAnsi="Arial" w:cs="Arial"/>
          <w:color w:val="333333"/>
          <w:sz w:val="22"/>
          <w:szCs w:val="22"/>
        </w:rPr>
        <w:t xml:space="preserve"> </w:t>
      </w:r>
    </w:p>
    <w:p w:rsidR="009B3B52" w:rsidRPr="00E877AA" w:rsidRDefault="009B3B52" w:rsidP="009B3B52">
      <w:pPr>
        <w:pStyle w:val="Normlnweb"/>
        <w:jc w:val="both"/>
        <w:rPr>
          <w:rFonts w:ascii="Arial" w:hAnsi="Arial" w:cs="Arial"/>
          <w:color w:val="333333"/>
          <w:sz w:val="22"/>
          <w:szCs w:val="22"/>
        </w:rPr>
      </w:pPr>
      <w:r w:rsidRPr="00E877AA">
        <w:rPr>
          <w:rFonts w:ascii="Arial" w:hAnsi="Arial" w:cs="Arial"/>
          <w:color w:val="333333"/>
          <w:sz w:val="22"/>
          <w:szCs w:val="22"/>
        </w:rPr>
        <w:t>Finanční arbitr proto nyní činí kroky směřující k odhalení případů postoupených pohledávek z pojistných smluv a k ukončení těchto řízení, která před finančním arbitrem probíhat nemají. V případě, že by finanční arbitr rozhodl spor, ke kterému není příslušný, postupoval by v rozporu se zákonem.</w:t>
      </w:r>
      <w:r w:rsidR="00C120F3" w:rsidRPr="00E877AA">
        <w:rPr>
          <w:rFonts w:ascii="Arial" w:hAnsi="Arial" w:cs="Arial"/>
          <w:color w:val="333333"/>
          <w:sz w:val="22"/>
          <w:szCs w:val="22"/>
        </w:rPr>
        <w:t xml:space="preserve"> </w:t>
      </w:r>
      <w:r w:rsidRPr="00E877AA">
        <w:rPr>
          <w:rFonts w:ascii="Arial" w:hAnsi="Arial" w:cs="Arial"/>
          <w:color w:val="333333"/>
          <w:sz w:val="22"/>
          <w:szCs w:val="22"/>
        </w:rPr>
        <w:t>Spotřebitelé, kteří postoupili pohledávky ze svých pojistných smluv, by si měli ověřit, zda není jejich jménem vedeno řízení u finančního arbitra, případně u obecného soudu.</w:t>
      </w:r>
    </w:p>
    <w:p w:rsidR="009D40D4" w:rsidRDefault="009B3B52" w:rsidP="00C120F3">
      <w:pPr>
        <w:pStyle w:val="Normlnweb"/>
        <w:jc w:val="both"/>
        <w:rPr>
          <w:rFonts w:ascii="Arial" w:hAnsi="Arial" w:cs="Arial"/>
          <w:color w:val="333333"/>
          <w:sz w:val="22"/>
          <w:szCs w:val="22"/>
        </w:rPr>
      </w:pPr>
      <w:r w:rsidRPr="00E877AA">
        <w:rPr>
          <w:rFonts w:ascii="Arial" w:hAnsi="Arial" w:cs="Arial"/>
          <w:color w:val="333333"/>
          <w:sz w:val="22"/>
          <w:szCs w:val="22"/>
        </w:rPr>
        <w:t>Finančnímu arbitrovi současně několik desítek spotřebitelů potvrdilo, že uzavřeli s podnikatelem (obchodní společností) příkazní smlouvu.</w:t>
      </w:r>
      <w:r w:rsidR="00C120F3" w:rsidRPr="00E877AA">
        <w:rPr>
          <w:rFonts w:ascii="Arial" w:hAnsi="Arial" w:cs="Arial"/>
          <w:color w:val="333333"/>
          <w:sz w:val="22"/>
          <w:szCs w:val="22"/>
        </w:rPr>
        <w:t xml:space="preserve"> </w:t>
      </w:r>
    </w:p>
    <w:p w:rsidR="009D40D4" w:rsidRDefault="009B3B52" w:rsidP="00C120F3">
      <w:pPr>
        <w:pStyle w:val="Normlnweb"/>
        <w:jc w:val="both"/>
        <w:rPr>
          <w:rFonts w:ascii="Arial" w:hAnsi="Arial" w:cs="Arial"/>
          <w:color w:val="333333"/>
          <w:sz w:val="22"/>
          <w:szCs w:val="22"/>
        </w:rPr>
      </w:pPr>
      <w:r w:rsidRPr="00E877AA">
        <w:rPr>
          <w:rFonts w:ascii="Arial" w:hAnsi="Arial" w:cs="Arial"/>
          <w:color w:val="333333"/>
          <w:sz w:val="22"/>
          <w:szCs w:val="22"/>
        </w:rPr>
        <w:t>V těchto smlouvách zmocňuje spotřebitel obchodní společnost, aby sehnala advokáta a zařídila vymáhání domnělých nároků z pojistné smlouvy.</w:t>
      </w:r>
      <w:r w:rsidR="00C120F3" w:rsidRPr="00E877AA">
        <w:rPr>
          <w:rFonts w:ascii="Arial" w:hAnsi="Arial" w:cs="Arial"/>
          <w:color w:val="333333"/>
          <w:sz w:val="22"/>
          <w:szCs w:val="22"/>
        </w:rPr>
        <w:t xml:space="preserve"> </w:t>
      </w:r>
      <w:r w:rsidRPr="00E877AA">
        <w:rPr>
          <w:rFonts w:ascii="Arial" w:hAnsi="Arial" w:cs="Arial"/>
          <w:color w:val="333333"/>
          <w:sz w:val="22"/>
          <w:szCs w:val="22"/>
        </w:rPr>
        <w:t xml:space="preserve">Tyto smlouvy se vyznačují složitě nastavenými vztahy mezi spotřebitelem, obchodní společností a advokátem, včetně úplaty za poskytované služby. </w:t>
      </w:r>
    </w:p>
    <w:p w:rsidR="009D40D4" w:rsidRDefault="009B3B52" w:rsidP="00C120F3">
      <w:pPr>
        <w:pStyle w:val="Normlnweb"/>
        <w:jc w:val="both"/>
        <w:rPr>
          <w:rFonts w:ascii="Arial" w:hAnsi="Arial" w:cs="Arial"/>
          <w:color w:val="333333"/>
          <w:sz w:val="22"/>
          <w:szCs w:val="22"/>
        </w:rPr>
      </w:pPr>
      <w:r w:rsidRPr="00E877AA">
        <w:rPr>
          <w:rFonts w:ascii="Arial" w:hAnsi="Arial" w:cs="Arial"/>
          <w:color w:val="333333"/>
          <w:sz w:val="22"/>
          <w:szCs w:val="22"/>
        </w:rPr>
        <w:t>Zjednodušeně řečeno, veškeré vymožené peněžní prostředky jdou primárně na účet obchodní společnosti, která si z nich ponechá téměř 50 %, a až zbylou částku vyplatí spotřebiteli.</w:t>
      </w:r>
      <w:r w:rsidR="00C120F3" w:rsidRPr="00E877AA">
        <w:rPr>
          <w:rFonts w:ascii="Arial" w:hAnsi="Arial" w:cs="Arial"/>
          <w:color w:val="333333"/>
          <w:sz w:val="22"/>
          <w:szCs w:val="22"/>
        </w:rPr>
        <w:t xml:space="preserve"> </w:t>
      </w:r>
      <w:r w:rsidRPr="00E877AA">
        <w:rPr>
          <w:rFonts w:ascii="Arial" w:hAnsi="Arial" w:cs="Arial"/>
          <w:color w:val="333333"/>
          <w:sz w:val="22"/>
          <w:szCs w:val="22"/>
        </w:rPr>
        <w:t xml:space="preserve">Spotřebitel </w:t>
      </w:r>
      <w:r w:rsidRPr="00E877AA">
        <w:rPr>
          <w:rFonts w:ascii="Arial" w:hAnsi="Arial" w:cs="Arial"/>
          <w:color w:val="333333"/>
          <w:sz w:val="22"/>
          <w:szCs w:val="22"/>
        </w:rPr>
        <w:lastRenderedPageBreak/>
        <w:t xml:space="preserve">se tak zavazuje obchodní společnosti a potažmo advokátovi hradit náklady i za řízení před finančním arbitrem, které je jinak zcela bezplatné. Spotřebitel se zavazuje obchodní společnosti hradit náklady i v případě, kdy se rozhodne závazek z příkazní smlouvy předčasně ukončit. </w:t>
      </w:r>
    </w:p>
    <w:p w:rsidR="009D40D4" w:rsidRDefault="009B3B52" w:rsidP="00C120F3">
      <w:pPr>
        <w:pStyle w:val="Normlnweb"/>
        <w:jc w:val="both"/>
        <w:rPr>
          <w:rFonts w:ascii="Arial" w:hAnsi="Arial" w:cs="Arial"/>
          <w:color w:val="333333"/>
          <w:sz w:val="22"/>
          <w:szCs w:val="22"/>
        </w:rPr>
      </w:pPr>
      <w:r w:rsidRPr="00E877AA">
        <w:rPr>
          <w:rFonts w:ascii="Arial" w:hAnsi="Arial" w:cs="Arial"/>
          <w:color w:val="333333"/>
          <w:sz w:val="22"/>
          <w:szCs w:val="22"/>
        </w:rPr>
        <w:t>Současně se pod smluvní pokutou zavazuje k naprosté mlčenlivosti o této smlouvě.</w:t>
      </w:r>
      <w:r w:rsidR="00C120F3" w:rsidRPr="00E877AA">
        <w:rPr>
          <w:rFonts w:ascii="Arial" w:hAnsi="Arial" w:cs="Arial"/>
          <w:color w:val="333333"/>
          <w:sz w:val="22"/>
          <w:szCs w:val="22"/>
        </w:rPr>
        <w:t xml:space="preserve"> </w:t>
      </w:r>
      <w:r w:rsidRPr="00E877AA">
        <w:rPr>
          <w:rFonts w:ascii="Arial" w:hAnsi="Arial" w:cs="Arial"/>
          <w:color w:val="333333"/>
          <w:sz w:val="22"/>
          <w:szCs w:val="22"/>
        </w:rPr>
        <w:t>Ačkoliv má finanční arbitr za to, že takový typ příkazní smlouvy je nemravný, není příslušný k posouzení její platnosti. Spotřebitel by se musel obrátit na obecný soud.</w:t>
      </w:r>
      <w:r w:rsidR="00C120F3" w:rsidRPr="00E877AA">
        <w:rPr>
          <w:rFonts w:ascii="Arial" w:hAnsi="Arial" w:cs="Arial"/>
          <w:color w:val="333333"/>
          <w:sz w:val="22"/>
          <w:szCs w:val="22"/>
        </w:rPr>
        <w:t xml:space="preserve"> </w:t>
      </w:r>
      <w:r w:rsidRPr="00E877AA">
        <w:rPr>
          <w:rFonts w:ascii="Arial" w:hAnsi="Arial" w:cs="Arial"/>
          <w:color w:val="333333"/>
          <w:sz w:val="22"/>
          <w:szCs w:val="22"/>
        </w:rPr>
        <w:t xml:space="preserve">Finanční arbitr byl státem zřízen jako bezplatný orgán mimosoudního řešení spotřebitelských sporů. </w:t>
      </w:r>
    </w:p>
    <w:p w:rsidR="009B3B52" w:rsidRPr="00E877AA" w:rsidRDefault="009B3B52" w:rsidP="00C120F3">
      <w:pPr>
        <w:pStyle w:val="Normlnweb"/>
        <w:jc w:val="both"/>
        <w:rPr>
          <w:rFonts w:ascii="Helvetica" w:hAnsi="Helvetica" w:cs="Helvetica"/>
          <w:color w:val="333333"/>
          <w:sz w:val="21"/>
          <w:szCs w:val="21"/>
        </w:rPr>
      </w:pPr>
      <w:r w:rsidRPr="00E877AA">
        <w:rPr>
          <w:rFonts w:ascii="Arial" w:hAnsi="Arial" w:cs="Arial"/>
          <w:color w:val="333333"/>
          <w:sz w:val="22"/>
          <w:szCs w:val="22"/>
        </w:rPr>
        <w:t>Finanční arbitr je zde pro spotřebitele k tomu, aby mu bezplatně a bez nutnosti právního zastoupení (a s tím souvisejících nákladů) umožnil svůj spor vyřešit smírně.</w:t>
      </w:r>
      <w:r w:rsidR="00C120F3" w:rsidRPr="00E877AA">
        <w:rPr>
          <w:rFonts w:ascii="Arial" w:hAnsi="Arial" w:cs="Arial"/>
          <w:color w:val="333333"/>
          <w:sz w:val="22"/>
          <w:szCs w:val="22"/>
        </w:rPr>
        <w:t xml:space="preserve"> …</w:t>
      </w:r>
      <w:r w:rsidRPr="00E877AA">
        <w:rPr>
          <w:rFonts w:ascii="Arial" w:hAnsi="Arial" w:cs="Arial"/>
          <w:color w:val="333333"/>
          <w:sz w:val="22"/>
          <w:szCs w:val="22"/>
        </w:rPr>
        <w:t>Právního zastoupení by tak měl spotřebitel využít až poté, co v mimosoudním řízení před finančním arbitrem neuspěje, resp. nebude souhlasit s rozhodnutím finančního arbitra, protože rozhodnutí finančního arbitra je přezkoumatelné obecným soudem.</w:t>
      </w:r>
    </w:p>
    <w:p w:rsidR="0062720B" w:rsidRPr="00E877AA" w:rsidRDefault="0062720B" w:rsidP="0062720B">
      <w:pPr>
        <w:pStyle w:val="Nadpis1"/>
        <w:rPr>
          <w:rFonts w:ascii="Arial" w:hAnsi="Arial" w:cs="Arial"/>
          <w:szCs w:val="24"/>
        </w:rPr>
      </w:pPr>
      <w:bookmarkStart w:id="9" w:name="_Toc2918281"/>
      <w:bookmarkStart w:id="10" w:name="_Toc2918282"/>
      <w:bookmarkStart w:id="11" w:name="_Toc4591463"/>
      <w:bookmarkEnd w:id="9"/>
      <w:bookmarkEnd w:id="10"/>
      <w:r w:rsidRPr="00E877AA">
        <w:rPr>
          <w:rFonts w:ascii="Arial" w:hAnsi="Arial" w:cs="Arial"/>
          <w:szCs w:val="24"/>
        </w:rPr>
        <w:lastRenderedPageBreak/>
        <w:t>MEZINÁRODNÍ SPOLUPRÁCE, FINANČNÍ VZDĚLÁVÁNÍ</w:t>
      </w:r>
      <w:bookmarkEnd w:id="11"/>
    </w:p>
    <w:p w:rsidR="0062720B" w:rsidRPr="00E877AA" w:rsidRDefault="0062720B" w:rsidP="0062720B">
      <w:pPr>
        <w:pStyle w:val="Mezinadpis"/>
        <w:keepNext w:val="0"/>
        <w:rPr>
          <w:rFonts w:ascii="Arial" w:hAnsi="Arial" w:cs="Arial"/>
          <w:sz w:val="22"/>
          <w:szCs w:val="22"/>
        </w:rPr>
      </w:pPr>
      <w:r w:rsidRPr="00E877AA">
        <w:rPr>
          <w:rFonts w:ascii="Arial" w:hAnsi="Arial" w:cs="Arial"/>
          <w:sz w:val="22"/>
          <w:szCs w:val="22"/>
        </w:rPr>
        <w:t>Spolupráce finančního arbitra s obdobnými orgány mimosoudního řešení spotřebitelských sporů v jiných státech</w:t>
      </w:r>
    </w:p>
    <w:p w:rsidR="0062720B" w:rsidRPr="00E877AA" w:rsidRDefault="0062720B" w:rsidP="0062720B">
      <w:pPr>
        <w:pStyle w:val="Bntextzprvy"/>
        <w:rPr>
          <w:rFonts w:cs="Arial"/>
          <w:szCs w:val="22"/>
        </w:rPr>
      </w:pPr>
      <w:r w:rsidRPr="00E877AA">
        <w:rPr>
          <w:rFonts w:cs="Arial"/>
          <w:szCs w:val="22"/>
        </w:rPr>
        <w:t>Zákon o finančním arbitrovi ukládá finančnímu arbitrovi na základě vzájemnosti povinnost spolupracovat s obdobnými orgány mimosoudního řešení spotřebitelských sporů v jiných státech, zejména ve státech tvořících Evropský hospodářský prostor, a s orgány Evropské unie.</w:t>
      </w:r>
    </w:p>
    <w:p w:rsidR="0062720B" w:rsidRPr="00E877AA" w:rsidRDefault="0062720B" w:rsidP="0062720B">
      <w:pPr>
        <w:pStyle w:val="Bntextzprvy"/>
        <w:rPr>
          <w:rFonts w:cs="Arial"/>
          <w:b/>
          <w:i/>
          <w:szCs w:val="22"/>
        </w:rPr>
      </w:pPr>
      <w:r w:rsidRPr="00E877AA">
        <w:rPr>
          <w:rFonts w:cs="Arial"/>
          <w:b/>
          <w:i/>
          <w:szCs w:val="22"/>
        </w:rPr>
        <w:t>ADR/ODR</w:t>
      </w:r>
    </w:p>
    <w:p w:rsidR="0062720B" w:rsidRPr="00E877AA" w:rsidRDefault="0062720B" w:rsidP="0062720B">
      <w:pPr>
        <w:pStyle w:val="Bntextzprvy"/>
        <w:rPr>
          <w:rFonts w:cs="Arial"/>
          <w:szCs w:val="22"/>
        </w:rPr>
      </w:pPr>
      <w:r w:rsidRPr="00E877AA">
        <w:rPr>
          <w:rFonts w:cs="Arial"/>
          <w:szCs w:val="22"/>
        </w:rPr>
        <w:t xml:space="preserve">Od ledna 2016 je finanční arbitr notifikován Ministerstvem průmyslu a obchodu Evropské komisi jako příslušný subjekt podle směrnice ADR a od února 2016 je napojený na evropskou platformu pro řešení spotřebitelských sporů on-line, kterou provozuje Evropská komise na adrese </w:t>
      </w:r>
      <w:hyperlink r:id="rId30" w:history="1">
        <w:r w:rsidRPr="00E877AA">
          <w:rPr>
            <w:rStyle w:val="Hypertextovodkaz"/>
          </w:rPr>
          <w:t>https://ec.europa.eu/consumers/odr/main/index.cfm?event=main.home.show&amp;lng=CS</w:t>
        </w:r>
      </w:hyperlink>
      <w:r w:rsidRPr="00E877AA">
        <w:rPr>
          <w:rFonts w:cs="Arial"/>
          <w:szCs w:val="22"/>
        </w:rPr>
        <w:t xml:space="preserve"> v intencích nařízení ODR. V roce 2018 nebyl prostřednictvím platformy ODR podán k finančnímu arbitrovi žádný návrh na zahájení řízení.</w:t>
      </w:r>
    </w:p>
    <w:p w:rsidR="0062720B" w:rsidRPr="00E877AA" w:rsidRDefault="0062720B" w:rsidP="0062720B">
      <w:pPr>
        <w:pStyle w:val="Bntextzprvy"/>
        <w:spacing w:before="0" w:after="0"/>
        <w:rPr>
          <w:rFonts w:cs="Arial"/>
          <w:szCs w:val="22"/>
        </w:rPr>
      </w:pPr>
      <w:r w:rsidRPr="00E877AA">
        <w:rPr>
          <w:rFonts w:cs="Arial"/>
          <w:szCs w:val="22"/>
        </w:rPr>
        <w:t xml:space="preserve">V červnu 2018 se v Bruselu pod záštitou Evropské komise uskutečnilo tzv. ADR </w:t>
      </w:r>
      <w:proofErr w:type="spellStart"/>
      <w:r w:rsidRPr="00E877AA">
        <w:rPr>
          <w:rFonts w:cs="Arial"/>
          <w:szCs w:val="22"/>
        </w:rPr>
        <w:t>Assembly</w:t>
      </w:r>
      <w:proofErr w:type="spellEnd"/>
      <w:r w:rsidRPr="00E877AA">
        <w:rPr>
          <w:rFonts w:cs="Arial"/>
          <w:szCs w:val="22"/>
        </w:rPr>
        <w:t xml:space="preserve">, tedy historicky první setkání </w:t>
      </w:r>
      <w:r w:rsidRPr="00E877AA">
        <w:t>subjektů mimosoudního řešení spotřebitelských sporů notifikovaných Evropské komisi podle směrnice ADR. Tohoto setkání se za účelem vzájemného poznání, navázání kontaktů a spolupráce i výměně poznatků z dosavadní činnosti vedle zástupce finančního arbitra zúčastnilo dalších téměř 400 osob, jež se v členských státech Evropské unie resp. Evropského hospodářského prostoru podílejí na mimosoudním řešení spotřebitelských sporů.</w:t>
      </w:r>
    </w:p>
    <w:p w:rsidR="0062720B" w:rsidRPr="00E877AA" w:rsidRDefault="0062720B" w:rsidP="0062720B">
      <w:pPr>
        <w:pStyle w:val="Mezinadpis"/>
        <w:rPr>
          <w:rFonts w:ascii="Arial" w:hAnsi="Arial" w:cs="Arial"/>
          <w:sz w:val="22"/>
          <w:szCs w:val="22"/>
        </w:rPr>
      </w:pPr>
      <w:r w:rsidRPr="00E877AA">
        <w:rPr>
          <w:rFonts w:ascii="Arial" w:hAnsi="Arial" w:cs="Arial"/>
          <w:sz w:val="22"/>
          <w:szCs w:val="22"/>
        </w:rPr>
        <w:t>FIN-NET</w:t>
      </w:r>
    </w:p>
    <w:p w:rsidR="0062720B" w:rsidRPr="00E877AA" w:rsidRDefault="0062720B" w:rsidP="0062720B">
      <w:pPr>
        <w:pStyle w:val="Bntextzprvy"/>
        <w:rPr>
          <w:rFonts w:cs="Arial"/>
          <w:szCs w:val="22"/>
        </w:rPr>
      </w:pPr>
      <w:r w:rsidRPr="00E877AA">
        <w:rPr>
          <w:rFonts w:cs="Arial"/>
          <w:szCs w:val="22"/>
        </w:rPr>
        <w:t>Finanční arbitr je dlouhodobě členem evropské sítě institucí zaměřených na mimosoudní řešení sporů na finančním trhu FIN-NET. Tato síť, založená v roce 2001, sdružuje tzv. finanční ombudsmany z většiny členských států Evropské unie, resp. států tvořících Evropský hospodářský prostor. Jejím posláním je zejména sdílet poznatky z každodenní rozhodovací praxe a pomáhat při řešení přeshraničních sporů. V roce 2018 byl zástupce finančního arbitra opětovně jmenován Evropskou komisí na další dvouleté funkční období členem řídicího výboru (</w:t>
      </w:r>
      <w:proofErr w:type="spellStart"/>
      <w:r w:rsidRPr="00E877AA">
        <w:rPr>
          <w:rFonts w:cs="Arial"/>
          <w:szCs w:val="22"/>
        </w:rPr>
        <w:t>Steering</w:t>
      </w:r>
      <w:proofErr w:type="spellEnd"/>
      <w:r w:rsidRPr="00E877AA">
        <w:rPr>
          <w:rFonts w:cs="Arial"/>
          <w:szCs w:val="22"/>
        </w:rPr>
        <w:t xml:space="preserve"> </w:t>
      </w:r>
      <w:proofErr w:type="spellStart"/>
      <w:r w:rsidRPr="00E877AA">
        <w:rPr>
          <w:rFonts w:cs="Arial"/>
          <w:szCs w:val="22"/>
        </w:rPr>
        <w:t>Committee</w:t>
      </w:r>
      <w:proofErr w:type="spellEnd"/>
      <w:r w:rsidRPr="00E877AA">
        <w:rPr>
          <w:rFonts w:cs="Arial"/>
          <w:szCs w:val="22"/>
        </w:rPr>
        <w:t>) sítě FIN-NET, který řídí další směřování této sítě a připravuje agendu pro plenární jednání.</w:t>
      </w:r>
    </w:p>
    <w:p w:rsidR="0062720B" w:rsidRPr="00E877AA" w:rsidRDefault="0062720B" w:rsidP="0062720B">
      <w:pPr>
        <w:pStyle w:val="Bntextzprvy"/>
        <w:rPr>
          <w:rFonts w:cs="Arial"/>
          <w:szCs w:val="22"/>
        </w:rPr>
      </w:pPr>
      <w:r w:rsidRPr="00E877AA">
        <w:rPr>
          <w:rFonts w:cs="Arial"/>
          <w:szCs w:val="22"/>
        </w:rPr>
        <w:t>Evropská komise a členové sítě FIN-NET se v roce 2018 zaměřili především na zvýšení povědomí veřejnosti o této síti a fungování finančních ombudsmanů v jednotlivých členských státech zemí Evropského hospodářského prostoru a usnadnění přístupu spotřebitelů k jednotlivým příslušným subjektům. Evropská komise v této souvislosti výrazným způsobem aktualizovala a vylepšila své webové stránky a uskutečnila propagační kampaň na sociálních médiích.</w:t>
      </w:r>
      <w:r w:rsidR="00D67EB1" w:rsidRPr="00E877AA">
        <w:rPr>
          <w:rFonts w:cs="Arial"/>
          <w:szCs w:val="22"/>
        </w:rPr>
        <w:t xml:space="preserve"> Finanční arbitr publikoval na české i anglické verzi svých webových stránek propagační video </w:t>
      </w:r>
      <w:r w:rsidR="00257A68" w:rsidRPr="00E877AA">
        <w:rPr>
          <w:rFonts w:cs="Arial"/>
          <w:szCs w:val="22"/>
        </w:rPr>
        <w:t>Evropské komise o síti FIN-NET</w:t>
      </w:r>
      <w:r w:rsidR="00E311DF" w:rsidRPr="00E877AA">
        <w:rPr>
          <w:rFonts w:cs="Arial"/>
          <w:szCs w:val="22"/>
        </w:rPr>
        <w:t>.</w:t>
      </w:r>
    </w:p>
    <w:p w:rsidR="0062720B" w:rsidRPr="00E877AA" w:rsidRDefault="0062720B" w:rsidP="0062720B">
      <w:pPr>
        <w:pStyle w:val="Bntextzprvy"/>
        <w:rPr>
          <w:rFonts w:cs="Arial"/>
          <w:szCs w:val="22"/>
        </w:rPr>
      </w:pPr>
      <w:r w:rsidRPr="00E877AA">
        <w:rPr>
          <w:rFonts w:cs="Arial"/>
          <w:szCs w:val="22"/>
        </w:rPr>
        <w:t xml:space="preserve">Cílem </w:t>
      </w:r>
      <w:r w:rsidR="00D67EB1" w:rsidRPr="00E877AA">
        <w:rPr>
          <w:rFonts w:cs="Arial"/>
          <w:szCs w:val="22"/>
        </w:rPr>
        <w:t xml:space="preserve">kampaně </w:t>
      </w:r>
      <w:r w:rsidRPr="00E877AA">
        <w:rPr>
          <w:rFonts w:cs="Arial"/>
          <w:szCs w:val="22"/>
        </w:rPr>
        <w:t>má být zlepšení informovanosti spotřebitelů o možnostech řešení jejich sporů s finančními institucemi, usnadnění orientace, na který orgán se obrátit v případě řešení přeshraničních sporů, a současně i dosažení lepší spolupráce mezi jednotlivými subjekty mimosoudního řešení spotřebitelských sporů napříč všemi zeměmi tvořícími Evropský hospodářský prostor.</w:t>
      </w:r>
    </w:p>
    <w:p w:rsidR="0062720B" w:rsidRPr="00E877AA" w:rsidRDefault="0062720B" w:rsidP="0062720B">
      <w:pPr>
        <w:pStyle w:val="Bntextzprvy"/>
        <w:rPr>
          <w:rFonts w:cs="Arial"/>
          <w:szCs w:val="22"/>
        </w:rPr>
      </w:pPr>
      <w:r w:rsidRPr="00E877AA">
        <w:rPr>
          <w:rFonts w:cs="Arial"/>
          <w:szCs w:val="22"/>
        </w:rPr>
        <w:t>Členové sítě FIN-NET také pokračovali v prohlubování spolupráce mezi touto sítí a celosvětovou sítí INFO Network.</w:t>
      </w:r>
    </w:p>
    <w:p w:rsidR="0062720B" w:rsidRPr="00E877AA" w:rsidRDefault="0062720B" w:rsidP="0062720B">
      <w:pPr>
        <w:pStyle w:val="Mezinadpis"/>
        <w:rPr>
          <w:rFonts w:ascii="Arial" w:hAnsi="Arial" w:cs="Arial"/>
          <w:sz w:val="22"/>
          <w:szCs w:val="22"/>
        </w:rPr>
      </w:pPr>
      <w:r w:rsidRPr="00E877AA">
        <w:rPr>
          <w:rFonts w:ascii="Arial" w:hAnsi="Arial" w:cs="Arial"/>
          <w:sz w:val="22"/>
          <w:szCs w:val="22"/>
        </w:rPr>
        <w:t>INFO Network</w:t>
      </w:r>
    </w:p>
    <w:p w:rsidR="0062720B" w:rsidRPr="00E877AA" w:rsidRDefault="0062720B" w:rsidP="0062720B">
      <w:pPr>
        <w:pStyle w:val="Bntextzprvy"/>
        <w:rPr>
          <w:rFonts w:cs="Arial"/>
          <w:szCs w:val="22"/>
        </w:rPr>
      </w:pPr>
      <w:r w:rsidRPr="00E877AA">
        <w:rPr>
          <w:rFonts w:cs="Arial"/>
          <w:szCs w:val="22"/>
        </w:rPr>
        <w:t xml:space="preserve">Finanční arbitr je členem mezinárodní sítě institucí zaměřených na mimosoudní řešení spotřebitelských sporů na finančním trhu zvané INFO Network (celým jménem International Network </w:t>
      </w:r>
      <w:proofErr w:type="spellStart"/>
      <w:r w:rsidRPr="00E877AA">
        <w:rPr>
          <w:rFonts w:cs="Arial"/>
          <w:szCs w:val="22"/>
        </w:rPr>
        <w:t>of</w:t>
      </w:r>
      <w:proofErr w:type="spellEnd"/>
      <w:r w:rsidRPr="00E877AA">
        <w:rPr>
          <w:rFonts w:cs="Arial"/>
          <w:szCs w:val="22"/>
        </w:rPr>
        <w:t xml:space="preserve"> </w:t>
      </w:r>
      <w:proofErr w:type="spellStart"/>
      <w:r w:rsidRPr="00E877AA">
        <w:rPr>
          <w:rFonts w:cs="Arial"/>
          <w:szCs w:val="22"/>
        </w:rPr>
        <w:t>Financial</w:t>
      </w:r>
      <w:proofErr w:type="spellEnd"/>
      <w:r w:rsidRPr="00E877AA">
        <w:rPr>
          <w:rFonts w:cs="Arial"/>
          <w:szCs w:val="22"/>
        </w:rPr>
        <w:t xml:space="preserve"> </w:t>
      </w:r>
      <w:proofErr w:type="spellStart"/>
      <w:r w:rsidRPr="00E877AA">
        <w:rPr>
          <w:rFonts w:cs="Arial"/>
          <w:szCs w:val="22"/>
        </w:rPr>
        <w:t>Services</w:t>
      </w:r>
      <w:proofErr w:type="spellEnd"/>
      <w:r w:rsidRPr="00E877AA">
        <w:rPr>
          <w:rFonts w:cs="Arial"/>
          <w:szCs w:val="22"/>
        </w:rPr>
        <w:t xml:space="preserve"> Ombudsman </w:t>
      </w:r>
      <w:proofErr w:type="spellStart"/>
      <w:r w:rsidRPr="00E877AA">
        <w:rPr>
          <w:rFonts w:cs="Arial"/>
          <w:szCs w:val="22"/>
        </w:rPr>
        <w:t>Schemes</w:t>
      </w:r>
      <w:proofErr w:type="spellEnd"/>
      <w:r w:rsidRPr="00E877AA">
        <w:rPr>
          <w:rFonts w:cs="Arial"/>
          <w:szCs w:val="22"/>
        </w:rPr>
        <w:t>). V této síti, založené v roce 2007, jsou zastoupeny instituce finančních ombudsmanů prakticky ze všech kontinentů.</w:t>
      </w:r>
    </w:p>
    <w:p w:rsidR="0062720B" w:rsidRPr="00E877AA" w:rsidRDefault="0062720B" w:rsidP="0062720B">
      <w:pPr>
        <w:pStyle w:val="Bntextzprvy"/>
        <w:rPr>
          <w:rFonts w:cs="Arial"/>
          <w:szCs w:val="22"/>
        </w:rPr>
      </w:pPr>
      <w:r w:rsidRPr="00E877AA">
        <w:rPr>
          <w:rFonts w:cs="Arial"/>
          <w:szCs w:val="22"/>
        </w:rPr>
        <w:lastRenderedPageBreak/>
        <w:t xml:space="preserve">INFO Network dlouhodobě usiluje o nastavení univerzálně platných minimálních standardů (nezávislost, transparentnost, férovost, efektivnost) při mimosoudním řešení sporů na finančním trhu napříč různými typy institucí finančního ombudsmana po celém světě bez ohledu na povahu a způsob zřízení takové instituce (státní vs. soukromé, zřízené zákonem vs. zřízené jiným způsobem), financování, pravidla pro účast (účast poskytovatelů finančních služeb dobrovolná vs. povinná) a její pravomoci (možnost vydávat závazná rozhodnutí vs. mediace / </w:t>
      </w:r>
      <w:proofErr w:type="spellStart"/>
      <w:r w:rsidRPr="00E877AA">
        <w:rPr>
          <w:rFonts w:cs="Arial"/>
          <w:szCs w:val="22"/>
        </w:rPr>
        <w:t>konciliace</w:t>
      </w:r>
      <w:proofErr w:type="spellEnd"/>
      <w:r w:rsidRPr="00E877AA">
        <w:rPr>
          <w:rFonts w:cs="Arial"/>
          <w:szCs w:val="22"/>
        </w:rPr>
        <w:t>, apod.).</w:t>
      </w:r>
    </w:p>
    <w:p w:rsidR="0062720B" w:rsidRPr="00E877AA" w:rsidRDefault="0062720B" w:rsidP="0062720B">
      <w:pPr>
        <w:pStyle w:val="Bntextzprvy"/>
        <w:rPr>
          <w:rFonts w:cs="Arial"/>
          <w:szCs w:val="22"/>
        </w:rPr>
      </w:pPr>
      <w:r w:rsidRPr="00E877AA">
        <w:rPr>
          <w:rFonts w:cs="Arial"/>
          <w:szCs w:val="22"/>
        </w:rPr>
        <w:t xml:space="preserve">V rámci prohlubování spolupráce mezi sítí INFO Network a sítí FIN-NET se na okraj výroční konference sítě INFO uskutečnilo v září 2018 v Dublinu také setkání FIN-NET </w:t>
      </w:r>
      <w:proofErr w:type="spellStart"/>
      <w:r w:rsidRPr="00E877AA">
        <w:rPr>
          <w:rFonts w:cs="Arial"/>
          <w:szCs w:val="22"/>
        </w:rPr>
        <w:t>Steering</w:t>
      </w:r>
      <w:proofErr w:type="spellEnd"/>
      <w:r w:rsidRPr="00E877AA">
        <w:rPr>
          <w:rFonts w:cs="Arial"/>
          <w:szCs w:val="22"/>
        </w:rPr>
        <w:t xml:space="preserve"> </w:t>
      </w:r>
      <w:proofErr w:type="spellStart"/>
      <w:r w:rsidRPr="00E877AA">
        <w:rPr>
          <w:rFonts w:cs="Arial"/>
          <w:szCs w:val="22"/>
        </w:rPr>
        <w:t>Committee</w:t>
      </w:r>
      <w:proofErr w:type="spellEnd"/>
      <w:r w:rsidRPr="00E877AA">
        <w:rPr>
          <w:rFonts w:cs="Arial"/>
          <w:szCs w:val="22"/>
        </w:rPr>
        <w:t>.</w:t>
      </w:r>
    </w:p>
    <w:p w:rsidR="0062720B" w:rsidRPr="00E877AA" w:rsidRDefault="0062720B" w:rsidP="0062720B">
      <w:pPr>
        <w:pStyle w:val="Bnuvozovacodstavec"/>
        <w:keepNext/>
        <w:rPr>
          <w:rFonts w:cs="Arial"/>
          <w:b/>
          <w:i/>
          <w:szCs w:val="22"/>
        </w:rPr>
      </w:pPr>
      <w:r w:rsidRPr="00E877AA">
        <w:rPr>
          <w:rFonts w:cs="Arial"/>
          <w:b/>
          <w:i/>
          <w:szCs w:val="22"/>
        </w:rPr>
        <w:t>Zahraniční pracovní cesty</w:t>
      </w:r>
    </w:p>
    <w:p w:rsidR="0062720B" w:rsidRPr="00E877AA" w:rsidRDefault="0062720B" w:rsidP="0062720B">
      <w:pPr>
        <w:pStyle w:val="Bnuvozovacodstavec"/>
        <w:rPr>
          <w:rFonts w:cs="Arial"/>
          <w:szCs w:val="22"/>
        </w:rPr>
      </w:pPr>
      <w:r w:rsidRPr="00E877AA">
        <w:rPr>
          <w:rFonts w:cs="Arial"/>
          <w:szCs w:val="22"/>
        </w:rPr>
        <w:t>V roce 2018 se zástupce finančního arbitra, který je trvale pověřen agendou zahraniční spolupráce, zúčastnil zahraničních pracovních cest, a to za účelem účasti na těchto akcích:</w:t>
      </w:r>
    </w:p>
    <w:p w:rsidR="0062720B" w:rsidRPr="00E877AA" w:rsidRDefault="0062720B" w:rsidP="00F245A9">
      <w:pPr>
        <w:numPr>
          <w:ilvl w:val="0"/>
          <w:numId w:val="1"/>
        </w:numPr>
        <w:spacing w:after="0"/>
        <w:ind w:left="567" w:hanging="567"/>
        <w:jc w:val="both"/>
        <w:rPr>
          <w:rFonts w:ascii="Arial" w:hAnsi="Arial" w:cs="Arial"/>
        </w:rPr>
      </w:pPr>
      <w:r w:rsidRPr="00E877AA">
        <w:rPr>
          <w:rFonts w:ascii="Arial" w:hAnsi="Arial" w:cs="Arial"/>
        </w:rPr>
        <w:t xml:space="preserve">Jednání řídícího výboru FIN-NET </w:t>
      </w:r>
      <w:proofErr w:type="spellStart"/>
      <w:r w:rsidRPr="00E877AA">
        <w:rPr>
          <w:rFonts w:ascii="Arial" w:hAnsi="Arial" w:cs="Arial"/>
        </w:rPr>
        <w:t>Steering</w:t>
      </w:r>
      <w:proofErr w:type="spellEnd"/>
      <w:r w:rsidRPr="00E877AA">
        <w:rPr>
          <w:rFonts w:ascii="Arial" w:hAnsi="Arial" w:cs="Arial"/>
        </w:rPr>
        <w:t xml:space="preserve"> </w:t>
      </w:r>
      <w:proofErr w:type="spellStart"/>
      <w:r w:rsidRPr="00E877AA">
        <w:rPr>
          <w:rFonts w:ascii="Arial" w:hAnsi="Arial" w:cs="Arial"/>
        </w:rPr>
        <w:t>Committee</w:t>
      </w:r>
      <w:proofErr w:type="spellEnd"/>
      <w:r w:rsidRPr="00E877AA">
        <w:rPr>
          <w:rFonts w:ascii="Arial" w:hAnsi="Arial" w:cs="Arial"/>
        </w:rPr>
        <w:t xml:space="preserve"> (</w:t>
      </w:r>
      <w:r w:rsidR="00EF7C17" w:rsidRPr="00E877AA">
        <w:rPr>
          <w:rFonts w:ascii="Arial" w:hAnsi="Arial" w:cs="Arial"/>
        </w:rPr>
        <w:t>Oslo</w:t>
      </w:r>
      <w:r w:rsidRPr="00E877AA">
        <w:rPr>
          <w:rFonts w:ascii="Arial" w:hAnsi="Arial" w:cs="Arial"/>
        </w:rPr>
        <w:t xml:space="preserve">, </w:t>
      </w:r>
      <w:r w:rsidR="00EF7C17" w:rsidRPr="00E877AA">
        <w:rPr>
          <w:rFonts w:ascii="Arial" w:hAnsi="Arial" w:cs="Arial"/>
        </w:rPr>
        <w:t>Norsko</w:t>
      </w:r>
      <w:r w:rsidRPr="00E877AA">
        <w:rPr>
          <w:rFonts w:ascii="Arial" w:hAnsi="Arial" w:cs="Arial"/>
        </w:rPr>
        <w:t>),</w:t>
      </w:r>
    </w:p>
    <w:p w:rsidR="0062720B" w:rsidRPr="00E877AA" w:rsidRDefault="0062720B" w:rsidP="00F245A9">
      <w:pPr>
        <w:numPr>
          <w:ilvl w:val="0"/>
          <w:numId w:val="1"/>
        </w:numPr>
        <w:spacing w:after="0"/>
        <w:ind w:left="567" w:hanging="567"/>
        <w:jc w:val="both"/>
        <w:rPr>
          <w:rFonts w:ascii="Arial" w:hAnsi="Arial" w:cs="Arial"/>
        </w:rPr>
      </w:pPr>
      <w:r w:rsidRPr="00E877AA">
        <w:rPr>
          <w:rFonts w:ascii="Arial" w:hAnsi="Arial" w:cs="Arial"/>
        </w:rPr>
        <w:t xml:space="preserve">Výroční zasedání sítě FIN-NET (Brusel, Belgie) 2x; v červnu 2018 akce navazovala na ADR </w:t>
      </w:r>
      <w:proofErr w:type="spellStart"/>
      <w:r w:rsidRPr="00E877AA">
        <w:rPr>
          <w:rFonts w:ascii="Arial" w:hAnsi="Arial" w:cs="Arial"/>
        </w:rPr>
        <w:t>Assembly</w:t>
      </w:r>
      <w:proofErr w:type="spellEnd"/>
      <w:r w:rsidRPr="00E877AA">
        <w:rPr>
          <w:rFonts w:ascii="Arial" w:hAnsi="Arial" w:cs="Arial"/>
        </w:rPr>
        <w:t xml:space="preserve">; v listopadu 2018 byla spojena s konferencí </w:t>
      </w:r>
      <w:proofErr w:type="spellStart"/>
      <w:r w:rsidRPr="00E877AA">
        <w:rPr>
          <w:rFonts w:ascii="Arial" w:hAnsi="Arial" w:cs="Arial"/>
        </w:rPr>
        <w:t>Financial</w:t>
      </w:r>
      <w:proofErr w:type="spellEnd"/>
      <w:r w:rsidRPr="00E877AA">
        <w:rPr>
          <w:rFonts w:ascii="Arial" w:hAnsi="Arial" w:cs="Arial"/>
        </w:rPr>
        <w:t xml:space="preserve"> </w:t>
      </w:r>
      <w:proofErr w:type="spellStart"/>
      <w:r w:rsidRPr="00E877AA">
        <w:rPr>
          <w:rFonts w:ascii="Arial" w:hAnsi="Arial" w:cs="Arial"/>
        </w:rPr>
        <w:t>Education</w:t>
      </w:r>
      <w:proofErr w:type="spellEnd"/>
      <w:r w:rsidRPr="00E877AA">
        <w:rPr>
          <w:rFonts w:ascii="Arial" w:hAnsi="Arial" w:cs="Arial"/>
        </w:rPr>
        <w:t xml:space="preserve">: </w:t>
      </w:r>
      <w:proofErr w:type="spellStart"/>
      <w:r w:rsidRPr="00E877AA">
        <w:rPr>
          <w:rFonts w:ascii="Arial" w:hAnsi="Arial" w:cs="Arial"/>
        </w:rPr>
        <w:t>Global</w:t>
      </w:r>
      <w:proofErr w:type="spellEnd"/>
      <w:r w:rsidRPr="00E877AA">
        <w:rPr>
          <w:rFonts w:ascii="Arial" w:hAnsi="Arial" w:cs="Arial"/>
        </w:rPr>
        <w:t xml:space="preserve"> </w:t>
      </w:r>
      <w:proofErr w:type="spellStart"/>
      <w:r w:rsidRPr="00E877AA">
        <w:rPr>
          <w:rFonts w:ascii="Arial" w:hAnsi="Arial" w:cs="Arial"/>
        </w:rPr>
        <w:t>Perspectives</w:t>
      </w:r>
      <w:proofErr w:type="spellEnd"/>
      <w:r w:rsidRPr="00E877AA">
        <w:rPr>
          <w:rFonts w:ascii="Arial" w:hAnsi="Arial" w:cs="Arial"/>
        </w:rPr>
        <w:t xml:space="preserve"> and </w:t>
      </w:r>
      <w:proofErr w:type="spellStart"/>
      <w:r w:rsidRPr="00E877AA">
        <w:rPr>
          <w:rFonts w:ascii="Arial" w:hAnsi="Arial" w:cs="Arial"/>
        </w:rPr>
        <w:t>Challenges</w:t>
      </w:r>
      <w:proofErr w:type="spellEnd"/>
      <w:r w:rsidRPr="00E877AA">
        <w:rPr>
          <w:rFonts w:ascii="Arial" w:hAnsi="Arial" w:cs="Arial"/>
        </w:rPr>
        <w:t xml:space="preserve"> (organizovanou Mezinárodní federací finančních muzeí a Evropskou bankovní federací),</w:t>
      </w:r>
    </w:p>
    <w:p w:rsidR="0062720B" w:rsidRPr="00E877AA" w:rsidRDefault="0062720B" w:rsidP="00F245A9">
      <w:pPr>
        <w:numPr>
          <w:ilvl w:val="0"/>
          <w:numId w:val="1"/>
        </w:numPr>
        <w:spacing w:after="0"/>
        <w:ind w:left="567" w:hanging="567"/>
        <w:jc w:val="both"/>
        <w:rPr>
          <w:rFonts w:ascii="Arial" w:hAnsi="Arial" w:cs="Arial"/>
        </w:rPr>
      </w:pPr>
      <w:r w:rsidRPr="00E877AA">
        <w:rPr>
          <w:rFonts w:ascii="Arial" w:hAnsi="Arial" w:cs="Arial"/>
        </w:rPr>
        <w:t xml:space="preserve">Výroční konference INFO (International Network </w:t>
      </w:r>
      <w:proofErr w:type="spellStart"/>
      <w:r w:rsidRPr="00E877AA">
        <w:rPr>
          <w:rFonts w:ascii="Arial" w:hAnsi="Arial" w:cs="Arial"/>
        </w:rPr>
        <w:t>of</w:t>
      </w:r>
      <w:proofErr w:type="spellEnd"/>
      <w:r w:rsidRPr="00E877AA">
        <w:rPr>
          <w:rFonts w:ascii="Arial" w:hAnsi="Arial" w:cs="Arial"/>
        </w:rPr>
        <w:t xml:space="preserve"> </w:t>
      </w:r>
      <w:proofErr w:type="spellStart"/>
      <w:r w:rsidRPr="00E877AA">
        <w:rPr>
          <w:rFonts w:ascii="Arial" w:hAnsi="Arial" w:cs="Arial"/>
        </w:rPr>
        <w:t>Financial</w:t>
      </w:r>
      <w:proofErr w:type="spellEnd"/>
      <w:r w:rsidRPr="00E877AA">
        <w:rPr>
          <w:rFonts w:ascii="Arial" w:hAnsi="Arial" w:cs="Arial"/>
        </w:rPr>
        <w:t xml:space="preserve"> </w:t>
      </w:r>
      <w:proofErr w:type="spellStart"/>
      <w:r w:rsidRPr="00E877AA">
        <w:rPr>
          <w:rFonts w:ascii="Arial" w:hAnsi="Arial" w:cs="Arial"/>
        </w:rPr>
        <w:t>Services</w:t>
      </w:r>
      <w:proofErr w:type="spellEnd"/>
      <w:r w:rsidRPr="00E877AA">
        <w:rPr>
          <w:rFonts w:ascii="Arial" w:hAnsi="Arial" w:cs="Arial"/>
        </w:rPr>
        <w:t xml:space="preserve"> Ombudsman </w:t>
      </w:r>
      <w:proofErr w:type="spellStart"/>
      <w:r w:rsidRPr="00E877AA">
        <w:rPr>
          <w:rFonts w:ascii="Arial" w:hAnsi="Arial" w:cs="Arial"/>
        </w:rPr>
        <w:t>Schemes</w:t>
      </w:r>
      <w:proofErr w:type="spellEnd"/>
      <w:r w:rsidRPr="00E877AA">
        <w:rPr>
          <w:rFonts w:ascii="Arial" w:hAnsi="Arial" w:cs="Arial"/>
        </w:rPr>
        <w:t xml:space="preserve">) 2018 (Dublin, Irsko) spojená s jednáním řídicího výboru FIN-NET </w:t>
      </w:r>
      <w:proofErr w:type="spellStart"/>
      <w:r w:rsidRPr="00E877AA">
        <w:rPr>
          <w:rFonts w:ascii="Arial" w:hAnsi="Arial" w:cs="Arial"/>
        </w:rPr>
        <w:t>Steering</w:t>
      </w:r>
      <w:proofErr w:type="spellEnd"/>
      <w:r w:rsidRPr="00E877AA">
        <w:rPr>
          <w:rFonts w:ascii="Arial" w:hAnsi="Arial" w:cs="Arial"/>
        </w:rPr>
        <w:t xml:space="preserve"> </w:t>
      </w:r>
      <w:proofErr w:type="spellStart"/>
      <w:r w:rsidRPr="00E877AA">
        <w:rPr>
          <w:rFonts w:ascii="Arial" w:hAnsi="Arial" w:cs="Arial"/>
        </w:rPr>
        <w:t>Committee</w:t>
      </w:r>
      <w:proofErr w:type="spellEnd"/>
      <w:r w:rsidRPr="00E877AA">
        <w:rPr>
          <w:rFonts w:ascii="Arial" w:hAnsi="Arial" w:cs="Arial"/>
        </w:rPr>
        <w:t>.</w:t>
      </w:r>
    </w:p>
    <w:p w:rsidR="0062720B" w:rsidRPr="00E877AA" w:rsidRDefault="0062720B" w:rsidP="0062720B">
      <w:pPr>
        <w:pStyle w:val="Bntextzprvy"/>
        <w:rPr>
          <w:rFonts w:cs="Arial"/>
          <w:szCs w:val="22"/>
        </w:rPr>
      </w:pPr>
      <w:r w:rsidRPr="00E877AA">
        <w:rPr>
          <w:rFonts w:cs="Arial"/>
          <w:szCs w:val="22"/>
        </w:rPr>
        <w:t>Jak je z uvedeného výčtu zřejmé, zástupce finančního arbitra se snažil v maximální možné míře při plánování pracovních cest a organizování setkání na evropské i celosvětové úrovni dosáhnout jejich co největší efektivity a maximálního vytěžení (spojování resp. navazování akcí atd.)</w:t>
      </w:r>
    </w:p>
    <w:p w:rsidR="0062720B" w:rsidRPr="00E877AA" w:rsidRDefault="0062720B" w:rsidP="0062720B">
      <w:pPr>
        <w:pStyle w:val="Bntextzprvy"/>
        <w:rPr>
          <w:rFonts w:cs="Arial"/>
          <w:szCs w:val="22"/>
        </w:rPr>
      </w:pPr>
      <w:r w:rsidRPr="00E877AA">
        <w:rPr>
          <w:rFonts w:cs="Arial"/>
          <w:szCs w:val="22"/>
        </w:rPr>
        <w:t>Všechny uskutečněné pracovní cesty byly pro činnost Kanceláře finančního arbitra přínosné, a to s ohledem na získané informace o činnosti zahraničních finančních ombudsmanů i připravovaných a realizovaných změnách evropské legislativy.</w:t>
      </w:r>
    </w:p>
    <w:p w:rsidR="0062720B" w:rsidRPr="00E877AA" w:rsidRDefault="0062720B" w:rsidP="0062720B">
      <w:pPr>
        <w:pStyle w:val="Bntextzprvy"/>
        <w:rPr>
          <w:rFonts w:cs="Arial"/>
          <w:szCs w:val="22"/>
        </w:rPr>
      </w:pPr>
      <w:r w:rsidRPr="00E877AA">
        <w:rPr>
          <w:rFonts w:cs="Arial"/>
          <w:szCs w:val="22"/>
        </w:rPr>
        <w:t>Zástupce finančního arbitra v průběhu svých zahraničních cest upevňoval spolupráci mezi členy sítí, do kterých je finanční arbitr zapojen, přednášel o situaci v České republice i zjišťoval poznatky ze zahraničí z oblastí, které nejsou tuzemskou legislativou podrobně upraveny. Přínos zahraničních pracovních cest zástupce finančního arbitra je nesporný, zejména z důvodu rozvoje vztahů s jednotlivými členy sítě FIN-NET.</w:t>
      </w:r>
    </w:p>
    <w:p w:rsidR="0062720B" w:rsidRPr="00E877AA" w:rsidRDefault="0062720B" w:rsidP="0062720B">
      <w:pPr>
        <w:pStyle w:val="Mezinadpis"/>
        <w:rPr>
          <w:rFonts w:cs="Arial"/>
          <w:szCs w:val="22"/>
        </w:rPr>
      </w:pPr>
      <w:r w:rsidRPr="00E877AA">
        <w:rPr>
          <w:rFonts w:ascii="Arial" w:hAnsi="Arial" w:cs="Arial"/>
          <w:sz w:val="22"/>
          <w:szCs w:val="22"/>
        </w:rPr>
        <w:t>Další formy mezinárodní spolupráce</w:t>
      </w:r>
    </w:p>
    <w:p w:rsidR="0062720B" w:rsidRPr="00E877AA" w:rsidRDefault="0062720B" w:rsidP="0062720B">
      <w:pPr>
        <w:pStyle w:val="Bntextzprvy"/>
        <w:rPr>
          <w:rFonts w:cs="Arial"/>
          <w:szCs w:val="22"/>
        </w:rPr>
      </w:pPr>
      <w:r w:rsidRPr="00E877AA">
        <w:rPr>
          <w:rFonts w:cs="Arial"/>
          <w:szCs w:val="22"/>
        </w:rPr>
        <w:t>V listopadu 201</w:t>
      </w:r>
      <w:r w:rsidR="009743DA" w:rsidRPr="00E877AA">
        <w:rPr>
          <w:rFonts w:cs="Arial"/>
          <w:szCs w:val="22"/>
        </w:rPr>
        <w:t>8</w:t>
      </w:r>
      <w:r w:rsidRPr="00E877AA">
        <w:rPr>
          <w:rFonts w:cs="Arial"/>
          <w:szCs w:val="22"/>
        </w:rPr>
        <w:t xml:space="preserve"> se uskutečnilo v rámci </w:t>
      </w:r>
      <w:proofErr w:type="spellStart"/>
      <w:r w:rsidRPr="00E877AA">
        <w:rPr>
          <w:rFonts w:cs="Arial"/>
          <w:szCs w:val="22"/>
        </w:rPr>
        <w:t>twinningového</w:t>
      </w:r>
      <w:proofErr w:type="spellEnd"/>
      <w:r w:rsidRPr="00E877AA">
        <w:rPr>
          <w:rFonts w:cs="Arial"/>
          <w:szCs w:val="22"/>
        </w:rPr>
        <w:t xml:space="preserve"> projektu Evropské unie a Srbska „</w:t>
      </w:r>
      <w:proofErr w:type="spellStart"/>
      <w:r w:rsidRPr="00E877AA">
        <w:rPr>
          <w:rFonts w:cs="Arial"/>
          <w:szCs w:val="22"/>
        </w:rPr>
        <w:t>Further</w:t>
      </w:r>
      <w:proofErr w:type="spellEnd"/>
      <w:r w:rsidRPr="00E877AA">
        <w:rPr>
          <w:rFonts w:cs="Arial"/>
          <w:szCs w:val="22"/>
        </w:rPr>
        <w:t xml:space="preserve"> </w:t>
      </w:r>
      <w:proofErr w:type="spellStart"/>
      <w:r w:rsidRPr="00E877AA">
        <w:rPr>
          <w:rFonts w:cs="Arial"/>
          <w:szCs w:val="22"/>
        </w:rPr>
        <w:t>Development</w:t>
      </w:r>
      <w:proofErr w:type="spellEnd"/>
      <w:r w:rsidRPr="00E877AA">
        <w:rPr>
          <w:rFonts w:cs="Arial"/>
          <w:szCs w:val="22"/>
        </w:rPr>
        <w:t xml:space="preserve"> </w:t>
      </w:r>
      <w:proofErr w:type="spellStart"/>
      <w:r w:rsidRPr="00E877AA">
        <w:rPr>
          <w:rFonts w:cs="Arial"/>
          <w:szCs w:val="22"/>
        </w:rPr>
        <w:t>of</w:t>
      </w:r>
      <w:proofErr w:type="spellEnd"/>
      <w:r w:rsidRPr="00E877AA">
        <w:rPr>
          <w:rFonts w:cs="Arial"/>
          <w:szCs w:val="22"/>
        </w:rPr>
        <w:t xml:space="preserve"> </w:t>
      </w:r>
      <w:proofErr w:type="spellStart"/>
      <w:r w:rsidRPr="00E877AA">
        <w:rPr>
          <w:rFonts w:cs="Arial"/>
          <w:szCs w:val="22"/>
        </w:rPr>
        <w:t>Consumer</w:t>
      </w:r>
      <w:proofErr w:type="spellEnd"/>
      <w:r w:rsidRPr="00E877AA">
        <w:rPr>
          <w:rFonts w:cs="Arial"/>
          <w:szCs w:val="22"/>
        </w:rPr>
        <w:t xml:space="preserve"> </w:t>
      </w:r>
      <w:proofErr w:type="spellStart"/>
      <w:r w:rsidRPr="00E877AA">
        <w:rPr>
          <w:rFonts w:cs="Arial"/>
          <w:szCs w:val="22"/>
        </w:rPr>
        <w:t>Protection</w:t>
      </w:r>
      <w:proofErr w:type="spellEnd"/>
      <w:r w:rsidRPr="00E877AA">
        <w:rPr>
          <w:rFonts w:cs="Arial"/>
          <w:szCs w:val="22"/>
        </w:rPr>
        <w:t xml:space="preserve"> in </w:t>
      </w:r>
      <w:proofErr w:type="spellStart"/>
      <w:r w:rsidRPr="00E877AA">
        <w:rPr>
          <w:rFonts w:cs="Arial"/>
          <w:szCs w:val="22"/>
        </w:rPr>
        <w:t>Serbia</w:t>
      </w:r>
      <w:proofErr w:type="spellEnd"/>
      <w:r w:rsidRPr="00E877AA">
        <w:rPr>
          <w:rFonts w:cs="Arial"/>
          <w:szCs w:val="22"/>
        </w:rPr>
        <w:t xml:space="preserve"> SR IPA OT 01 16) setkání s představiteli Ministerstva obchodu, cestovního ruchu a telekomunikací Srbské republiky, na kterém zástupce finančního arbitra představil právní zakotvení i praktické fungování instituce finančního arbitra v České republice a podrobně se srbskými kolegy projednal výhody i nevýhody </w:t>
      </w:r>
      <w:r w:rsidR="00C607EA" w:rsidRPr="00E877AA">
        <w:rPr>
          <w:rFonts w:cs="Arial"/>
          <w:szCs w:val="22"/>
        </w:rPr>
        <w:t>tohoto uspořádání mimosoudního řešení spotřebitelských sporů na finančním trhu v České republice</w:t>
      </w:r>
      <w:r w:rsidRPr="00E877AA">
        <w:rPr>
          <w:rFonts w:cs="Arial"/>
          <w:szCs w:val="22"/>
        </w:rPr>
        <w:t>.</w:t>
      </w:r>
    </w:p>
    <w:p w:rsidR="0062720B" w:rsidRPr="00E877AA" w:rsidRDefault="0062720B" w:rsidP="0062720B">
      <w:pPr>
        <w:pStyle w:val="Mezinadpis"/>
        <w:rPr>
          <w:rFonts w:ascii="Arial" w:hAnsi="Arial" w:cs="Arial"/>
          <w:sz w:val="22"/>
          <w:szCs w:val="22"/>
        </w:rPr>
      </w:pPr>
      <w:r w:rsidRPr="00E877AA">
        <w:rPr>
          <w:rFonts w:ascii="Arial" w:hAnsi="Arial" w:cs="Arial"/>
          <w:sz w:val="22"/>
          <w:szCs w:val="22"/>
        </w:rPr>
        <w:t>Finanční vzdělávání, zvyšování povědomí veřejnosti o činnosti finančního arbitra</w:t>
      </w:r>
    </w:p>
    <w:p w:rsidR="0062720B" w:rsidRPr="00E877AA" w:rsidRDefault="0062720B" w:rsidP="0062720B">
      <w:pPr>
        <w:pStyle w:val="Bntextzprvy"/>
        <w:rPr>
          <w:rFonts w:cs="Arial"/>
          <w:szCs w:val="22"/>
        </w:rPr>
      </w:pPr>
      <w:r w:rsidRPr="00E877AA">
        <w:rPr>
          <w:rFonts w:cs="Arial"/>
          <w:szCs w:val="22"/>
        </w:rPr>
        <w:t>Finanční arbitr i zástupce finančního arbitra mají dlouhodobý zájem o zapojování do činností finančního vzdělávání občanů. Zástupce finančního arbitra je členem Pracovní skupiny pro finanční vzdělávání půs</w:t>
      </w:r>
      <w:r w:rsidR="009743DA" w:rsidRPr="00E877AA">
        <w:rPr>
          <w:rFonts w:cs="Arial"/>
          <w:szCs w:val="22"/>
        </w:rPr>
        <w:t>obící při Ministerstvu financí.</w:t>
      </w:r>
    </w:p>
    <w:p w:rsidR="0062720B" w:rsidRPr="00E877AA" w:rsidRDefault="0062720B" w:rsidP="0062720B">
      <w:pPr>
        <w:pStyle w:val="Bntextzprvy"/>
        <w:rPr>
          <w:rFonts w:cs="Arial"/>
          <w:szCs w:val="22"/>
        </w:rPr>
      </w:pPr>
      <w:r w:rsidRPr="00E877AA">
        <w:rPr>
          <w:rFonts w:cs="Arial"/>
          <w:szCs w:val="22"/>
        </w:rPr>
        <w:t>Zástupce finančního arbitra se v roce 2018 v Pracovní skupin</w:t>
      </w:r>
      <w:r w:rsidR="009743DA" w:rsidRPr="00E877AA">
        <w:rPr>
          <w:rFonts w:cs="Arial"/>
          <w:szCs w:val="22"/>
        </w:rPr>
        <w:t>ě</w:t>
      </w:r>
      <w:r w:rsidRPr="00E877AA">
        <w:rPr>
          <w:rFonts w:cs="Arial"/>
          <w:szCs w:val="22"/>
        </w:rPr>
        <w:t xml:space="preserve"> pro finanční vzdělávání podílel na přípravě revize Národní strategie finančního vzdělávání.</w:t>
      </w:r>
    </w:p>
    <w:p w:rsidR="0062720B" w:rsidRPr="00E877AA" w:rsidRDefault="0062720B" w:rsidP="0062720B">
      <w:pPr>
        <w:pStyle w:val="Bntextzprvy"/>
        <w:rPr>
          <w:rFonts w:cs="Arial"/>
          <w:szCs w:val="22"/>
        </w:rPr>
      </w:pPr>
      <w:r w:rsidRPr="00E877AA">
        <w:rPr>
          <w:rFonts w:cs="Arial"/>
          <w:szCs w:val="22"/>
        </w:rPr>
        <w:t>Zástupce finančního arbitra v roce 2018 přednášel na akademické půdě, a to již tradičně na Ekonomicko-správní fakultě Masarykovy Univerzity v Brně v rámci předmětů Osobní Finance a Finanční gramotnost a opětovně i na Právnické fakultě Univerzity Karlovy v Praze v rámci volitelného předmětu Ochrana spotřebitele.</w:t>
      </w:r>
    </w:p>
    <w:p w:rsidR="0062720B" w:rsidRPr="00E877AA" w:rsidRDefault="0062720B" w:rsidP="0062720B">
      <w:pPr>
        <w:jc w:val="both"/>
        <w:rPr>
          <w:rFonts w:ascii="Arial" w:eastAsia="Times New Roman" w:hAnsi="Arial" w:cs="Arial"/>
          <w:lang w:eastAsia="cs-CZ"/>
        </w:rPr>
      </w:pPr>
      <w:r w:rsidRPr="00E877AA">
        <w:rPr>
          <w:rFonts w:ascii="Arial" w:eastAsia="Times New Roman" w:hAnsi="Arial" w:cs="Arial"/>
          <w:lang w:eastAsia="cs-CZ"/>
        </w:rPr>
        <w:lastRenderedPageBreak/>
        <w:t>Zástupce finančního arbitra se na akademické půdě účastnil i dalších odborných a diskusních akcí, např. mezinárodní konference s názvem „</w:t>
      </w:r>
      <w:proofErr w:type="spellStart"/>
      <w:r w:rsidRPr="00E877AA">
        <w:rPr>
          <w:rFonts w:ascii="Arial" w:eastAsia="Times New Roman" w:hAnsi="Arial" w:cs="Arial"/>
          <w:lang w:eastAsia="cs-CZ"/>
        </w:rPr>
        <w:t>Efficient</w:t>
      </w:r>
      <w:proofErr w:type="spellEnd"/>
      <w:r w:rsidRPr="00E877AA">
        <w:rPr>
          <w:rFonts w:ascii="Arial" w:eastAsia="Times New Roman" w:hAnsi="Arial" w:cs="Arial"/>
          <w:lang w:eastAsia="cs-CZ"/>
        </w:rPr>
        <w:t xml:space="preserve"> </w:t>
      </w:r>
      <w:proofErr w:type="spellStart"/>
      <w:r w:rsidRPr="00E877AA">
        <w:rPr>
          <w:rFonts w:ascii="Arial" w:eastAsia="Times New Roman" w:hAnsi="Arial" w:cs="Arial"/>
          <w:lang w:eastAsia="cs-CZ"/>
        </w:rPr>
        <w:t>collective</w:t>
      </w:r>
      <w:proofErr w:type="spellEnd"/>
      <w:r w:rsidRPr="00E877AA">
        <w:rPr>
          <w:rFonts w:ascii="Arial" w:eastAsia="Times New Roman" w:hAnsi="Arial" w:cs="Arial"/>
          <w:lang w:eastAsia="cs-CZ"/>
        </w:rPr>
        <w:t xml:space="preserve"> </w:t>
      </w:r>
      <w:proofErr w:type="spellStart"/>
      <w:r w:rsidRPr="00E877AA">
        <w:rPr>
          <w:rFonts w:ascii="Arial" w:eastAsia="Times New Roman" w:hAnsi="Arial" w:cs="Arial"/>
          <w:lang w:eastAsia="cs-CZ"/>
        </w:rPr>
        <w:t>redress</w:t>
      </w:r>
      <w:proofErr w:type="spellEnd"/>
      <w:r w:rsidRPr="00E877AA">
        <w:rPr>
          <w:rFonts w:ascii="Arial" w:eastAsia="Times New Roman" w:hAnsi="Arial" w:cs="Arial"/>
          <w:lang w:eastAsia="cs-CZ"/>
        </w:rPr>
        <w:t xml:space="preserve"> </w:t>
      </w:r>
      <w:proofErr w:type="spellStart"/>
      <w:r w:rsidRPr="00E877AA">
        <w:rPr>
          <w:rFonts w:ascii="Arial" w:eastAsia="Times New Roman" w:hAnsi="Arial" w:cs="Arial"/>
          <w:lang w:eastAsia="cs-CZ"/>
        </w:rPr>
        <w:t>mechanisms</w:t>
      </w:r>
      <w:proofErr w:type="spellEnd"/>
      <w:r w:rsidRPr="00E877AA">
        <w:rPr>
          <w:rFonts w:ascii="Arial" w:eastAsia="Times New Roman" w:hAnsi="Arial" w:cs="Arial"/>
          <w:lang w:eastAsia="cs-CZ"/>
        </w:rPr>
        <w:t xml:space="preserve"> in </w:t>
      </w:r>
      <w:proofErr w:type="spellStart"/>
      <w:r w:rsidRPr="00E877AA">
        <w:rPr>
          <w:rFonts w:ascii="Arial" w:eastAsia="Times New Roman" w:hAnsi="Arial" w:cs="Arial"/>
          <w:lang w:eastAsia="cs-CZ"/>
        </w:rPr>
        <w:t>Visegrad</w:t>
      </w:r>
      <w:proofErr w:type="spellEnd"/>
      <w:r w:rsidRPr="00E877AA">
        <w:rPr>
          <w:rFonts w:ascii="Arial" w:eastAsia="Times New Roman" w:hAnsi="Arial" w:cs="Arial"/>
          <w:lang w:eastAsia="cs-CZ"/>
        </w:rPr>
        <w:t xml:space="preserve"> 4 </w:t>
      </w:r>
      <w:proofErr w:type="spellStart"/>
      <w:r w:rsidRPr="00E877AA">
        <w:rPr>
          <w:rFonts w:ascii="Arial" w:eastAsia="Times New Roman" w:hAnsi="Arial" w:cs="Arial"/>
          <w:lang w:eastAsia="cs-CZ"/>
        </w:rPr>
        <w:t>countries</w:t>
      </w:r>
      <w:proofErr w:type="spellEnd"/>
      <w:r w:rsidRPr="00E877AA">
        <w:rPr>
          <w:rFonts w:ascii="Arial" w:eastAsia="Times New Roman" w:hAnsi="Arial" w:cs="Arial"/>
          <w:lang w:eastAsia="cs-CZ"/>
        </w:rPr>
        <w:t xml:space="preserve">: </w:t>
      </w:r>
      <w:proofErr w:type="spellStart"/>
      <w:r w:rsidRPr="00E877AA">
        <w:rPr>
          <w:rFonts w:ascii="Arial" w:eastAsia="Times New Roman" w:hAnsi="Arial" w:cs="Arial"/>
          <w:lang w:eastAsia="cs-CZ"/>
        </w:rPr>
        <w:t>an</w:t>
      </w:r>
      <w:proofErr w:type="spellEnd"/>
      <w:r w:rsidRPr="00E877AA">
        <w:rPr>
          <w:rFonts w:ascii="Arial" w:eastAsia="Times New Roman" w:hAnsi="Arial" w:cs="Arial"/>
          <w:lang w:eastAsia="cs-CZ"/>
        </w:rPr>
        <w:t xml:space="preserve"> </w:t>
      </w:r>
      <w:proofErr w:type="spellStart"/>
      <w:r w:rsidRPr="00E877AA">
        <w:rPr>
          <w:rFonts w:ascii="Arial" w:eastAsia="Times New Roman" w:hAnsi="Arial" w:cs="Arial"/>
          <w:lang w:eastAsia="cs-CZ"/>
        </w:rPr>
        <w:t>achievable</w:t>
      </w:r>
      <w:proofErr w:type="spellEnd"/>
      <w:r w:rsidRPr="00E877AA">
        <w:rPr>
          <w:rFonts w:ascii="Arial" w:eastAsia="Times New Roman" w:hAnsi="Arial" w:cs="Arial"/>
          <w:lang w:eastAsia="cs-CZ"/>
        </w:rPr>
        <w:t xml:space="preserve"> </w:t>
      </w:r>
      <w:proofErr w:type="spellStart"/>
      <w:r w:rsidRPr="00E877AA">
        <w:rPr>
          <w:rFonts w:ascii="Arial" w:eastAsia="Times New Roman" w:hAnsi="Arial" w:cs="Arial"/>
          <w:lang w:eastAsia="cs-CZ"/>
        </w:rPr>
        <w:t>target</w:t>
      </w:r>
      <w:proofErr w:type="spellEnd"/>
      <w:r w:rsidRPr="00E877AA">
        <w:rPr>
          <w:rFonts w:ascii="Arial" w:eastAsia="Times New Roman" w:hAnsi="Arial" w:cs="Arial"/>
          <w:lang w:eastAsia="cs-CZ"/>
        </w:rPr>
        <w:t>?“, která se v listopadu 2018 uskutečnila na půdě Akademie věd ČR, nebo debaty Česko v době dluhů na půdě Právnické fakulty Univerzity Karlovy v Praze.</w:t>
      </w:r>
    </w:p>
    <w:p w:rsidR="0062720B" w:rsidRPr="00E877AA" w:rsidRDefault="0062720B" w:rsidP="0062720B">
      <w:pPr>
        <w:jc w:val="both"/>
        <w:rPr>
          <w:rFonts w:ascii="Arial" w:eastAsia="Times New Roman" w:hAnsi="Arial" w:cs="Arial"/>
          <w:lang w:eastAsia="cs-CZ"/>
        </w:rPr>
      </w:pPr>
      <w:r w:rsidRPr="00E877AA">
        <w:rPr>
          <w:rFonts w:ascii="Arial" w:eastAsia="Times New Roman" w:hAnsi="Arial" w:cs="Arial"/>
          <w:lang w:eastAsia="cs-CZ"/>
        </w:rPr>
        <w:t xml:space="preserve">Právě dluhové problematice a aktivitám směřujícím k prevenci předlužení popřípadě jeho řešení </w:t>
      </w:r>
      <w:r w:rsidR="00073328">
        <w:rPr>
          <w:rFonts w:ascii="Arial" w:eastAsia="Times New Roman" w:hAnsi="Arial" w:cs="Arial"/>
          <w:lang w:eastAsia="cs-CZ"/>
        </w:rPr>
        <w:t xml:space="preserve">se </w:t>
      </w:r>
      <w:r w:rsidRPr="00E877AA">
        <w:rPr>
          <w:rFonts w:ascii="Arial" w:eastAsia="Times New Roman" w:hAnsi="Arial" w:cs="Arial"/>
          <w:lang w:eastAsia="cs-CZ"/>
        </w:rPr>
        <w:t>věnuje Kancelář finančního arbitra nejen při své osvětové činnosti. Přestože v roce 2018 byla v zásadě utlumena činnost Aliance proti dluhům, jíž je zástupce finančního arbitra členem a která sdružuje širokou škálu odborníků specializovaných na problematiku zadluženosti domácností, a méně často v předchozím období se setkávali členové Platformy pro odpovědné finance, která slouží jako fórum pro diskuzi nad palčivými společenskými tématy, jako jsou neetické praktiky na trhu spotřebitelských úvěrů, problematika lichvy, otázky férového vymáhání či finanční gramotnost veřejnosti, zástupce finančního arbitra se zapojoval do veřejných diskusí i k těmto tématům včetně problematiky předlužení.</w:t>
      </w:r>
    </w:p>
    <w:p w:rsidR="006031DD" w:rsidRPr="00E877AA" w:rsidRDefault="006031DD" w:rsidP="00166E77">
      <w:pPr>
        <w:pStyle w:val="Nadpis1"/>
        <w:rPr>
          <w:rFonts w:ascii="Arial" w:hAnsi="Arial" w:cs="Arial"/>
          <w:szCs w:val="24"/>
        </w:rPr>
      </w:pPr>
      <w:bookmarkStart w:id="12" w:name="_Toc4591464"/>
      <w:r w:rsidRPr="00E877AA">
        <w:rPr>
          <w:rFonts w:ascii="Arial" w:hAnsi="Arial" w:cs="Arial"/>
          <w:szCs w:val="24"/>
        </w:rPr>
        <w:lastRenderedPageBreak/>
        <w:t>VÝHLEDY DO BUDOUCNOSTI</w:t>
      </w:r>
      <w:bookmarkEnd w:id="12"/>
    </w:p>
    <w:p w:rsidR="00934BC3" w:rsidRPr="00E877AA" w:rsidRDefault="00DC633C" w:rsidP="00166E77">
      <w:pPr>
        <w:pStyle w:val="Bntextzprvy"/>
        <w:rPr>
          <w:rFonts w:cs="Arial"/>
          <w:szCs w:val="22"/>
        </w:rPr>
      </w:pPr>
      <w:r w:rsidRPr="00E877AA">
        <w:rPr>
          <w:rFonts w:cs="Arial"/>
          <w:szCs w:val="22"/>
        </w:rPr>
        <w:t>Hlavní náplní činnosti finančního arbitra v budoucnosti bude jako v předešlých letech rozhodování individuálních sporů.</w:t>
      </w:r>
      <w:r w:rsidR="00F610FA" w:rsidRPr="00E877AA">
        <w:rPr>
          <w:rFonts w:cs="Arial"/>
          <w:szCs w:val="22"/>
        </w:rPr>
        <w:t xml:space="preserve"> </w:t>
      </w:r>
    </w:p>
    <w:p w:rsidR="000A30C0" w:rsidRPr="00E877AA" w:rsidRDefault="000A30C0" w:rsidP="00166E77">
      <w:pPr>
        <w:pStyle w:val="Bntextzprvy"/>
        <w:rPr>
          <w:rFonts w:cs="Arial"/>
          <w:szCs w:val="22"/>
        </w:rPr>
      </w:pPr>
      <w:r w:rsidRPr="00E877AA">
        <w:rPr>
          <w:rFonts w:cs="Arial"/>
          <w:szCs w:val="22"/>
        </w:rPr>
        <w:t>Finanční arbitr podnikne kroky směřující k rozšíření působnosti finančního arbitra na další spory spotřebitelů na finančním trhu</w:t>
      </w:r>
      <w:r w:rsidR="009A1D5A" w:rsidRPr="00E877AA">
        <w:rPr>
          <w:rFonts w:cs="Arial"/>
          <w:szCs w:val="22"/>
        </w:rPr>
        <w:t>, například penzijní připojištění, sporů spotřebitelů z dluhopisů</w:t>
      </w:r>
      <w:r w:rsidRPr="00E877AA">
        <w:rPr>
          <w:rFonts w:cs="Arial"/>
          <w:szCs w:val="22"/>
        </w:rPr>
        <w:t>.</w:t>
      </w:r>
    </w:p>
    <w:p w:rsidR="00F610FA" w:rsidRPr="00E877AA" w:rsidRDefault="00F610FA" w:rsidP="00166E77">
      <w:pPr>
        <w:pStyle w:val="Bntextzprvy"/>
        <w:rPr>
          <w:rFonts w:cs="Arial"/>
          <w:szCs w:val="22"/>
        </w:rPr>
      </w:pPr>
      <w:r w:rsidRPr="00E877AA">
        <w:rPr>
          <w:rFonts w:cs="Arial"/>
          <w:szCs w:val="22"/>
        </w:rPr>
        <w:t xml:space="preserve">Kroky, které by měly vést ke zvyšování povědomí o finančním arbitrovi v okruhu veřejnosti, </w:t>
      </w:r>
      <w:r w:rsidR="009A1D5A" w:rsidRPr="00E877AA">
        <w:rPr>
          <w:rFonts w:cs="Arial"/>
          <w:szCs w:val="22"/>
        </w:rPr>
        <w:t xml:space="preserve">zůstanou </w:t>
      </w:r>
      <w:r w:rsidRPr="00E877AA">
        <w:rPr>
          <w:rFonts w:cs="Arial"/>
          <w:szCs w:val="22"/>
        </w:rPr>
        <w:t xml:space="preserve">aktivní komunikace s veřejností a médii, prezentace, uveřejňování tiskových a výročních zpráv, informování na </w:t>
      </w:r>
      <w:r w:rsidR="00F541DC" w:rsidRPr="00E877AA">
        <w:rPr>
          <w:rFonts w:cs="Arial"/>
          <w:szCs w:val="22"/>
        </w:rPr>
        <w:t xml:space="preserve">internetových </w:t>
      </w:r>
      <w:r w:rsidRPr="00E877AA">
        <w:rPr>
          <w:rFonts w:cs="Arial"/>
          <w:szCs w:val="22"/>
        </w:rPr>
        <w:t>stránkách (aktuality, doporučení, publikace, rozhodnutí) a na sociálních sítích.</w:t>
      </w:r>
    </w:p>
    <w:p w:rsidR="0006063F" w:rsidRPr="00E877AA" w:rsidRDefault="006031DD" w:rsidP="00166E77">
      <w:pPr>
        <w:pStyle w:val="Bntextzprvy"/>
        <w:rPr>
          <w:rFonts w:cs="Arial"/>
          <w:szCs w:val="22"/>
        </w:rPr>
      </w:pPr>
      <w:r w:rsidRPr="00E877AA">
        <w:rPr>
          <w:rFonts w:cs="Arial"/>
          <w:szCs w:val="22"/>
        </w:rPr>
        <w:t xml:space="preserve">Trvalým úkolem, který finanční arbitr řeší a řešit i nadále bude, je snaha </w:t>
      </w:r>
      <w:r w:rsidR="00DC633C" w:rsidRPr="00E877AA">
        <w:rPr>
          <w:rFonts w:cs="Arial"/>
          <w:szCs w:val="22"/>
        </w:rPr>
        <w:t>dosahovat maximálního a</w:t>
      </w:r>
      <w:r w:rsidR="002940ED" w:rsidRPr="00E877AA">
        <w:rPr>
          <w:rFonts w:cs="Arial"/>
          <w:szCs w:val="22"/>
        </w:rPr>
        <w:t> </w:t>
      </w:r>
      <w:r w:rsidR="00DC633C" w:rsidRPr="00E877AA">
        <w:rPr>
          <w:rFonts w:cs="Arial"/>
          <w:szCs w:val="22"/>
        </w:rPr>
        <w:t>e</w:t>
      </w:r>
      <w:r w:rsidR="006A1CE7" w:rsidRPr="00E877AA">
        <w:rPr>
          <w:rFonts w:cs="Arial"/>
          <w:szCs w:val="22"/>
        </w:rPr>
        <w:t xml:space="preserve">fektivního řešení každého sporu. </w:t>
      </w:r>
      <w:r w:rsidR="001A1B0A" w:rsidRPr="00E877AA">
        <w:rPr>
          <w:rFonts w:cs="Arial"/>
          <w:szCs w:val="22"/>
        </w:rPr>
        <w:t>Finanční arbitr</w:t>
      </w:r>
      <w:r w:rsidR="00DC633C" w:rsidRPr="00E877AA">
        <w:rPr>
          <w:rFonts w:cs="Arial"/>
          <w:szCs w:val="22"/>
        </w:rPr>
        <w:t xml:space="preserve"> bude zásadně usilovat o maximální zkrácení doby řízení. </w:t>
      </w:r>
    </w:p>
    <w:p w:rsidR="0006063F" w:rsidRPr="00E877AA" w:rsidRDefault="0006063F" w:rsidP="0006063F">
      <w:pPr>
        <w:spacing w:after="0"/>
        <w:jc w:val="both"/>
        <w:rPr>
          <w:rFonts w:ascii="Arial" w:hAnsi="Arial" w:cs="Arial"/>
        </w:rPr>
      </w:pPr>
      <w:r w:rsidRPr="00E877AA">
        <w:rPr>
          <w:rFonts w:ascii="Arial" w:hAnsi="Arial" w:cs="Arial"/>
        </w:rPr>
        <w:t xml:space="preserve">Finanční arbitr </w:t>
      </w:r>
      <w:r w:rsidR="009B3B52" w:rsidRPr="00E877AA">
        <w:rPr>
          <w:rFonts w:ascii="Arial" w:hAnsi="Arial" w:cs="Arial"/>
        </w:rPr>
        <w:t xml:space="preserve">předpokládá úpravy </w:t>
      </w:r>
      <w:r w:rsidRPr="00E877AA">
        <w:rPr>
          <w:rFonts w:ascii="Arial" w:hAnsi="Arial" w:cs="Arial"/>
        </w:rPr>
        <w:t>ve Sbírce rozhodnutí přístupné na internetových stránkách</w:t>
      </w:r>
      <w:r w:rsidR="009B3B52" w:rsidRPr="00E877AA">
        <w:rPr>
          <w:rFonts w:ascii="Arial" w:hAnsi="Arial" w:cs="Arial"/>
        </w:rPr>
        <w:t xml:space="preserve"> tak, aby zajistil její ještě jednodušší použití a využití v ní uveřejněných informací. </w:t>
      </w:r>
    </w:p>
    <w:p w:rsidR="00A569F5" w:rsidRPr="00E877AA" w:rsidRDefault="00A569F5" w:rsidP="0064555B">
      <w:pPr>
        <w:pStyle w:val="Nadpis1"/>
        <w:pageBreakBefore w:val="0"/>
        <w:numPr>
          <w:ilvl w:val="0"/>
          <w:numId w:val="0"/>
        </w:numPr>
        <w:rPr>
          <w:rFonts w:cs="Helvetica"/>
          <w:color w:val="333333"/>
          <w:sz w:val="22"/>
          <w:szCs w:val="22"/>
        </w:rPr>
        <w:sectPr w:rsidR="00A569F5" w:rsidRPr="00E877AA" w:rsidSect="004905A0">
          <w:footerReference w:type="even" r:id="rId31"/>
          <w:footerReference w:type="default" r:id="rId32"/>
          <w:pgSz w:w="11906" w:h="16838" w:code="9"/>
          <w:pgMar w:top="1134" w:right="1134" w:bottom="1134" w:left="1134" w:header="709" w:footer="709" w:gutter="0"/>
          <w:cols w:space="708"/>
          <w:titlePg/>
          <w:docGrid w:linePitch="360"/>
        </w:sectPr>
      </w:pPr>
    </w:p>
    <w:p w:rsidR="0056717F" w:rsidRPr="00E877AA" w:rsidRDefault="0064555B" w:rsidP="0064555B">
      <w:pPr>
        <w:pStyle w:val="Nadpis1"/>
        <w:numPr>
          <w:ilvl w:val="0"/>
          <w:numId w:val="0"/>
        </w:numPr>
        <w:rPr>
          <w:rFonts w:ascii="Arial" w:hAnsi="Arial" w:cs="Arial"/>
          <w:szCs w:val="24"/>
        </w:rPr>
      </w:pPr>
      <w:bookmarkStart w:id="13" w:name="_Toc4591465"/>
      <w:r w:rsidRPr="00E877AA">
        <w:rPr>
          <w:rFonts w:ascii="Arial" w:hAnsi="Arial" w:cs="Arial"/>
          <w:szCs w:val="24"/>
        </w:rPr>
        <w:lastRenderedPageBreak/>
        <w:t xml:space="preserve">Příloha č. 1 – Přehled rozhodnutí uveřejněných </w:t>
      </w:r>
      <w:r w:rsidR="00EC38BF" w:rsidRPr="00E877AA">
        <w:rPr>
          <w:rFonts w:ascii="Arial" w:hAnsi="Arial" w:cs="Arial"/>
          <w:szCs w:val="24"/>
        </w:rPr>
        <w:t xml:space="preserve">v roce 2018 </w:t>
      </w:r>
      <w:r w:rsidRPr="00E877AA">
        <w:rPr>
          <w:rFonts w:ascii="Arial" w:hAnsi="Arial" w:cs="Arial"/>
          <w:szCs w:val="24"/>
        </w:rPr>
        <w:t>ve Sbírce rozhodnutí</w:t>
      </w:r>
      <w:bookmarkEnd w:id="13"/>
    </w:p>
    <w:tbl>
      <w:tblPr>
        <w:tblW w:w="14616" w:type="dxa"/>
        <w:tblInd w:w="55" w:type="dxa"/>
        <w:tblLayout w:type="fixed"/>
        <w:tblCellMar>
          <w:left w:w="70" w:type="dxa"/>
          <w:right w:w="70" w:type="dxa"/>
        </w:tblCellMar>
        <w:tblLook w:val="04A0" w:firstRow="1" w:lastRow="0" w:firstColumn="1" w:lastColumn="0" w:noHBand="0" w:noVBand="1"/>
      </w:tblPr>
      <w:tblGrid>
        <w:gridCol w:w="2142"/>
        <w:gridCol w:w="567"/>
        <w:gridCol w:w="293"/>
        <w:gridCol w:w="3392"/>
        <w:gridCol w:w="4394"/>
        <w:gridCol w:w="3828"/>
      </w:tblGrid>
      <w:tr w:rsidR="0064555B" w:rsidRPr="00E877AA" w:rsidTr="004905A0">
        <w:trPr>
          <w:trHeight w:val="315"/>
        </w:trPr>
        <w:tc>
          <w:tcPr>
            <w:tcW w:w="14616" w:type="dxa"/>
            <w:gridSpan w:val="6"/>
            <w:tcBorders>
              <w:top w:val="single" w:sz="8" w:space="0" w:color="auto"/>
              <w:left w:val="single" w:sz="8" w:space="0" w:color="auto"/>
              <w:bottom w:val="single" w:sz="8" w:space="0" w:color="auto"/>
              <w:right w:val="single" w:sz="8" w:space="0" w:color="000000"/>
            </w:tcBorders>
            <w:shd w:val="clear" w:color="000000" w:fill="8DB4E2"/>
            <w:noWrap/>
            <w:vAlign w:val="center"/>
            <w:hideMark/>
          </w:tcPr>
          <w:p w:rsidR="0064555B" w:rsidRPr="00E877AA" w:rsidRDefault="0064555B" w:rsidP="0064555B">
            <w:pPr>
              <w:spacing w:after="0"/>
              <w:jc w:val="center"/>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 xml:space="preserve">AKTUÁLNÍ PŘEHLED ROZHODNUTÍ FINANČNÍHO ARBITRA UVEŘEJNĚNÝCH VE SBÍRCE ROZHODNUTÍ </w:t>
            </w:r>
          </w:p>
        </w:tc>
      </w:tr>
      <w:tr w:rsidR="0064555B" w:rsidRPr="00E877AA" w:rsidTr="004905A0">
        <w:trPr>
          <w:trHeight w:val="315"/>
        </w:trPr>
        <w:tc>
          <w:tcPr>
            <w:tcW w:w="2142" w:type="dxa"/>
            <w:tcBorders>
              <w:top w:val="nil"/>
              <w:left w:val="nil"/>
              <w:bottom w:val="nil"/>
              <w:right w:val="nil"/>
            </w:tcBorders>
            <w:shd w:val="clear" w:color="auto" w:fill="auto"/>
            <w:noWrap/>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p>
        </w:tc>
        <w:tc>
          <w:tcPr>
            <w:tcW w:w="860" w:type="dxa"/>
            <w:gridSpan w:val="2"/>
            <w:tcBorders>
              <w:top w:val="nil"/>
              <w:left w:val="nil"/>
              <w:bottom w:val="nil"/>
              <w:right w:val="nil"/>
            </w:tcBorders>
            <w:shd w:val="clear" w:color="auto" w:fill="auto"/>
            <w:noWrap/>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p>
        </w:tc>
        <w:tc>
          <w:tcPr>
            <w:tcW w:w="3392" w:type="dxa"/>
            <w:tcBorders>
              <w:top w:val="nil"/>
              <w:left w:val="nil"/>
              <w:bottom w:val="nil"/>
              <w:right w:val="nil"/>
            </w:tcBorders>
            <w:shd w:val="clear" w:color="auto" w:fill="auto"/>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p>
        </w:tc>
        <w:tc>
          <w:tcPr>
            <w:tcW w:w="4394" w:type="dxa"/>
            <w:tcBorders>
              <w:top w:val="nil"/>
              <w:left w:val="nil"/>
              <w:bottom w:val="nil"/>
              <w:right w:val="nil"/>
            </w:tcBorders>
            <w:shd w:val="clear" w:color="auto" w:fill="auto"/>
            <w:noWrap/>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p>
        </w:tc>
        <w:tc>
          <w:tcPr>
            <w:tcW w:w="3828" w:type="dxa"/>
            <w:tcBorders>
              <w:top w:val="nil"/>
              <w:left w:val="nil"/>
              <w:bottom w:val="nil"/>
              <w:right w:val="nil"/>
            </w:tcBorders>
            <w:shd w:val="clear" w:color="auto" w:fill="auto"/>
            <w:noWrap/>
            <w:vAlign w:val="bottom"/>
            <w:hideMark/>
          </w:tcPr>
          <w:p w:rsidR="0064555B" w:rsidRPr="00E877AA" w:rsidRDefault="0064555B" w:rsidP="0064555B">
            <w:pPr>
              <w:spacing w:after="0"/>
              <w:jc w:val="center"/>
              <w:rPr>
                <w:rFonts w:eastAsia="Times New Roman"/>
                <w:color w:val="000000"/>
                <w:lang w:eastAsia="cs-CZ"/>
              </w:rPr>
            </w:pPr>
          </w:p>
        </w:tc>
      </w:tr>
      <w:tr w:rsidR="0064555B" w:rsidRPr="00E877AA" w:rsidTr="004905A0">
        <w:trPr>
          <w:trHeight w:val="315"/>
        </w:trPr>
        <w:tc>
          <w:tcPr>
            <w:tcW w:w="2142" w:type="dxa"/>
            <w:tcBorders>
              <w:top w:val="single" w:sz="8" w:space="0" w:color="auto"/>
              <w:left w:val="single" w:sz="8" w:space="0" w:color="auto"/>
              <w:bottom w:val="single" w:sz="8" w:space="0" w:color="auto"/>
              <w:right w:val="single" w:sz="4" w:space="0" w:color="auto"/>
            </w:tcBorders>
            <w:shd w:val="clear" w:color="000000" w:fill="8DB4E2"/>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Registrační číslo/spisová značka</w:t>
            </w:r>
          </w:p>
        </w:tc>
        <w:tc>
          <w:tcPr>
            <w:tcW w:w="567" w:type="dxa"/>
            <w:tcBorders>
              <w:top w:val="single" w:sz="8" w:space="0" w:color="auto"/>
              <w:left w:val="nil"/>
              <w:bottom w:val="single" w:sz="8" w:space="0" w:color="auto"/>
              <w:right w:val="single" w:sz="4" w:space="0" w:color="auto"/>
            </w:tcBorders>
            <w:shd w:val="clear" w:color="000000" w:fill="8DB4E2"/>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Oblast</w:t>
            </w:r>
          </w:p>
        </w:tc>
        <w:tc>
          <w:tcPr>
            <w:tcW w:w="3685" w:type="dxa"/>
            <w:gridSpan w:val="2"/>
            <w:tcBorders>
              <w:top w:val="single" w:sz="8" w:space="0" w:color="auto"/>
              <w:left w:val="nil"/>
              <w:bottom w:val="single" w:sz="8" w:space="0" w:color="auto"/>
              <w:right w:val="single" w:sz="4" w:space="0" w:color="auto"/>
            </w:tcBorders>
            <w:shd w:val="clear" w:color="000000" w:fill="8DB4E2"/>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Instituce</w:t>
            </w:r>
          </w:p>
        </w:tc>
        <w:tc>
          <w:tcPr>
            <w:tcW w:w="4394" w:type="dxa"/>
            <w:tcBorders>
              <w:top w:val="single" w:sz="8" w:space="0" w:color="auto"/>
              <w:left w:val="nil"/>
              <w:bottom w:val="single" w:sz="8" w:space="0" w:color="auto"/>
              <w:right w:val="single" w:sz="8" w:space="0" w:color="auto"/>
            </w:tcBorders>
            <w:shd w:val="clear" w:color="000000" w:fill="8DB4E2"/>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Klíčové slovo/ předmět řízení</w:t>
            </w:r>
          </w:p>
        </w:tc>
        <w:tc>
          <w:tcPr>
            <w:tcW w:w="3828" w:type="dxa"/>
            <w:tcBorders>
              <w:top w:val="single" w:sz="8" w:space="0" w:color="auto"/>
              <w:left w:val="single" w:sz="4" w:space="0" w:color="auto"/>
              <w:bottom w:val="nil"/>
              <w:right w:val="single" w:sz="8" w:space="0" w:color="auto"/>
            </w:tcBorders>
            <w:shd w:val="clear" w:color="000000" w:fill="8DB4E2"/>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Výsledek řízení</w:t>
            </w:r>
          </w:p>
        </w:tc>
      </w:tr>
      <w:tr w:rsidR="0064555B" w:rsidRPr="00E877AA" w:rsidTr="004905A0">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FA/RI/1483/2016</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KI</w:t>
            </w:r>
          </w:p>
        </w:tc>
        <w:tc>
          <w:tcPr>
            <w:tcW w:w="3685" w:type="dxa"/>
            <w:gridSpan w:val="2"/>
            <w:tcBorders>
              <w:top w:val="single" w:sz="4" w:space="0" w:color="auto"/>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BH </w:t>
            </w:r>
            <w:proofErr w:type="spellStart"/>
            <w:r w:rsidRPr="00E877AA">
              <w:rPr>
                <w:rFonts w:ascii="Arial" w:eastAsia="Times New Roman" w:hAnsi="Arial" w:cs="Arial"/>
                <w:color w:val="000000"/>
                <w:sz w:val="20"/>
                <w:szCs w:val="20"/>
                <w:lang w:eastAsia="cs-CZ"/>
              </w:rPr>
              <w:t>Securities</w:t>
            </w:r>
            <w:proofErr w:type="spellEnd"/>
            <w:r w:rsidRPr="00E877AA">
              <w:rPr>
                <w:rFonts w:ascii="Arial" w:eastAsia="Times New Roman" w:hAnsi="Arial" w:cs="Arial"/>
                <w:color w:val="000000"/>
                <w:sz w:val="20"/>
                <w:szCs w:val="20"/>
                <w:lang w:eastAsia="cs-CZ"/>
              </w:rPr>
              <w:t xml:space="preserve"> a.s.</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odpovědnost za škodu</w:t>
            </w:r>
          </w:p>
        </w:tc>
        <w:tc>
          <w:tcPr>
            <w:tcW w:w="3828" w:type="dxa"/>
            <w:tcBorders>
              <w:top w:val="single" w:sz="4" w:space="0" w:color="auto"/>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FA/KI/1560/2016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KI</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Broker </w:t>
            </w:r>
            <w:proofErr w:type="spellStart"/>
            <w:r w:rsidRPr="00E877AA">
              <w:rPr>
                <w:rFonts w:ascii="Arial" w:eastAsia="Times New Roman" w:hAnsi="Arial" w:cs="Arial"/>
                <w:color w:val="000000"/>
                <w:sz w:val="20"/>
                <w:szCs w:val="20"/>
                <w:lang w:eastAsia="cs-CZ"/>
              </w:rPr>
              <w:t>Consulting</w:t>
            </w:r>
            <w:proofErr w:type="spellEnd"/>
            <w:r w:rsidRPr="00E877AA">
              <w:rPr>
                <w:rFonts w:ascii="Arial" w:eastAsia="Times New Roman" w:hAnsi="Arial" w:cs="Arial"/>
                <w:color w:val="000000"/>
                <w:sz w:val="20"/>
                <w:szCs w:val="20"/>
                <w:lang w:eastAsia="cs-CZ"/>
              </w:rPr>
              <w:t>,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odpovědnost za škodu</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FA/SR/KI/186/2016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KI</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Investments</w:t>
            </w:r>
            <w:proofErr w:type="spellEnd"/>
            <w:r w:rsidRPr="00E877AA">
              <w:rPr>
                <w:rFonts w:ascii="Arial" w:eastAsia="Times New Roman" w:hAnsi="Arial" w:cs="Arial"/>
                <w:color w:val="000000"/>
                <w:sz w:val="20"/>
                <w:szCs w:val="20"/>
                <w:lang w:eastAsia="cs-CZ"/>
              </w:rPr>
              <w:t xml:space="preserve"> CEE, investiční společnost,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odpovědnost za škodu, </w:t>
            </w:r>
            <w:r w:rsidRPr="00E877AA">
              <w:rPr>
                <w:rFonts w:ascii="Arial" w:eastAsia="Times New Roman" w:hAnsi="Arial" w:cs="Arial"/>
                <w:color w:val="333333"/>
                <w:sz w:val="20"/>
                <w:szCs w:val="20"/>
                <w:lang w:eastAsia="cs-CZ"/>
              </w:rPr>
              <w:t>neplatnost smlouvy, porušení povinnosti odborné péče, spoluzavinění poškozeného</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FA/KI/81/2016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KI</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Investments</w:t>
            </w:r>
            <w:proofErr w:type="spellEnd"/>
            <w:r w:rsidRPr="00E877AA">
              <w:rPr>
                <w:rFonts w:ascii="Arial" w:eastAsia="Times New Roman" w:hAnsi="Arial" w:cs="Arial"/>
                <w:color w:val="000000"/>
                <w:sz w:val="20"/>
                <w:szCs w:val="20"/>
                <w:lang w:eastAsia="cs-CZ"/>
              </w:rPr>
              <w:t xml:space="preserve"> CEE, investiční společnost,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odborná péče při poskytování investičních služeb, odpovědnost za škodu</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FA/KI/708/2016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KI</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Investments</w:t>
            </w:r>
            <w:proofErr w:type="spellEnd"/>
            <w:r w:rsidRPr="00E877AA">
              <w:rPr>
                <w:rFonts w:ascii="Arial" w:eastAsia="Times New Roman" w:hAnsi="Arial" w:cs="Arial"/>
                <w:color w:val="000000"/>
                <w:sz w:val="20"/>
                <w:szCs w:val="20"/>
                <w:lang w:eastAsia="cs-CZ"/>
              </w:rPr>
              <w:t xml:space="preserve"> CEE, investiční společnost,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odborná péče při poskytování investičních služeb, odpovědnost za škodu</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FA/KI/1432/2016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KI</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Investments</w:t>
            </w:r>
            <w:proofErr w:type="spellEnd"/>
            <w:r w:rsidRPr="00E877AA">
              <w:rPr>
                <w:rFonts w:ascii="Arial" w:eastAsia="Times New Roman" w:hAnsi="Arial" w:cs="Arial"/>
                <w:color w:val="000000"/>
                <w:sz w:val="20"/>
                <w:szCs w:val="20"/>
                <w:lang w:eastAsia="cs-CZ"/>
              </w:rPr>
              <w:t xml:space="preserve"> CEE, investiční společnost, a.s.</w:t>
            </w:r>
          </w:p>
        </w:tc>
        <w:tc>
          <w:tcPr>
            <w:tcW w:w="4394" w:type="dxa"/>
            <w:tcBorders>
              <w:top w:val="nil"/>
              <w:left w:val="nil"/>
              <w:bottom w:val="single" w:sz="4" w:space="0" w:color="auto"/>
              <w:right w:val="nil"/>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odborná péče při poskytování investičních služeb, odpovědnost za škodu</w:t>
            </w:r>
          </w:p>
        </w:tc>
        <w:tc>
          <w:tcPr>
            <w:tcW w:w="3828" w:type="dxa"/>
            <w:tcBorders>
              <w:top w:val="nil"/>
              <w:left w:val="single" w:sz="4" w:space="0" w:color="auto"/>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FA/SR/KI/147/2016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KI</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Investments</w:t>
            </w:r>
            <w:proofErr w:type="spellEnd"/>
            <w:r w:rsidRPr="00E877AA">
              <w:rPr>
                <w:rFonts w:ascii="Arial" w:eastAsia="Times New Roman" w:hAnsi="Arial" w:cs="Arial"/>
                <w:color w:val="000000"/>
                <w:sz w:val="20"/>
                <w:szCs w:val="20"/>
                <w:lang w:eastAsia="cs-CZ"/>
              </w:rPr>
              <w:t xml:space="preserve"> CEE, investiční společnost, a.s. a Broker </w:t>
            </w:r>
            <w:proofErr w:type="spellStart"/>
            <w:r w:rsidRPr="00E877AA">
              <w:rPr>
                <w:rFonts w:ascii="Arial" w:eastAsia="Times New Roman" w:hAnsi="Arial" w:cs="Arial"/>
                <w:color w:val="000000"/>
                <w:sz w:val="20"/>
                <w:szCs w:val="20"/>
                <w:lang w:eastAsia="cs-CZ"/>
              </w:rPr>
              <w:t>Consulting</w:t>
            </w:r>
            <w:proofErr w:type="spellEnd"/>
            <w:r w:rsidRPr="00E877AA">
              <w:rPr>
                <w:rFonts w:ascii="Arial" w:eastAsia="Times New Roman" w:hAnsi="Arial" w:cs="Arial"/>
                <w:color w:val="000000"/>
                <w:sz w:val="20"/>
                <w:szCs w:val="20"/>
                <w:lang w:eastAsia="cs-CZ"/>
              </w:rPr>
              <w:t>, a.s.</w:t>
            </w:r>
          </w:p>
        </w:tc>
        <w:tc>
          <w:tcPr>
            <w:tcW w:w="4394" w:type="dxa"/>
            <w:tcBorders>
              <w:top w:val="nil"/>
              <w:left w:val="nil"/>
              <w:bottom w:val="single" w:sz="4" w:space="0" w:color="auto"/>
              <w:right w:val="nil"/>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odpovědnost za škodu, náhrada škody, neplatnost smlouvy</w:t>
            </w:r>
          </w:p>
        </w:tc>
        <w:tc>
          <w:tcPr>
            <w:tcW w:w="3828" w:type="dxa"/>
            <w:tcBorders>
              <w:top w:val="nil"/>
              <w:left w:val="single" w:sz="4" w:space="0" w:color="auto"/>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FA/SR/KI/15/2016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KI</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Investments</w:t>
            </w:r>
            <w:proofErr w:type="spellEnd"/>
            <w:r w:rsidRPr="00E877AA">
              <w:rPr>
                <w:rFonts w:ascii="Arial" w:eastAsia="Times New Roman" w:hAnsi="Arial" w:cs="Arial"/>
                <w:color w:val="000000"/>
                <w:sz w:val="20"/>
                <w:szCs w:val="20"/>
                <w:lang w:eastAsia="cs-CZ"/>
              </w:rPr>
              <w:t xml:space="preserve"> CEE, investiční společnost, a.s. a Broker </w:t>
            </w:r>
            <w:proofErr w:type="spellStart"/>
            <w:r w:rsidRPr="00E877AA">
              <w:rPr>
                <w:rFonts w:ascii="Arial" w:eastAsia="Times New Roman" w:hAnsi="Arial" w:cs="Arial"/>
                <w:color w:val="000000"/>
                <w:sz w:val="20"/>
                <w:szCs w:val="20"/>
                <w:lang w:eastAsia="cs-CZ"/>
              </w:rPr>
              <w:t>Consulting</w:t>
            </w:r>
            <w:proofErr w:type="spellEnd"/>
            <w:r w:rsidRPr="00E877AA">
              <w:rPr>
                <w:rFonts w:ascii="Arial" w:eastAsia="Times New Roman" w:hAnsi="Arial" w:cs="Arial"/>
                <w:color w:val="000000"/>
                <w:sz w:val="20"/>
                <w:szCs w:val="20"/>
                <w:lang w:eastAsia="cs-CZ"/>
              </w:rPr>
              <w:t>,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odborná péče při poskytování investičních služeb, odpovědnost za škodu</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FA/SR/KI/83/2016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KI</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Investments</w:t>
            </w:r>
            <w:proofErr w:type="spellEnd"/>
            <w:r w:rsidRPr="00E877AA">
              <w:rPr>
                <w:rFonts w:ascii="Arial" w:eastAsia="Times New Roman" w:hAnsi="Arial" w:cs="Arial"/>
                <w:color w:val="000000"/>
                <w:sz w:val="20"/>
                <w:szCs w:val="20"/>
                <w:lang w:eastAsia="cs-CZ"/>
              </w:rPr>
              <w:t xml:space="preserve"> CEE, investiční společnost, a.s. a Broker </w:t>
            </w:r>
            <w:proofErr w:type="spellStart"/>
            <w:r w:rsidRPr="00E877AA">
              <w:rPr>
                <w:rFonts w:ascii="Arial" w:eastAsia="Times New Roman" w:hAnsi="Arial" w:cs="Arial"/>
                <w:color w:val="000000"/>
                <w:sz w:val="20"/>
                <w:szCs w:val="20"/>
                <w:lang w:eastAsia="cs-CZ"/>
              </w:rPr>
              <w:t>Consulting</w:t>
            </w:r>
            <w:proofErr w:type="spellEnd"/>
            <w:r w:rsidRPr="00E877AA">
              <w:rPr>
                <w:rFonts w:ascii="Arial" w:eastAsia="Times New Roman" w:hAnsi="Arial" w:cs="Arial"/>
                <w:color w:val="000000"/>
                <w:sz w:val="20"/>
                <w:szCs w:val="20"/>
                <w:lang w:eastAsia="cs-CZ"/>
              </w:rPr>
              <w:t>,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odborná péče při poskytování investičních služeb, odpovědnost za škodu</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FA/KI/299/2016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KI</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Investments</w:t>
            </w:r>
            <w:proofErr w:type="spellEnd"/>
            <w:r w:rsidRPr="00E877AA">
              <w:rPr>
                <w:rFonts w:ascii="Arial" w:eastAsia="Times New Roman" w:hAnsi="Arial" w:cs="Arial"/>
                <w:color w:val="000000"/>
                <w:sz w:val="20"/>
                <w:szCs w:val="20"/>
                <w:lang w:eastAsia="cs-CZ"/>
              </w:rPr>
              <w:t xml:space="preserve"> CEE, investiční společnost, a.s. a Broker </w:t>
            </w:r>
            <w:proofErr w:type="spellStart"/>
            <w:r w:rsidRPr="00E877AA">
              <w:rPr>
                <w:rFonts w:ascii="Arial" w:eastAsia="Times New Roman" w:hAnsi="Arial" w:cs="Arial"/>
                <w:color w:val="000000"/>
                <w:sz w:val="20"/>
                <w:szCs w:val="20"/>
                <w:lang w:eastAsia="cs-CZ"/>
              </w:rPr>
              <w:t>Consulting</w:t>
            </w:r>
            <w:proofErr w:type="spellEnd"/>
            <w:r w:rsidRPr="00E877AA">
              <w:rPr>
                <w:rFonts w:ascii="Arial" w:eastAsia="Times New Roman" w:hAnsi="Arial" w:cs="Arial"/>
                <w:color w:val="000000"/>
                <w:sz w:val="20"/>
                <w:szCs w:val="20"/>
                <w:lang w:eastAsia="cs-CZ"/>
              </w:rPr>
              <w:t>,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odborná péče při poskytování investičních služeb, odpovědnost za škodu </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FA/PS/1081/2017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PS</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Air Bank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neautorizovaná platební transakce - zneužití platební karty, výběr z bankomatu</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úplné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FA/PS/57/2016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PS</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spořitelna,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nesprávně provedená platební transakce</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FA/SR/PS/1188/2017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PS</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spořitelna,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gramStart"/>
            <w:r w:rsidRPr="00E877AA">
              <w:rPr>
                <w:rFonts w:ascii="Arial" w:eastAsia="Times New Roman" w:hAnsi="Arial" w:cs="Arial"/>
                <w:color w:val="000000"/>
                <w:sz w:val="20"/>
                <w:szCs w:val="20"/>
                <w:lang w:eastAsia="cs-CZ"/>
              </w:rPr>
              <w:t>nakládání s vkladem</w:t>
            </w:r>
            <w:proofErr w:type="gramEnd"/>
            <w:r w:rsidRPr="00E877AA">
              <w:rPr>
                <w:rFonts w:ascii="Arial" w:eastAsia="Times New Roman" w:hAnsi="Arial" w:cs="Arial"/>
                <w:color w:val="000000"/>
                <w:sz w:val="20"/>
                <w:szCs w:val="20"/>
                <w:lang w:eastAsia="cs-CZ"/>
              </w:rPr>
              <w:t xml:space="preserve"> na vkladní knížce, promlčení práva na vyplacení vkladů</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FA/SR/PS/1202/2018</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PS</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spořitelna,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nesprávně provedená platební transakce, autorizace platební transakce, neoprávněné nakládání s prostředky</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FA/PS/807/2017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PS</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Československá obchodní banka, a.s.</w:t>
            </w:r>
          </w:p>
        </w:tc>
        <w:tc>
          <w:tcPr>
            <w:tcW w:w="4394"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výběr z bankomatu, nevydání hotovosti, nesprávně provedená platební transakce</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lastRenderedPageBreak/>
              <w:t>FA/PS/899/2015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PS</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Československá obchodní banka,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neprovedení platební transakce, odpovědnost za škodu, úroky z prodlení, zákon proti legalizaci výnosů, podezřelý obchod</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nil"/>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FA/SR/PS/684/2017</w:t>
            </w:r>
          </w:p>
        </w:tc>
        <w:tc>
          <w:tcPr>
            <w:tcW w:w="567" w:type="dxa"/>
            <w:tcBorders>
              <w:top w:val="nil"/>
              <w:left w:val="nil"/>
              <w:bottom w:val="nil"/>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PS</w:t>
            </w:r>
          </w:p>
        </w:tc>
        <w:tc>
          <w:tcPr>
            <w:tcW w:w="3685" w:type="dxa"/>
            <w:gridSpan w:val="2"/>
            <w:tcBorders>
              <w:top w:val="nil"/>
              <w:left w:val="nil"/>
              <w:bottom w:val="nil"/>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Fio</w:t>
            </w:r>
            <w:proofErr w:type="spellEnd"/>
            <w:r w:rsidRPr="00E877AA">
              <w:rPr>
                <w:rFonts w:ascii="Arial" w:eastAsia="Times New Roman" w:hAnsi="Arial" w:cs="Arial"/>
                <w:color w:val="000000"/>
                <w:sz w:val="20"/>
                <w:szCs w:val="20"/>
                <w:lang w:eastAsia="cs-CZ"/>
              </w:rPr>
              <w:t xml:space="preserve"> banka,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ztráta z převodu měn u přeshraniční platební transakce, přeshraniční platební transakce</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FA/SR/PS/1007/2017</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PS</w:t>
            </w:r>
          </w:p>
        </w:tc>
        <w:tc>
          <w:tcPr>
            <w:tcW w:w="3685" w:type="dxa"/>
            <w:gridSpan w:val="2"/>
            <w:tcBorders>
              <w:top w:val="single" w:sz="4" w:space="0" w:color="auto"/>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UniCredit Bank Czech Republic and Slovakia,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výběr z bankomatu, nevydání hotovosti, nesprávně provedená platební transakce</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FA/RI/1046/2016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RI</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Komerční banka,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odpovědnost za škodu, odpovědnost zaměstnavatele za jednání zaměstnance, platební příkaz, omyl, náhrada škody</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nil"/>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FA/SR/SM/1123/2017</w:t>
            </w:r>
          </w:p>
        </w:tc>
        <w:tc>
          <w:tcPr>
            <w:tcW w:w="567" w:type="dxa"/>
            <w:tcBorders>
              <w:top w:val="nil"/>
              <w:left w:val="nil"/>
              <w:bottom w:val="nil"/>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SM</w:t>
            </w:r>
          </w:p>
        </w:tc>
        <w:tc>
          <w:tcPr>
            <w:tcW w:w="3685" w:type="dxa"/>
            <w:gridSpan w:val="2"/>
            <w:tcBorders>
              <w:top w:val="nil"/>
              <w:left w:val="nil"/>
              <w:bottom w:val="nil"/>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Global</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Travel</w:t>
            </w:r>
            <w:proofErr w:type="spellEnd"/>
            <w:r w:rsidRPr="00E877AA">
              <w:rPr>
                <w:rFonts w:ascii="Arial" w:eastAsia="Times New Roman" w:hAnsi="Arial" w:cs="Arial"/>
                <w:color w:val="000000"/>
                <w:sz w:val="20"/>
                <w:szCs w:val="20"/>
                <w:lang w:eastAsia="cs-CZ"/>
              </w:rPr>
              <w:t>, spol. s.r.o.</w:t>
            </w:r>
          </w:p>
        </w:tc>
        <w:tc>
          <w:tcPr>
            <w:tcW w:w="4394" w:type="dxa"/>
            <w:tcBorders>
              <w:top w:val="nil"/>
              <w:left w:val="nil"/>
              <w:bottom w:val="nil"/>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úplata za provedení směnárenského obchodu, poplatek za směnu (</w:t>
            </w:r>
            <w:proofErr w:type="spellStart"/>
            <w:r w:rsidRPr="00E877AA">
              <w:rPr>
                <w:rFonts w:ascii="Arial" w:eastAsia="Times New Roman" w:hAnsi="Arial" w:cs="Arial"/>
                <w:color w:val="000000"/>
                <w:sz w:val="20"/>
                <w:szCs w:val="20"/>
                <w:lang w:eastAsia="cs-CZ"/>
              </w:rPr>
              <w:t>exchange</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fee</w:t>
            </w:r>
            <w:proofErr w:type="spellEnd"/>
            <w:r w:rsidRPr="00E877AA">
              <w:rPr>
                <w:rFonts w:ascii="Arial" w:eastAsia="Times New Roman" w:hAnsi="Arial" w:cs="Arial"/>
                <w:color w:val="000000"/>
                <w:sz w:val="20"/>
                <w:szCs w:val="20"/>
                <w:lang w:eastAsia="cs-CZ"/>
              </w:rPr>
              <w:t>)</w:t>
            </w:r>
          </w:p>
        </w:tc>
        <w:tc>
          <w:tcPr>
            <w:tcW w:w="3828" w:type="dxa"/>
            <w:tcBorders>
              <w:top w:val="nil"/>
              <w:left w:val="nil"/>
              <w:bottom w:val="nil"/>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FA/ST/1011/2017</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ST</w:t>
            </w:r>
          </w:p>
        </w:tc>
        <w:tc>
          <w:tcPr>
            <w:tcW w:w="3685" w:type="dxa"/>
            <w:gridSpan w:val="2"/>
            <w:tcBorders>
              <w:top w:val="single" w:sz="4" w:space="0" w:color="auto"/>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Raiffeisen</w:t>
            </w:r>
            <w:proofErr w:type="spellEnd"/>
            <w:r w:rsidRPr="00E877AA">
              <w:rPr>
                <w:rFonts w:ascii="Arial" w:eastAsia="Times New Roman" w:hAnsi="Arial" w:cs="Arial"/>
                <w:color w:val="000000"/>
                <w:sz w:val="20"/>
                <w:szCs w:val="20"/>
                <w:lang w:eastAsia="cs-CZ"/>
              </w:rPr>
              <w:t xml:space="preserve"> stavební spořitelna a.s.</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jednostranné ukončení stavebního spoření stavební spořitelnou, </w:t>
            </w:r>
            <w:proofErr w:type="spellStart"/>
            <w:r w:rsidRPr="00E877AA">
              <w:rPr>
                <w:rFonts w:ascii="Arial" w:eastAsia="Times New Roman" w:hAnsi="Arial" w:cs="Arial"/>
                <w:color w:val="000000"/>
                <w:sz w:val="20"/>
                <w:szCs w:val="20"/>
                <w:lang w:eastAsia="cs-CZ"/>
              </w:rPr>
              <w:t>přespoření</w:t>
            </w:r>
            <w:proofErr w:type="spellEnd"/>
            <w:r w:rsidRPr="00E877AA">
              <w:rPr>
                <w:rFonts w:ascii="Arial" w:eastAsia="Times New Roman" w:hAnsi="Arial" w:cs="Arial"/>
                <w:color w:val="000000"/>
                <w:sz w:val="20"/>
                <w:szCs w:val="20"/>
                <w:lang w:eastAsia="cs-CZ"/>
              </w:rPr>
              <w:t xml:space="preserve"> cílové částky</w:t>
            </w:r>
          </w:p>
        </w:tc>
        <w:tc>
          <w:tcPr>
            <w:tcW w:w="3828" w:type="dxa"/>
            <w:tcBorders>
              <w:top w:val="single" w:sz="4" w:space="0" w:color="auto"/>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FA/ST/1049/2016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ST</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Raiffeisen</w:t>
            </w:r>
            <w:proofErr w:type="spellEnd"/>
            <w:r w:rsidRPr="00E877AA">
              <w:rPr>
                <w:rFonts w:ascii="Arial" w:eastAsia="Times New Roman" w:hAnsi="Arial" w:cs="Arial"/>
                <w:color w:val="000000"/>
                <w:sz w:val="20"/>
                <w:szCs w:val="20"/>
                <w:lang w:eastAsia="cs-CZ"/>
              </w:rPr>
              <w:t xml:space="preserve"> stavební spořitelna,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změna smlouvy o stavebním spoření, navýšení cílové částky, </w:t>
            </w:r>
            <w:proofErr w:type="spellStart"/>
            <w:r w:rsidRPr="00E877AA">
              <w:rPr>
                <w:rFonts w:ascii="Arial" w:eastAsia="Times New Roman" w:hAnsi="Arial" w:cs="Arial"/>
                <w:color w:val="000000"/>
                <w:sz w:val="20"/>
                <w:szCs w:val="20"/>
                <w:lang w:eastAsia="cs-CZ"/>
              </w:rPr>
              <w:t>přespoření</w:t>
            </w:r>
            <w:proofErr w:type="spellEnd"/>
            <w:r w:rsidRPr="00E877AA">
              <w:rPr>
                <w:rFonts w:ascii="Arial" w:eastAsia="Times New Roman" w:hAnsi="Arial" w:cs="Arial"/>
                <w:color w:val="000000"/>
                <w:sz w:val="20"/>
                <w:szCs w:val="20"/>
                <w:lang w:eastAsia="cs-CZ"/>
              </w:rPr>
              <w:t xml:space="preserve"> cílové částky, neplatnost sazebníku, úhrada za vedení účtu, úhrada za ukončení smlouvy, zůstatek na účtu, sjednaná cílová částka, náklady řízení</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FA/ST/1050/2016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ST</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Raiffeisen</w:t>
            </w:r>
            <w:proofErr w:type="spellEnd"/>
            <w:r w:rsidRPr="00E877AA">
              <w:rPr>
                <w:rFonts w:ascii="Arial" w:eastAsia="Times New Roman" w:hAnsi="Arial" w:cs="Arial"/>
                <w:color w:val="000000"/>
                <w:sz w:val="20"/>
                <w:szCs w:val="20"/>
                <w:lang w:eastAsia="cs-CZ"/>
              </w:rPr>
              <w:t xml:space="preserve"> stavební spořitelna,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změna smlouvy o stavebním spoření, navýšení cílové částky, </w:t>
            </w:r>
            <w:proofErr w:type="spellStart"/>
            <w:r w:rsidRPr="00E877AA">
              <w:rPr>
                <w:rFonts w:ascii="Arial" w:eastAsia="Times New Roman" w:hAnsi="Arial" w:cs="Arial"/>
                <w:color w:val="000000"/>
                <w:sz w:val="20"/>
                <w:szCs w:val="20"/>
                <w:lang w:eastAsia="cs-CZ"/>
              </w:rPr>
              <w:t>přespoření</w:t>
            </w:r>
            <w:proofErr w:type="spellEnd"/>
            <w:r w:rsidRPr="00E877AA">
              <w:rPr>
                <w:rFonts w:ascii="Arial" w:eastAsia="Times New Roman" w:hAnsi="Arial" w:cs="Arial"/>
                <w:color w:val="000000"/>
                <w:sz w:val="20"/>
                <w:szCs w:val="20"/>
                <w:lang w:eastAsia="cs-CZ"/>
              </w:rPr>
              <w:t xml:space="preserve"> cílové částky</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FA/SR/SU/1190/2017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příslušnost finančního arbitra, poskytnutí a zprostředkování úvěru, smlouva o konzultaci, nepříslušnost</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zastavení řízení pro nepřípustnost </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FA/SR/SU/1057/2017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posouzení úvěruschopnosti, platnost sjednání smlouvy</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schválen smír</w:t>
            </w:r>
          </w:p>
        </w:tc>
      </w:tr>
      <w:tr w:rsidR="0064555B" w:rsidRPr="00E877AA" w:rsidTr="004905A0">
        <w:trPr>
          <w:trHeight w:val="40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FA/SR/SU/893/2017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ACEMA </w:t>
            </w:r>
            <w:proofErr w:type="spellStart"/>
            <w:r w:rsidRPr="00E877AA">
              <w:rPr>
                <w:rFonts w:ascii="Arial" w:eastAsia="Times New Roman" w:hAnsi="Arial" w:cs="Arial"/>
                <w:color w:val="000000"/>
                <w:sz w:val="20"/>
                <w:szCs w:val="20"/>
                <w:lang w:eastAsia="cs-CZ"/>
              </w:rPr>
              <w:t>Credit</w:t>
            </w:r>
            <w:proofErr w:type="spellEnd"/>
            <w:r w:rsidRPr="00E877AA">
              <w:rPr>
                <w:rFonts w:ascii="Arial" w:eastAsia="Times New Roman" w:hAnsi="Arial" w:cs="Arial"/>
                <w:color w:val="000000"/>
                <w:sz w:val="20"/>
                <w:szCs w:val="20"/>
                <w:lang w:eastAsia="cs-CZ"/>
              </w:rPr>
              <w:t xml:space="preserve"> Czech,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posouzení úvěruschopnosti, platnost sjednání smlouvy</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vyhověno,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FA/SR/SU/1164/2017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CP Inkaso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určení výše dluhu</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zamítnutní</w:t>
            </w:r>
            <w:proofErr w:type="spellEnd"/>
            <w:r w:rsidRPr="00E877AA">
              <w:rPr>
                <w:rFonts w:ascii="Arial" w:eastAsia="Times New Roman" w:hAnsi="Arial" w:cs="Arial"/>
                <w:color w:val="000000"/>
                <w:sz w:val="20"/>
                <w:szCs w:val="20"/>
                <w:lang w:eastAsia="cs-CZ"/>
              </w:rPr>
              <w:t xml:space="preserve">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FA/SU/555/2016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Konsolidační Společnost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platnost sjednání smlouvy, nepřiměřené ujednání, vydání </w:t>
            </w:r>
            <w:proofErr w:type="spellStart"/>
            <w:r w:rsidRPr="00E877AA">
              <w:rPr>
                <w:rFonts w:ascii="Arial" w:eastAsia="Times New Roman" w:hAnsi="Arial" w:cs="Arial"/>
                <w:color w:val="000000"/>
                <w:sz w:val="20"/>
                <w:szCs w:val="20"/>
                <w:lang w:eastAsia="cs-CZ"/>
              </w:rPr>
              <w:t>bezdůvodního</w:t>
            </w:r>
            <w:proofErr w:type="spellEnd"/>
            <w:r w:rsidRPr="00E877AA">
              <w:rPr>
                <w:rFonts w:ascii="Arial" w:eastAsia="Times New Roman" w:hAnsi="Arial" w:cs="Arial"/>
                <w:color w:val="000000"/>
                <w:sz w:val="20"/>
                <w:szCs w:val="20"/>
                <w:lang w:eastAsia="cs-CZ"/>
              </w:rPr>
              <w:t xml:space="preserve"> obohacení, absolutní neplatnost smlouvy, poplatek za poskytnutí úvěru, vratné </w:t>
            </w:r>
            <w:proofErr w:type="spellStart"/>
            <w:r w:rsidRPr="00E877AA">
              <w:rPr>
                <w:rFonts w:ascii="Arial" w:eastAsia="Times New Roman" w:hAnsi="Arial" w:cs="Arial"/>
                <w:color w:val="000000"/>
                <w:sz w:val="20"/>
                <w:szCs w:val="20"/>
                <w:lang w:eastAsia="cs-CZ"/>
              </w:rPr>
              <w:t>fee</w:t>
            </w:r>
            <w:proofErr w:type="spellEnd"/>
            <w:r w:rsidRPr="00E877AA">
              <w:rPr>
                <w:rFonts w:ascii="Arial" w:eastAsia="Times New Roman" w:hAnsi="Arial" w:cs="Arial"/>
                <w:color w:val="000000"/>
                <w:sz w:val="20"/>
                <w:szCs w:val="20"/>
                <w:lang w:eastAsia="cs-CZ"/>
              </w:rPr>
              <w:t>, smluvní pokuta, promlčení, platební morálka</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FA/SU/346/2016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Konsolidační Společnost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sjednání smlouvy, nepřiměřená ujednání,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FA/SU/43/2014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Konsolidační Společnost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zprostředkování spotřebitelského úvěru, náležitosti smlouvy, neplatnost smlouvy</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úplné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473/SU/2013</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Konsolidační Společnost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sjednání smlouvy, nepřiměřená ujednání,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úplné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lastRenderedPageBreak/>
              <w:t>FA/SU/234/2014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Konsolidační Společnost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sjednání smlouvy, nepřiměřená ujednání,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FA/SU/649/2015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Konsolidační Společnost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sjednání smlouvy, nepřiměřená ujednání,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vyhovění návrhu </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FA/SU/602/2013</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Konsolidační Společnost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sjednání smlouvy, nepřiměřená ujednání,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FA/SR/SU/321/2013</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Konsolidační Společnost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sjednání smlouvy, nepřiměřená ujednání,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FA/SU/563/2017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spořitelna,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smluvního ujednání, neplatnost sazebníku, úhrada za vedení účtu, úhrada za ukončení smlouvy, zůstatek na účtu, sjednaná cílová částka, náklady řízení</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FA/SR/SU/492/2017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spořitelna,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předčasné splacení, náhrada škody, hypotéční úvěr, poplatek za předčasné splacení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FA/SU/1620/2016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Československá obchodní banka, a.s.</w:t>
            </w:r>
          </w:p>
        </w:tc>
        <w:tc>
          <w:tcPr>
            <w:tcW w:w="4394"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smlouva o konsolidaci, smlouva o kreditní kartě, smlouva o úvěru, neplatnost smluvního ujednání, omyl</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FA/SU/1877/2016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Československá obchodní banka, a.s.</w:t>
            </w:r>
          </w:p>
        </w:tc>
        <w:tc>
          <w:tcPr>
            <w:tcW w:w="4394"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předčasné splacení, náhrada škody</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FA/SU/519/2017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Door</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Financial</w:t>
            </w:r>
            <w:proofErr w:type="spellEnd"/>
            <w:r w:rsidRPr="00E877AA">
              <w:rPr>
                <w:rFonts w:ascii="Arial" w:eastAsia="Times New Roman" w:hAnsi="Arial" w:cs="Arial"/>
                <w:color w:val="000000"/>
                <w:sz w:val="20"/>
                <w:szCs w:val="20"/>
                <w:lang w:eastAsia="cs-CZ"/>
              </w:rPr>
              <w:t xml:space="preserve">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posouzení úvěruschopnosti, platnost sjednání smlouvy</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úplné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FA/SR/SU/1755/2016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ESSOX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námitka promlčení, posouzení úvěruschopnosti, neplatnost smlouvy</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FA/SU/236/2017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Home</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Credit</w:t>
            </w:r>
            <w:proofErr w:type="spellEnd"/>
            <w:r w:rsidRPr="00E877AA">
              <w:rPr>
                <w:rFonts w:ascii="Arial" w:eastAsia="Times New Roman" w:hAnsi="Arial" w:cs="Arial"/>
                <w:color w:val="000000"/>
                <w:sz w:val="20"/>
                <w:szCs w:val="20"/>
                <w:lang w:eastAsia="cs-CZ"/>
              </w:rPr>
              <w:t xml:space="preserve">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sjednání smlouvy, nepřiměřená ujednání, vydání bezdůvodného obohacení, neplatnost smlouvy o úvěru, bezdůvodné obohacení, úrok z prodlení, diskontní sazba, tíseň</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FA/SR/SU/1192/2017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KOBLÍŽEK PLZEŇ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posouzení úvěruschopnosti, platnost sjednání smlouvy</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FA/SR/SU/390/2018</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MONETA Money Bank,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informační povinnost, sankce, RPSN</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FA/SU/245/2017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PROFI CREDIT Czech,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posouzení úvěruschopnosti, platnost sjednání smlouvy</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úplné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FA/SU/57/2017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Raiffeisen</w:t>
            </w:r>
            <w:proofErr w:type="spellEnd"/>
            <w:r w:rsidRPr="00E877AA">
              <w:rPr>
                <w:rFonts w:ascii="Arial" w:eastAsia="Times New Roman" w:hAnsi="Arial" w:cs="Arial"/>
                <w:color w:val="000000"/>
                <w:sz w:val="20"/>
                <w:szCs w:val="20"/>
                <w:lang w:eastAsia="cs-CZ"/>
              </w:rPr>
              <w:t xml:space="preserve"> stavební spořitelna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poplatkové spory</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FA/SR/SU/525/2017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Real </w:t>
            </w:r>
            <w:proofErr w:type="spellStart"/>
            <w:r w:rsidRPr="00E877AA">
              <w:rPr>
                <w:rFonts w:ascii="Arial" w:eastAsia="Times New Roman" w:hAnsi="Arial" w:cs="Arial"/>
                <w:color w:val="000000"/>
                <w:sz w:val="20"/>
                <w:szCs w:val="20"/>
                <w:lang w:eastAsia="cs-CZ"/>
              </w:rPr>
              <w:t>estate</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financial</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hospital</w:t>
            </w:r>
            <w:proofErr w:type="spellEnd"/>
            <w:r w:rsidRPr="00E877AA">
              <w:rPr>
                <w:rFonts w:ascii="Arial" w:eastAsia="Times New Roman" w:hAnsi="Arial" w:cs="Arial"/>
                <w:color w:val="000000"/>
                <w:sz w:val="20"/>
                <w:szCs w:val="20"/>
                <w:lang w:eastAsia="cs-CZ"/>
              </w:rPr>
              <w:t xml:space="preserve">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posouzení úvěruschopnosti, platnost sjednání smlouvy</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úplné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FA/SU/526/2017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Sarmentum</w:t>
            </w:r>
            <w:proofErr w:type="spellEnd"/>
            <w:r w:rsidRPr="00E877AA">
              <w:rPr>
                <w:rFonts w:ascii="Arial" w:eastAsia="Times New Roman" w:hAnsi="Arial" w:cs="Arial"/>
                <w:color w:val="000000"/>
                <w:sz w:val="20"/>
                <w:szCs w:val="20"/>
                <w:lang w:eastAsia="cs-CZ"/>
              </w:rPr>
              <w:t xml:space="preserve"> finance, s.r.o.</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posouzení úvěruschopnosti, platnost sjednání smlouvy</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úplné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FA/SU/135/2017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SU</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UniCredit Bank Czech Republic and Slovakia, a.s.</w:t>
            </w:r>
          </w:p>
        </w:tc>
        <w:tc>
          <w:tcPr>
            <w:tcW w:w="4394"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registr dlužníků a výmaz z něj, ručení, zánik smlouvy o úvěru, bezdůvodné obohacení; bankovní registr klientských informací, náhrada </w:t>
            </w:r>
            <w:r w:rsidRPr="00E877AA">
              <w:rPr>
                <w:rFonts w:ascii="Arial" w:eastAsia="Times New Roman" w:hAnsi="Arial" w:cs="Arial"/>
                <w:color w:val="000000"/>
                <w:sz w:val="20"/>
                <w:szCs w:val="20"/>
                <w:lang w:eastAsia="cs-CZ"/>
              </w:rPr>
              <w:lastRenderedPageBreak/>
              <w:t>nemajetkové újmy, smlouva o zástavním právu, splácení úvěru</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lastRenderedPageBreak/>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lastRenderedPageBreak/>
              <w:t>FA/SR/ZP/1697/2016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Allianz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snížení pojistného plnění v důsledku jednání pojištěného</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FA/SR/ZP/1851/2016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Allianz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FA/ZP/636/2015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AXA životní pojišťovna a.s.</w:t>
            </w:r>
          </w:p>
        </w:tc>
        <w:tc>
          <w:tcPr>
            <w:tcW w:w="4394"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úplné vyhovění nálezu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FA/ZP/517/2014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AXA životní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 poplatky</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78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FA/ZP/211/2014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AXA životní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 absolutní neplatnost smlouvy, porušení informační povinnosti, investiční životní pojištění, promlčení práva na vydání bezdůvodného obohacení, pojistný zájem</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úplné vyhovění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FA/ZP/211/2014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AXA životní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bezdůvodní obohacení, absolutní neplatnost smlouvy, pojistné riziko, pojistný zájem</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FA/SR/ZP/590/2014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AXA životní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FA/SR/ZP/77/2014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Česká podnikatelská pojišťovna, a.s. </w:t>
            </w:r>
            <w:proofErr w:type="spellStart"/>
            <w:r w:rsidRPr="00E877AA">
              <w:rPr>
                <w:rFonts w:ascii="Arial" w:eastAsia="Times New Roman" w:hAnsi="Arial" w:cs="Arial"/>
                <w:color w:val="000000"/>
                <w:sz w:val="20"/>
                <w:szCs w:val="20"/>
                <w:lang w:eastAsia="cs-CZ"/>
              </w:rPr>
              <w:t>Vienna</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Insurance</w:t>
            </w:r>
            <w:proofErr w:type="spellEnd"/>
            <w:r w:rsidRPr="00E877AA">
              <w:rPr>
                <w:rFonts w:ascii="Arial" w:eastAsia="Times New Roman" w:hAnsi="Arial" w:cs="Arial"/>
                <w:color w:val="000000"/>
                <w:sz w:val="20"/>
                <w:szCs w:val="20"/>
                <w:lang w:eastAsia="cs-CZ"/>
              </w:rPr>
              <w:t xml:space="preserve"> Group</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FA/ZP/71/2014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 absolutní neplatnost smlouvy, zastoupení advokátem, oddělitelnost neplatných smluvních ujednání, promlčení</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FA/ZP/620/2015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FA/ZP/1230/2016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FA/ZP/1342/2016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FA/ZP/494/2016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bezdůvodní obohacení, určení neplatnosti smlouvy, námitka promlčení, naléhavý právní zájem</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FA/SR/ZP/770/2016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lastRenderedPageBreak/>
              <w:t>FA/SR/ZP/1857/2016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 neplatnost smlouvy, bezdůvodné obohacení, promlčení práva</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FA/SR/ZP/1431/2016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FA/ZP/149/2017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FA/ZP/711/2016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FA/SR/ZP/1306/2016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FA/SR/ZP/1383/2016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FA/ZP/1889/2016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FA/ZP/1301/2016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FA/ZP/435/2017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FA/ZP/579/2017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FA/ZP/1885/2016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FA/ZP/1380/2016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zastaveno, částečně vyhověno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FA/ZP/1735/2016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FA/ZP/1307/2016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 promlčení práva na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zastaveno, částečně vyhověno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FA/SR/ZP/1609/2016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vyhověno,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FA/ZP/1624/2016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FA/ZP/1430/2016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 neplatnost smlouvy, omyl, náhrada škody, bezdůvodní obohacení, určení neplatnosti smlouvy, námitka promlčení, naléhavý právní zájem</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lastRenderedPageBreak/>
              <w:t>FA/ZP/1305/2016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 rozpor se zákonem, vydání bezdůvodného obohacení, námitka promlčení</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FA/ZP/1303/2016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Česká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 neplatnost smlouvy, omyl, náhrada škody, bezdůvodní obohacení, určení neplatnosti smlouvy, námitka promlčení, naléhavý právní zájem</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FA/ZP/950/2016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ČSOB Pojišťovna, a.s., člen holdingu ČSOB</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FA/ZP/848/2015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ČSOB Pojišťovna, a.s., člen holdingu ČSOB</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FA/SR/ZP/263/2015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FA/SR/ZP/106/2016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FA/SR/ZP/309/2017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FA/SR/ZP/813/2017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FA/SR/ZP/1138/2017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FA/SR/ZP/313/2015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FA/ZP/1883/2016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FA/ZP/21/2017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a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FA/SR/ZP/14/2014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FA/SR/ZP/693/2017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FA/SR/ZP/903/2017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FA/SR/ZP/544/2016</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FA/SR/ZP/858/2017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FA/ZP/658/2017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lastRenderedPageBreak/>
              <w:t>FA/ZP/832/2017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FA/ZP/839/2017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FA/ZP/835/2017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FA/ZP/1099/2017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FA/ZP/923/2017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FA/ZP/1245/2017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FA/ZP/1043/2018</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FA/ZP/1068/2017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platnost ujednání o poplatcích,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103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FA/ZP/49/2017</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Generali</w:t>
            </w:r>
            <w:proofErr w:type="spellEnd"/>
            <w:r w:rsidRPr="00E877AA">
              <w:rPr>
                <w:rFonts w:ascii="Arial" w:eastAsia="Times New Roman" w:hAnsi="Arial" w:cs="Arial"/>
                <w:color w:val="000000"/>
                <w:sz w:val="20"/>
                <w:szCs w:val="20"/>
                <w:lang w:eastAsia="cs-CZ"/>
              </w:rPr>
              <w:t xml:space="preserve"> Pojišťovna, a.s.</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 pojistné plnění z připojištění pro případ smrti úrazem, uvedení pojišťovny v omyl, zdravotní dotazník, pojistné plnění z pojištění pro případ smrti, relativní neplatnost pojistné smlouvy z důvodu omylu při jejím uzavření</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FA/SR/ZP/614/2015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Kooperativa pojišťovna, a.s., </w:t>
            </w:r>
            <w:proofErr w:type="spellStart"/>
            <w:r w:rsidRPr="00E877AA">
              <w:rPr>
                <w:rFonts w:ascii="Arial" w:eastAsia="Times New Roman" w:hAnsi="Arial" w:cs="Arial"/>
                <w:color w:val="000000"/>
                <w:sz w:val="20"/>
                <w:szCs w:val="20"/>
                <w:lang w:eastAsia="cs-CZ"/>
              </w:rPr>
              <w:t>Vienna</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Insurance</w:t>
            </w:r>
            <w:proofErr w:type="spellEnd"/>
            <w:r w:rsidRPr="00E877AA">
              <w:rPr>
                <w:rFonts w:ascii="Arial" w:eastAsia="Times New Roman" w:hAnsi="Arial" w:cs="Arial"/>
                <w:color w:val="000000"/>
                <w:sz w:val="20"/>
                <w:szCs w:val="20"/>
                <w:lang w:eastAsia="cs-CZ"/>
              </w:rPr>
              <w:t xml:space="preserve"> Group</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FA/SR/ZP/616/2015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Kooperativa pojišťovna, a.s., </w:t>
            </w:r>
            <w:proofErr w:type="spellStart"/>
            <w:r w:rsidRPr="00E877AA">
              <w:rPr>
                <w:rFonts w:ascii="Arial" w:eastAsia="Times New Roman" w:hAnsi="Arial" w:cs="Arial"/>
                <w:color w:val="000000"/>
                <w:sz w:val="20"/>
                <w:szCs w:val="20"/>
                <w:lang w:eastAsia="cs-CZ"/>
              </w:rPr>
              <w:t>Vienna</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Insurance</w:t>
            </w:r>
            <w:proofErr w:type="spellEnd"/>
            <w:r w:rsidRPr="00E877AA">
              <w:rPr>
                <w:rFonts w:ascii="Arial" w:eastAsia="Times New Roman" w:hAnsi="Arial" w:cs="Arial"/>
                <w:color w:val="000000"/>
                <w:sz w:val="20"/>
                <w:szCs w:val="20"/>
                <w:lang w:eastAsia="cs-CZ"/>
              </w:rPr>
              <w:t xml:space="preserve"> Group</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FA/SR/ZP/615/2015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Kooperativa pojišťovna, a.s., </w:t>
            </w:r>
            <w:proofErr w:type="spellStart"/>
            <w:r w:rsidRPr="00E877AA">
              <w:rPr>
                <w:rFonts w:ascii="Arial" w:eastAsia="Times New Roman" w:hAnsi="Arial" w:cs="Arial"/>
                <w:color w:val="000000"/>
                <w:sz w:val="20"/>
                <w:szCs w:val="20"/>
                <w:lang w:eastAsia="cs-CZ"/>
              </w:rPr>
              <w:t>Vienna</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Insurance</w:t>
            </w:r>
            <w:proofErr w:type="spellEnd"/>
            <w:r w:rsidRPr="00E877AA">
              <w:rPr>
                <w:rFonts w:ascii="Arial" w:eastAsia="Times New Roman" w:hAnsi="Arial" w:cs="Arial"/>
                <w:color w:val="000000"/>
                <w:sz w:val="20"/>
                <w:szCs w:val="20"/>
                <w:lang w:eastAsia="cs-CZ"/>
              </w:rPr>
              <w:t xml:space="preserve"> Group</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omyl,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FA/SR/ZP/118/2014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MetLife</w:t>
            </w:r>
            <w:proofErr w:type="spellEnd"/>
            <w:r w:rsidRPr="00E877AA">
              <w:rPr>
                <w:rFonts w:ascii="Arial" w:eastAsia="Times New Roman" w:hAnsi="Arial" w:cs="Arial"/>
                <w:color w:val="000000"/>
                <w:sz w:val="20"/>
                <w:szCs w:val="20"/>
                <w:lang w:eastAsia="cs-CZ"/>
              </w:rPr>
              <w:t xml:space="preserve"> </w:t>
            </w:r>
            <w:proofErr w:type="spellStart"/>
            <w:proofErr w:type="gramStart"/>
            <w:r w:rsidRPr="00E877AA">
              <w:rPr>
                <w:rFonts w:ascii="Arial" w:eastAsia="Times New Roman" w:hAnsi="Arial" w:cs="Arial"/>
                <w:color w:val="000000"/>
                <w:sz w:val="20"/>
                <w:szCs w:val="20"/>
                <w:lang w:eastAsia="cs-CZ"/>
              </w:rPr>
              <w:t>Europe</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d.a.</w:t>
            </w:r>
            <w:proofErr w:type="gramEnd"/>
            <w:r w:rsidRPr="00E877AA">
              <w:rPr>
                <w:rFonts w:ascii="Arial" w:eastAsia="Times New Roman" w:hAnsi="Arial" w:cs="Arial"/>
                <w:color w:val="000000"/>
                <w:sz w:val="20"/>
                <w:szCs w:val="20"/>
                <w:lang w:eastAsia="cs-CZ"/>
              </w:rPr>
              <w:t>c</w:t>
            </w:r>
            <w:proofErr w:type="spellEnd"/>
            <w:r w:rsidRPr="00E877AA">
              <w:rPr>
                <w:rFonts w:ascii="Arial" w:eastAsia="Times New Roman" w:hAnsi="Arial" w:cs="Arial"/>
                <w:color w:val="000000"/>
                <w:sz w:val="20"/>
                <w:szCs w:val="20"/>
                <w:lang w:eastAsia="cs-CZ"/>
              </w:rPr>
              <w:t>., pobočka pro Českou republiku</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neplatnost smlouvy, omyl, náhrada škody, bezdůvodní obohacení, poplatková struktura pojistné smlouvy, alokační poplatek, sazebník, </w:t>
            </w:r>
            <w:proofErr w:type="spellStart"/>
            <w:r w:rsidRPr="00E877AA">
              <w:rPr>
                <w:rFonts w:ascii="Arial" w:eastAsia="Times New Roman" w:hAnsi="Arial" w:cs="Arial"/>
                <w:color w:val="000000"/>
                <w:sz w:val="20"/>
                <w:szCs w:val="20"/>
                <w:lang w:eastAsia="cs-CZ"/>
              </w:rPr>
              <w:t>promlční</w:t>
            </w:r>
            <w:proofErr w:type="spellEnd"/>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FA/ZP/108/2014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MetLife</w:t>
            </w:r>
            <w:proofErr w:type="spellEnd"/>
            <w:r w:rsidRPr="00E877AA">
              <w:rPr>
                <w:rFonts w:ascii="Arial" w:eastAsia="Times New Roman" w:hAnsi="Arial" w:cs="Arial"/>
                <w:color w:val="000000"/>
                <w:sz w:val="20"/>
                <w:szCs w:val="20"/>
                <w:lang w:eastAsia="cs-CZ"/>
              </w:rPr>
              <w:t xml:space="preserve"> </w:t>
            </w:r>
            <w:proofErr w:type="spellStart"/>
            <w:proofErr w:type="gramStart"/>
            <w:r w:rsidRPr="00E877AA">
              <w:rPr>
                <w:rFonts w:ascii="Arial" w:eastAsia="Times New Roman" w:hAnsi="Arial" w:cs="Arial"/>
                <w:color w:val="000000"/>
                <w:sz w:val="20"/>
                <w:szCs w:val="20"/>
                <w:lang w:eastAsia="cs-CZ"/>
              </w:rPr>
              <w:t>Europe</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d.a.</w:t>
            </w:r>
            <w:proofErr w:type="gramEnd"/>
            <w:r w:rsidRPr="00E877AA">
              <w:rPr>
                <w:rFonts w:ascii="Arial" w:eastAsia="Times New Roman" w:hAnsi="Arial" w:cs="Arial"/>
                <w:color w:val="000000"/>
                <w:sz w:val="20"/>
                <w:szCs w:val="20"/>
                <w:lang w:eastAsia="cs-CZ"/>
              </w:rPr>
              <w:t>c</w:t>
            </w:r>
            <w:proofErr w:type="spellEnd"/>
            <w:r w:rsidRPr="00E877AA">
              <w:rPr>
                <w:rFonts w:ascii="Arial" w:eastAsia="Times New Roman" w:hAnsi="Arial" w:cs="Arial"/>
                <w:color w:val="000000"/>
                <w:sz w:val="20"/>
                <w:szCs w:val="20"/>
                <w:lang w:eastAsia="cs-CZ"/>
              </w:rPr>
              <w:t>., pobočka pro Českou republiku</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FA/ZP/174/2014</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proofErr w:type="spellStart"/>
            <w:r w:rsidRPr="00E877AA">
              <w:rPr>
                <w:rFonts w:ascii="Arial" w:eastAsia="Times New Roman" w:hAnsi="Arial" w:cs="Arial"/>
                <w:color w:val="000000"/>
                <w:sz w:val="20"/>
                <w:szCs w:val="20"/>
                <w:lang w:eastAsia="cs-CZ"/>
              </w:rPr>
              <w:t>MetLife</w:t>
            </w:r>
            <w:proofErr w:type="spellEnd"/>
            <w:r w:rsidRPr="00E877AA">
              <w:rPr>
                <w:rFonts w:ascii="Arial" w:eastAsia="Times New Roman" w:hAnsi="Arial" w:cs="Arial"/>
                <w:color w:val="000000"/>
                <w:sz w:val="20"/>
                <w:szCs w:val="20"/>
                <w:lang w:eastAsia="cs-CZ"/>
              </w:rPr>
              <w:t xml:space="preserve"> </w:t>
            </w:r>
            <w:proofErr w:type="spellStart"/>
            <w:proofErr w:type="gramStart"/>
            <w:r w:rsidRPr="00E877AA">
              <w:rPr>
                <w:rFonts w:ascii="Arial" w:eastAsia="Times New Roman" w:hAnsi="Arial" w:cs="Arial"/>
                <w:color w:val="000000"/>
                <w:sz w:val="20"/>
                <w:szCs w:val="20"/>
                <w:lang w:eastAsia="cs-CZ"/>
              </w:rPr>
              <w:t>Europe</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d.a.</w:t>
            </w:r>
            <w:proofErr w:type="gramEnd"/>
            <w:r w:rsidRPr="00E877AA">
              <w:rPr>
                <w:rFonts w:ascii="Arial" w:eastAsia="Times New Roman" w:hAnsi="Arial" w:cs="Arial"/>
                <w:color w:val="000000"/>
                <w:sz w:val="20"/>
                <w:szCs w:val="20"/>
                <w:lang w:eastAsia="cs-CZ"/>
              </w:rPr>
              <w:t>c</w:t>
            </w:r>
            <w:proofErr w:type="spellEnd"/>
            <w:r w:rsidRPr="00E877AA">
              <w:rPr>
                <w:rFonts w:ascii="Arial" w:eastAsia="Times New Roman" w:hAnsi="Arial" w:cs="Arial"/>
                <w:color w:val="000000"/>
                <w:sz w:val="20"/>
                <w:szCs w:val="20"/>
                <w:lang w:eastAsia="cs-CZ"/>
              </w:rPr>
              <w:t>., pobočka pro Českou republiku</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Neplatnost smlouvy, náhrada škody, bezdůvodné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částečné vyhovění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FA/SR/ZP/464/2015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NN Životní pojišťovna </w:t>
            </w:r>
            <w:proofErr w:type="gramStart"/>
            <w:r w:rsidRPr="00E877AA">
              <w:rPr>
                <w:rFonts w:ascii="Arial" w:eastAsia="Times New Roman" w:hAnsi="Arial" w:cs="Arial"/>
                <w:color w:val="000000"/>
                <w:sz w:val="20"/>
                <w:szCs w:val="20"/>
                <w:lang w:eastAsia="cs-CZ"/>
              </w:rPr>
              <w:t>N.V., pobočka</w:t>
            </w:r>
            <w:proofErr w:type="gramEnd"/>
            <w:r w:rsidRPr="00E877AA">
              <w:rPr>
                <w:rFonts w:ascii="Arial" w:eastAsia="Times New Roman" w:hAnsi="Arial" w:cs="Arial"/>
                <w:color w:val="000000"/>
                <w:sz w:val="20"/>
                <w:szCs w:val="20"/>
                <w:lang w:eastAsia="cs-CZ"/>
              </w:rPr>
              <w:t xml:space="preserve"> pro Českou republiku</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neplatnost smlouvy, omyl, náhrada škody, bezdůvodné obohacení, porušení zákona o podnikání na kapitálovém trhu, škoda pro rozpor se zákonem o ochraně spotřebitele, </w:t>
            </w:r>
            <w:r w:rsidRPr="00E877AA">
              <w:rPr>
                <w:rFonts w:ascii="Arial" w:eastAsia="Times New Roman" w:hAnsi="Arial" w:cs="Arial"/>
                <w:color w:val="000000"/>
                <w:sz w:val="20"/>
                <w:szCs w:val="20"/>
                <w:lang w:eastAsia="cs-CZ"/>
              </w:rPr>
              <w:lastRenderedPageBreak/>
              <w:t>škoda pro rozpor s dobrými mravy</w:t>
            </w:r>
          </w:p>
        </w:tc>
        <w:tc>
          <w:tcPr>
            <w:tcW w:w="3828"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lastRenderedPageBreak/>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lastRenderedPageBreak/>
              <w:t>FA/SR/ZP/258/2015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NN Životní pojišťovna </w:t>
            </w:r>
            <w:proofErr w:type="gramStart"/>
            <w:r w:rsidRPr="00E877AA">
              <w:rPr>
                <w:rFonts w:ascii="Arial" w:eastAsia="Times New Roman" w:hAnsi="Arial" w:cs="Arial"/>
                <w:color w:val="000000"/>
                <w:sz w:val="20"/>
                <w:szCs w:val="20"/>
                <w:lang w:eastAsia="cs-CZ"/>
              </w:rPr>
              <w:t>N.V., pobočka</w:t>
            </w:r>
            <w:proofErr w:type="gramEnd"/>
            <w:r w:rsidRPr="00E877AA">
              <w:rPr>
                <w:rFonts w:ascii="Arial" w:eastAsia="Times New Roman" w:hAnsi="Arial" w:cs="Arial"/>
                <w:color w:val="000000"/>
                <w:sz w:val="20"/>
                <w:szCs w:val="20"/>
                <w:lang w:eastAsia="cs-CZ"/>
              </w:rPr>
              <w:t xml:space="preserve"> pro Českou republiku</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pojistná částka</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52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FA/ZP/158/2015</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NN Životní pojišťovna </w:t>
            </w:r>
            <w:proofErr w:type="gramStart"/>
            <w:r w:rsidRPr="00E877AA">
              <w:rPr>
                <w:rFonts w:ascii="Arial" w:eastAsia="Times New Roman" w:hAnsi="Arial" w:cs="Arial"/>
                <w:color w:val="000000"/>
                <w:sz w:val="20"/>
                <w:szCs w:val="20"/>
                <w:lang w:eastAsia="cs-CZ"/>
              </w:rPr>
              <w:t>N.V., pobočka</w:t>
            </w:r>
            <w:proofErr w:type="gramEnd"/>
            <w:r w:rsidRPr="00E877AA">
              <w:rPr>
                <w:rFonts w:ascii="Arial" w:eastAsia="Times New Roman" w:hAnsi="Arial" w:cs="Arial"/>
                <w:color w:val="000000"/>
                <w:sz w:val="20"/>
                <w:szCs w:val="20"/>
                <w:lang w:eastAsia="cs-CZ"/>
              </w:rPr>
              <w:t xml:space="preserve"> pro Českou republiku</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neplatnost smlouvy, omyl, náhrada škody, bezdůvodné </w:t>
            </w:r>
            <w:proofErr w:type="spellStart"/>
            <w:proofErr w:type="gramStart"/>
            <w:r w:rsidRPr="00E877AA">
              <w:rPr>
                <w:rFonts w:ascii="Arial" w:eastAsia="Times New Roman" w:hAnsi="Arial" w:cs="Arial"/>
                <w:color w:val="000000"/>
                <w:sz w:val="20"/>
                <w:szCs w:val="20"/>
                <w:lang w:eastAsia="cs-CZ"/>
              </w:rPr>
              <w:t>obohacení,nedostatek</w:t>
            </w:r>
            <w:proofErr w:type="spellEnd"/>
            <w:proofErr w:type="gramEnd"/>
            <w:r w:rsidRPr="00E877AA">
              <w:rPr>
                <w:rFonts w:ascii="Arial" w:eastAsia="Times New Roman" w:hAnsi="Arial" w:cs="Arial"/>
                <w:color w:val="000000"/>
                <w:sz w:val="20"/>
                <w:szCs w:val="20"/>
                <w:lang w:eastAsia="cs-CZ"/>
              </w:rPr>
              <w:t xml:space="preserve"> právní způsobilosti, nepřevzetí pojistné ochrany</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zamítnutí návrhu</w:t>
            </w:r>
          </w:p>
        </w:tc>
      </w:tr>
      <w:tr w:rsidR="0064555B" w:rsidRPr="00E877AA" w:rsidTr="004905A0">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FA/ZP/853/2018</w:t>
            </w:r>
          </w:p>
        </w:tc>
        <w:tc>
          <w:tcPr>
            <w:tcW w:w="567" w:type="dxa"/>
            <w:tcBorders>
              <w:top w:val="nil"/>
              <w:left w:val="nil"/>
              <w:bottom w:val="single" w:sz="4" w:space="0" w:color="auto"/>
              <w:right w:val="single" w:sz="4" w:space="0" w:color="auto"/>
            </w:tcBorders>
            <w:shd w:val="clear" w:color="auto" w:fill="auto"/>
            <w:noWrap/>
            <w:vAlign w:val="bottom"/>
            <w:hideMark/>
          </w:tcPr>
          <w:p w:rsidR="0064555B" w:rsidRPr="00E877AA" w:rsidRDefault="0064555B" w:rsidP="00015B9C">
            <w:pPr>
              <w:spacing w:after="0"/>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ZP</w:t>
            </w:r>
          </w:p>
        </w:tc>
        <w:tc>
          <w:tcPr>
            <w:tcW w:w="3685" w:type="dxa"/>
            <w:gridSpan w:val="2"/>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 xml:space="preserve">Pojišťovna České spořitelny, a.s. </w:t>
            </w:r>
            <w:proofErr w:type="spellStart"/>
            <w:r w:rsidRPr="00E877AA">
              <w:rPr>
                <w:rFonts w:ascii="Arial" w:eastAsia="Times New Roman" w:hAnsi="Arial" w:cs="Arial"/>
                <w:color w:val="000000"/>
                <w:sz w:val="20"/>
                <w:szCs w:val="20"/>
                <w:lang w:eastAsia="cs-CZ"/>
              </w:rPr>
              <w:t>Vienna</w:t>
            </w:r>
            <w:proofErr w:type="spellEnd"/>
            <w:r w:rsidRPr="00E877AA">
              <w:rPr>
                <w:rFonts w:ascii="Arial" w:eastAsia="Times New Roman" w:hAnsi="Arial" w:cs="Arial"/>
                <w:color w:val="000000"/>
                <w:sz w:val="20"/>
                <w:szCs w:val="20"/>
                <w:lang w:eastAsia="cs-CZ"/>
              </w:rPr>
              <w:t xml:space="preserve"> </w:t>
            </w:r>
            <w:proofErr w:type="spellStart"/>
            <w:r w:rsidRPr="00E877AA">
              <w:rPr>
                <w:rFonts w:ascii="Arial" w:eastAsia="Times New Roman" w:hAnsi="Arial" w:cs="Arial"/>
                <w:color w:val="000000"/>
                <w:sz w:val="20"/>
                <w:szCs w:val="20"/>
                <w:lang w:eastAsia="cs-CZ"/>
              </w:rPr>
              <w:t>Insurance</w:t>
            </w:r>
            <w:proofErr w:type="spellEnd"/>
            <w:r w:rsidRPr="00E877AA">
              <w:rPr>
                <w:rFonts w:ascii="Arial" w:eastAsia="Times New Roman" w:hAnsi="Arial" w:cs="Arial"/>
                <w:color w:val="000000"/>
                <w:sz w:val="20"/>
                <w:szCs w:val="20"/>
                <w:lang w:eastAsia="cs-CZ"/>
              </w:rPr>
              <w:t xml:space="preserve"> Group</w:t>
            </w:r>
          </w:p>
        </w:tc>
        <w:tc>
          <w:tcPr>
            <w:tcW w:w="4394"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promlčení uplatněného práva na náhradu škody, vydání bezdůvodného obohacení</w:t>
            </w:r>
          </w:p>
        </w:tc>
        <w:tc>
          <w:tcPr>
            <w:tcW w:w="3828" w:type="dxa"/>
            <w:tcBorders>
              <w:top w:val="nil"/>
              <w:left w:val="nil"/>
              <w:bottom w:val="single" w:sz="4" w:space="0" w:color="auto"/>
              <w:right w:val="single" w:sz="4" w:space="0" w:color="auto"/>
            </w:tcBorders>
            <w:shd w:val="clear" w:color="auto" w:fill="auto"/>
            <w:vAlign w:val="bottom"/>
            <w:hideMark/>
          </w:tcPr>
          <w:p w:rsidR="0064555B" w:rsidRPr="00E877AA" w:rsidRDefault="0064555B" w:rsidP="00015B9C">
            <w:pPr>
              <w:spacing w:after="0"/>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částečně zamítnuto, částečně zastaveno</w:t>
            </w:r>
          </w:p>
        </w:tc>
      </w:tr>
    </w:tbl>
    <w:p w:rsidR="0056717F" w:rsidRPr="00E877AA" w:rsidRDefault="0056717F" w:rsidP="0006063F">
      <w:pPr>
        <w:spacing w:after="0"/>
        <w:jc w:val="both"/>
        <w:rPr>
          <w:rFonts w:ascii="Arial" w:hAnsi="Arial" w:cs="Arial"/>
        </w:rPr>
      </w:pPr>
    </w:p>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80"/>
        <w:gridCol w:w="5480"/>
      </w:tblGrid>
      <w:tr w:rsidR="0064555B" w:rsidRPr="00E877AA" w:rsidTr="0064555B">
        <w:trPr>
          <w:trHeight w:val="300"/>
        </w:trPr>
        <w:tc>
          <w:tcPr>
            <w:tcW w:w="3580" w:type="dxa"/>
            <w:shd w:val="clear" w:color="auto" w:fill="auto"/>
            <w:noWrap/>
            <w:vAlign w:val="bottom"/>
            <w:hideMark/>
          </w:tcPr>
          <w:p w:rsidR="0064555B" w:rsidRPr="00E877AA" w:rsidRDefault="0064555B" w:rsidP="0064555B">
            <w:pPr>
              <w:spacing w:after="0"/>
              <w:jc w:val="center"/>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spisová značka …/PS/…</w:t>
            </w:r>
          </w:p>
        </w:tc>
        <w:tc>
          <w:tcPr>
            <w:tcW w:w="5480" w:type="dxa"/>
            <w:shd w:val="clear" w:color="auto" w:fill="auto"/>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spor z platebního styku</w:t>
            </w:r>
          </w:p>
        </w:tc>
      </w:tr>
      <w:tr w:rsidR="0064555B" w:rsidRPr="00E877AA" w:rsidTr="0064555B">
        <w:trPr>
          <w:trHeight w:val="300"/>
        </w:trPr>
        <w:tc>
          <w:tcPr>
            <w:tcW w:w="3580" w:type="dxa"/>
            <w:shd w:val="clear" w:color="auto" w:fill="auto"/>
            <w:noWrap/>
            <w:vAlign w:val="bottom"/>
            <w:hideMark/>
          </w:tcPr>
          <w:p w:rsidR="0064555B" w:rsidRPr="00E877AA" w:rsidRDefault="0064555B" w:rsidP="0064555B">
            <w:pPr>
              <w:spacing w:after="0"/>
              <w:jc w:val="center"/>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spisová značka …/SM/…</w:t>
            </w:r>
          </w:p>
        </w:tc>
        <w:tc>
          <w:tcPr>
            <w:tcW w:w="5480" w:type="dxa"/>
            <w:shd w:val="clear" w:color="auto" w:fill="auto"/>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spor ze směnárenského obchodu</w:t>
            </w:r>
          </w:p>
        </w:tc>
      </w:tr>
      <w:tr w:rsidR="0064555B" w:rsidRPr="00E877AA" w:rsidTr="0064555B">
        <w:trPr>
          <w:trHeight w:val="300"/>
        </w:trPr>
        <w:tc>
          <w:tcPr>
            <w:tcW w:w="3580" w:type="dxa"/>
            <w:shd w:val="clear" w:color="auto" w:fill="auto"/>
            <w:noWrap/>
            <w:vAlign w:val="bottom"/>
            <w:hideMark/>
          </w:tcPr>
          <w:p w:rsidR="0064555B" w:rsidRPr="00E877AA" w:rsidRDefault="0064555B" w:rsidP="0064555B">
            <w:pPr>
              <w:spacing w:after="0"/>
              <w:jc w:val="center"/>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spisová značka …/ST/…</w:t>
            </w:r>
          </w:p>
        </w:tc>
        <w:tc>
          <w:tcPr>
            <w:tcW w:w="5480" w:type="dxa"/>
            <w:shd w:val="clear" w:color="auto" w:fill="auto"/>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spor ze stavebního spoření</w:t>
            </w:r>
          </w:p>
        </w:tc>
      </w:tr>
      <w:tr w:rsidR="0064555B" w:rsidRPr="00E877AA" w:rsidTr="0064555B">
        <w:trPr>
          <w:trHeight w:val="300"/>
        </w:trPr>
        <w:tc>
          <w:tcPr>
            <w:tcW w:w="3580" w:type="dxa"/>
            <w:shd w:val="clear" w:color="auto" w:fill="auto"/>
            <w:noWrap/>
            <w:vAlign w:val="bottom"/>
            <w:hideMark/>
          </w:tcPr>
          <w:p w:rsidR="0064555B" w:rsidRPr="00E877AA" w:rsidRDefault="0064555B" w:rsidP="0064555B">
            <w:pPr>
              <w:spacing w:after="0"/>
              <w:jc w:val="center"/>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spisová značka …/SU/…</w:t>
            </w:r>
          </w:p>
        </w:tc>
        <w:tc>
          <w:tcPr>
            <w:tcW w:w="5480" w:type="dxa"/>
            <w:shd w:val="clear" w:color="auto" w:fill="auto"/>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spor ze spotřebitelského úvěru</w:t>
            </w:r>
          </w:p>
        </w:tc>
      </w:tr>
      <w:tr w:rsidR="0064555B" w:rsidRPr="00E877AA" w:rsidTr="0064555B">
        <w:trPr>
          <w:trHeight w:val="300"/>
        </w:trPr>
        <w:tc>
          <w:tcPr>
            <w:tcW w:w="3580" w:type="dxa"/>
            <w:shd w:val="clear" w:color="auto" w:fill="auto"/>
            <w:noWrap/>
            <w:vAlign w:val="bottom"/>
            <w:hideMark/>
          </w:tcPr>
          <w:p w:rsidR="0064555B" w:rsidRPr="00E877AA" w:rsidRDefault="0064555B" w:rsidP="0064555B">
            <w:pPr>
              <w:spacing w:after="0"/>
              <w:jc w:val="center"/>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spisová značka …/ZP/…</w:t>
            </w:r>
          </w:p>
        </w:tc>
        <w:tc>
          <w:tcPr>
            <w:tcW w:w="5480" w:type="dxa"/>
            <w:shd w:val="clear" w:color="auto" w:fill="auto"/>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spor ze životního pojištění</w:t>
            </w:r>
          </w:p>
        </w:tc>
      </w:tr>
      <w:tr w:rsidR="0064555B" w:rsidRPr="00E877AA" w:rsidTr="0064555B">
        <w:trPr>
          <w:trHeight w:val="300"/>
        </w:trPr>
        <w:tc>
          <w:tcPr>
            <w:tcW w:w="3580" w:type="dxa"/>
            <w:shd w:val="clear" w:color="auto" w:fill="auto"/>
            <w:noWrap/>
            <w:vAlign w:val="bottom"/>
            <w:hideMark/>
          </w:tcPr>
          <w:p w:rsidR="0064555B" w:rsidRPr="00E877AA" w:rsidRDefault="0064555B" w:rsidP="0064555B">
            <w:pPr>
              <w:spacing w:after="0"/>
              <w:jc w:val="center"/>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spisová značka …/KI/…</w:t>
            </w:r>
          </w:p>
        </w:tc>
        <w:tc>
          <w:tcPr>
            <w:tcW w:w="5480" w:type="dxa"/>
            <w:shd w:val="clear" w:color="auto" w:fill="auto"/>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spor z kolektivního investování</w:t>
            </w:r>
          </w:p>
        </w:tc>
      </w:tr>
      <w:tr w:rsidR="0064555B" w:rsidRPr="00E877AA" w:rsidTr="0064555B">
        <w:trPr>
          <w:trHeight w:val="300"/>
        </w:trPr>
        <w:tc>
          <w:tcPr>
            <w:tcW w:w="3580" w:type="dxa"/>
            <w:shd w:val="clear" w:color="auto" w:fill="auto"/>
            <w:noWrap/>
            <w:vAlign w:val="bottom"/>
            <w:hideMark/>
          </w:tcPr>
          <w:p w:rsidR="0064555B" w:rsidRPr="00E877AA" w:rsidRDefault="0064555B" w:rsidP="0064555B">
            <w:pPr>
              <w:spacing w:after="0"/>
              <w:jc w:val="center"/>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spisová značka …/RI/…</w:t>
            </w:r>
          </w:p>
        </w:tc>
        <w:tc>
          <w:tcPr>
            <w:tcW w:w="5480" w:type="dxa"/>
            <w:shd w:val="clear" w:color="auto" w:fill="auto"/>
            <w:vAlign w:val="bottom"/>
            <w:hideMark/>
          </w:tcPr>
          <w:p w:rsidR="0064555B" w:rsidRPr="00E877AA" w:rsidRDefault="0064555B" w:rsidP="0064555B">
            <w:pPr>
              <w:spacing w:after="0"/>
              <w:jc w:val="center"/>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spor z investičních služeb</w:t>
            </w:r>
          </w:p>
        </w:tc>
      </w:tr>
      <w:tr w:rsidR="0064555B" w:rsidRPr="0064555B" w:rsidTr="0064555B">
        <w:trPr>
          <w:trHeight w:val="300"/>
        </w:trPr>
        <w:tc>
          <w:tcPr>
            <w:tcW w:w="3580" w:type="dxa"/>
            <w:shd w:val="clear" w:color="auto" w:fill="auto"/>
            <w:noWrap/>
            <w:vAlign w:val="bottom"/>
            <w:hideMark/>
          </w:tcPr>
          <w:p w:rsidR="0064555B" w:rsidRPr="00E877AA" w:rsidRDefault="0064555B" w:rsidP="0064555B">
            <w:pPr>
              <w:spacing w:after="0"/>
              <w:jc w:val="center"/>
              <w:rPr>
                <w:rFonts w:ascii="Arial" w:eastAsia="Times New Roman" w:hAnsi="Arial" w:cs="Arial"/>
                <w:b/>
                <w:bCs/>
                <w:color w:val="000000"/>
                <w:sz w:val="20"/>
                <w:szCs w:val="20"/>
                <w:lang w:eastAsia="cs-CZ"/>
              </w:rPr>
            </w:pPr>
            <w:r w:rsidRPr="00E877AA">
              <w:rPr>
                <w:rFonts w:ascii="Arial" w:eastAsia="Times New Roman" w:hAnsi="Arial" w:cs="Arial"/>
                <w:b/>
                <w:bCs/>
                <w:color w:val="000000"/>
                <w:sz w:val="20"/>
                <w:szCs w:val="20"/>
                <w:lang w:eastAsia="cs-CZ"/>
              </w:rPr>
              <w:t>spisová značka …/P/…</w:t>
            </w:r>
          </w:p>
        </w:tc>
        <w:tc>
          <w:tcPr>
            <w:tcW w:w="5480" w:type="dxa"/>
            <w:shd w:val="clear" w:color="auto" w:fill="auto"/>
            <w:vAlign w:val="bottom"/>
            <w:hideMark/>
          </w:tcPr>
          <w:p w:rsidR="0064555B" w:rsidRPr="0064555B" w:rsidRDefault="0064555B" w:rsidP="0064555B">
            <w:pPr>
              <w:spacing w:after="0"/>
              <w:jc w:val="center"/>
              <w:rPr>
                <w:rFonts w:ascii="Arial" w:eastAsia="Times New Roman" w:hAnsi="Arial" w:cs="Arial"/>
                <w:color w:val="000000"/>
                <w:sz w:val="20"/>
                <w:szCs w:val="20"/>
                <w:lang w:eastAsia="cs-CZ"/>
              </w:rPr>
            </w:pPr>
            <w:r w:rsidRPr="00E877AA">
              <w:rPr>
                <w:rFonts w:ascii="Arial" w:eastAsia="Times New Roman" w:hAnsi="Arial" w:cs="Arial"/>
                <w:color w:val="000000"/>
                <w:sz w:val="20"/>
                <w:szCs w:val="20"/>
                <w:lang w:eastAsia="cs-CZ"/>
              </w:rPr>
              <w:t>řízení o uložení pokuty za nesoučinnost instituce</w:t>
            </w:r>
          </w:p>
        </w:tc>
      </w:tr>
    </w:tbl>
    <w:p w:rsidR="0056717F" w:rsidRDefault="0056717F" w:rsidP="0006063F">
      <w:pPr>
        <w:spacing w:after="0"/>
        <w:jc w:val="both"/>
        <w:rPr>
          <w:rFonts w:ascii="Arial" w:hAnsi="Arial" w:cs="Arial"/>
        </w:rPr>
      </w:pPr>
    </w:p>
    <w:p w:rsidR="00D016A8" w:rsidRDefault="00D016A8" w:rsidP="0006063F">
      <w:pPr>
        <w:spacing w:after="0"/>
        <w:jc w:val="both"/>
        <w:rPr>
          <w:rFonts w:ascii="Arial" w:hAnsi="Arial" w:cs="Arial"/>
        </w:rPr>
      </w:pPr>
    </w:p>
    <w:p w:rsidR="00D016A8" w:rsidRDefault="00D016A8" w:rsidP="0006063F">
      <w:pPr>
        <w:spacing w:after="0"/>
        <w:jc w:val="both"/>
        <w:rPr>
          <w:rFonts w:ascii="Arial" w:hAnsi="Arial" w:cs="Arial"/>
        </w:rPr>
      </w:pPr>
    </w:p>
    <w:p w:rsidR="00D016A8" w:rsidRPr="00166E77" w:rsidRDefault="00D016A8" w:rsidP="0006063F">
      <w:pPr>
        <w:spacing w:after="0"/>
        <w:jc w:val="both"/>
        <w:rPr>
          <w:rFonts w:ascii="Arial" w:hAnsi="Arial" w:cs="Arial"/>
        </w:rPr>
      </w:pPr>
    </w:p>
    <w:sectPr w:rsidR="00D016A8" w:rsidRPr="00166E77" w:rsidSect="00015B9C">
      <w:pgSz w:w="16838" w:h="11906" w:orient="landscape" w:code="9"/>
      <w:pgMar w:top="1134" w:right="1134"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5D9" w:rsidRDefault="009765D9" w:rsidP="007A7C58">
      <w:pPr>
        <w:spacing w:after="0"/>
      </w:pPr>
      <w:r>
        <w:separator/>
      </w:r>
    </w:p>
  </w:endnote>
  <w:endnote w:type="continuationSeparator" w:id="0">
    <w:p w:rsidR="009765D9" w:rsidRDefault="009765D9" w:rsidP="007A7C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Times New Roman CE">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5D9" w:rsidRDefault="009765D9">
    <w:pPr>
      <w:pStyle w:val="Zpat"/>
      <w:jc w:val="right"/>
    </w:pPr>
    <w:r>
      <w:fldChar w:fldCharType="begin"/>
    </w:r>
    <w:r>
      <w:instrText>PAGE   \* MERGEFORMAT</w:instrText>
    </w:r>
    <w:r>
      <w:fldChar w:fldCharType="separate"/>
    </w:r>
    <w:r>
      <w:rPr>
        <w:noProof/>
      </w:rPr>
      <w:t>2</w:t>
    </w:r>
    <w:r>
      <w:fldChar w:fldCharType="end"/>
    </w:r>
  </w:p>
  <w:p w:rsidR="009765D9" w:rsidRDefault="009765D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5D9" w:rsidRDefault="009765D9" w:rsidP="003339D5">
    <w:pPr>
      <w:pStyle w:val="Zpat"/>
      <w:jc w:val="right"/>
    </w:pPr>
    <w:r>
      <w:fldChar w:fldCharType="begin"/>
    </w:r>
    <w:r>
      <w:instrText>PAGE   \* MERGEFORMAT</w:instrText>
    </w:r>
    <w:r>
      <w:fldChar w:fldCharType="separate"/>
    </w:r>
    <w:r w:rsidR="004D59B5">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5D9" w:rsidRDefault="009765D9" w:rsidP="007A7C58">
      <w:pPr>
        <w:spacing w:after="0"/>
      </w:pPr>
      <w:r>
        <w:separator/>
      </w:r>
    </w:p>
  </w:footnote>
  <w:footnote w:type="continuationSeparator" w:id="0">
    <w:p w:rsidR="009765D9" w:rsidRDefault="009765D9" w:rsidP="007A7C5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B1C04"/>
    <w:multiLevelType w:val="hybridMultilevel"/>
    <w:tmpl w:val="9B581164"/>
    <w:lvl w:ilvl="0" w:tplc="D06C514E">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C6E6788"/>
    <w:multiLevelType w:val="multilevel"/>
    <w:tmpl w:val="26B8A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334AF2"/>
    <w:multiLevelType w:val="hybridMultilevel"/>
    <w:tmpl w:val="64A0B09C"/>
    <w:lvl w:ilvl="0" w:tplc="D8A4BFA0">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0E11625"/>
    <w:multiLevelType w:val="hybridMultilevel"/>
    <w:tmpl w:val="66CC2956"/>
    <w:lvl w:ilvl="0" w:tplc="A0987ADE">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3F64A98"/>
    <w:multiLevelType w:val="hybridMultilevel"/>
    <w:tmpl w:val="6D1E754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27FB7D19"/>
    <w:multiLevelType w:val="multilevel"/>
    <w:tmpl w:val="E11C9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83498B"/>
    <w:multiLevelType w:val="multilevel"/>
    <w:tmpl w:val="213C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64285"/>
    <w:multiLevelType w:val="multilevel"/>
    <w:tmpl w:val="29AC2690"/>
    <w:lvl w:ilvl="0">
      <w:start w:val="1"/>
      <w:numFmt w:val="upperRoman"/>
      <w:pStyle w:val="Nadpis1"/>
      <w:lvlText w:val="%1."/>
      <w:lvlJc w:val="left"/>
      <w:pPr>
        <w:ind w:left="0" w:firstLine="0"/>
      </w:pPr>
    </w:lvl>
    <w:lvl w:ilvl="1">
      <w:start w:val="1"/>
      <w:numFmt w:val="upperLetter"/>
      <w:pStyle w:val="Nadpis2"/>
      <w:lvlText w:val="%2."/>
      <w:lvlJc w:val="left"/>
      <w:pPr>
        <w:ind w:left="720" w:firstLine="0"/>
      </w:pPr>
    </w:lvl>
    <w:lvl w:ilvl="2">
      <w:start w:val="1"/>
      <w:numFmt w:val="decimal"/>
      <w:pStyle w:val="Nadpis3"/>
      <w:lvlText w:val="%3."/>
      <w:lvlJc w:val="left"/>
      <w:pPr>
        <w:ind w:left="1440" w:firstLine="0"/>
      </w:pPr>
    </w:lvl>
    <w:lvl w:ilvl="3">
      <w:start w:val="1"/>
      <w:numFmt w:val="lowerLetter"/>
      <w:pStyle w:val="Nadpis4"/>
      <w:lvlText w:val="%4)"/>
      <w:lvlJc w:val="left"/>
      <w:pPr>
        <w:ind w:left="2160" w:firstLine="0"/>
      </w:pPr>
    </w:lvl>
    <w:lvl w:ilvl="4">
      <w:start w:val="1"/>
      <w:numFmt w:val="decimal"/>
      <w:pStyle w:val="Nadpis5"/>
      <w:lvlText w:val="(%5)"/>
      <w:lvlJc w:val="left"/>
      <w:pPr>
        <w:ind w:left="2880" w:firstLine="0"/>
      </w:pPr>
    </w:lvl>
    <w:lvl w:ilvl="5">
      <w:start w:val="1"/>
      <w:numFmt w:val="lowerLetter"/>
      <w:pStyle w:val="Nadpis6"/>
      <w:lvlText w:val="(%6)"/>
      <w:lvlJc w:val="left"/>
      <w:pPr>
        <w:ind w:left="3600" w:firstLine="0"/>
      </w:pPr>
    </w:lvl>
    <w:lvl w:ilvl="6">
      <w:start w:val="1"/>
      <w:numFmt w:val="lowerRoman"/>
      <w:pStyle w:val="Nadpis7"/>
      <w:lvlText w:val="(%7)"/>
      <w:lvlJc w:val="left"/>
      <w:pPr>
        <w:ind w:left="4320" w:firstLine="0"/>
      </w:pPr>
    </w:lvl>
    <w:lvl w:ilvl="7">
      <w:start w:val="1"/>
      <w:numFmt w:val="lowerLetter"/>
      <w:pStyle w:val="Nadpis8"/>
      <w:lvlText w:val="(%8)"/>
      <w:lvlJc w:val="left"/>
      <w:pPr>
        <w:ind w:left="5040" w:firstLine="0"/>
      </w:pPr>
    </w:lvl>
    <w:lvl w:ilvl="8">
      <w:start w:val="1"/>
      <w:numFmt w:val="lowerRoman"/>
      <w:pStyle w:val="Nadpis9"/>
      <w:lvlText w:val="(%9)"/>
      <w:lvlJc w:val="left"/>
      <w:pPr>
        <w:ind w:left="5760" w:firstLine="0"/>
      </w:pPr>
    </w:lvl>
  </w:abstractNum>
  <w:abstractNum w:abstractNumId="8">
    <w:nsid w:val="375620BD"/>
    <w:multiLevelType w:val="hybridMultilevel"/>
    <w:tmpl w:val="4C56E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78770D2"/>
    <w:multiLevelType w:val="multilevel"/>
    <w:tmpl w:val="D268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BB5AE6"/>
    <w:multiLevelType w:val="hybridMultilevel"/>
    <w:tmpl w:val="3CB0A400"/>
    <w:lvl w:ilvl="0" w:tplc="101EA83C">
      <w:start w:val="1"/>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B87437C"/>
    <w:multiLevelType w:val="multilevel"/>
    <w:tmpl w:val="7264D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FE0B67"/>
    <w:multiLevelType w:val="multilevel"/>
    <w:tmpl w:val="40AED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56137C"/>
    <w:multiLevelType w:val="multilevel"/>
    <w:tmpl w:val="58D0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334D70"/>
    <w:multiLevelType w:val="hybridMultilevel"/>
    <w:tmpl w:val="F45607D8"/>
    <w:lvl w:ilvl="0" w:tplc="A0987ADE">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3"/>
  </w:num>
  <w:num w:numId="6">
    <w:abstractNumId w:val="9"/>
  </w:num>
  <w:num w:numId="7">
    <w:abstractNumId w:val="5"/>
  </w:num>
  <w:num w:numId="8">
    <w:abstractNumId w:val="6"/>
  </w:num>
  <w:num w:numId="9">
    <w:abstractNumId w:val="12"/>
  </w:num>
  <w:num w:numId="10">
    <w:abstractNumId w:val="10"/>
  </w:num>
  <w:num w:numId="11">
    <w:abstractNumId w:val="7"/>
  </w:num>
  <w:num w:numId="12">
    <w:abstractNumId w:val="14"/>
  </w:num>
  <w:num w:numId="13">
    <w:abstractNumId w:val="3"/>
  </w:num>
  <w:num w:numId="14">
    <w:abstractNumId w:val="8"/>
  </w:num>
  <w:num w:numId="15">
    <w:abstractNumId w:val="0"/>
  </w:num>
  <w:num w:numId="1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1"/>
  <w:displayBackgroundShape/>
  <w:bordersDoNotSurroundFooter/>
  <w:proofState w:spelling="clean" w:grammar="clean"/>
  <w:defaultTabStop w:val="708"/>
  <w:hyphenationZone w:val="425"/>
  <w:characterSpacingControl w:val="doNotCompress"/>
  <w:hdrShapeDefaults>
    <o:shapedefaults v:ext="edit" spidmax="24577" style="mso-position-vertical-relative:page" o:allowincell="f" fill="f" fillcolor="white" stroke="f">
      <v:fill color="white" on="f"/>
      <v:stroke on="f"/>
      <o:colormru v:ext="edit" colors="#cc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B8"/>
    <w:rsid w:val="00001A8D"/>
    <w:rsid w:val="00002FCF"/>
    <w:rsid w:val="000053E5"/>
    <w:rsid w:val="00005CD8"/>
    <w:rsid w:val="000061E6"/>
    <w:rsid w:val="000065DF"/>
    <w:rsid w:val="00006BF4"/>
    <w:rsid w:val="00006E20"/>
    <w:rsid w:val="0000704B"/>
    <w:rsid w:val="0001190D"/>
    <w:rsid w:val="00015445"/>
    <w:rsid w:val="00015B9C"/>
    <w:rsid w:val="0001637C"/>
    <w:rsid w:val="00016D36"/>
    <w:rsid w:val="00016E69"/>
    <w:rsid w:val="0001707A"/>
    <w:rsid w:val="000171B9"/>
    <w:rsid w:val="00017B6D"/>
    <w:rsid w:val="00020114"/>
    <w:rsid w:val="0002082A"/>
    <w:rsid w:val="000219DF"/>
    <w:rsid w:val="000249E5"/>
    <w:rsid w:val="00024B4A"/>
    <w:rsid w:val="00024F73"/>
    <w:rsid w:val="0002629C"/>
    <w:rsid w:val="00027122"/>
    <w:rsid w:val="00027DDD"/>
    <w:rsid w:val="000312E1"/>
    <w:rsid w:val="0003202E"/>
    <w:rsid w:val="00034C23"/>
    <w:rsid w:val="00034C2B"/>
    <w:rsid w:val="000357C9"/>
    <w:rsid w:val="0003627A"/>
    <w:rsid w:val="00036CDC"/>
    <w:rsid w:val="00037310"/>
    <w:rsid w:val="00037AE2"/>
    <w:rsid w:val="00037F1B"/>
    <w:rsid w:val="00037F88"/>
    <w:rsid w:val="00040BE3"/>
    <w:rsid w:val="00041067"/>
    <w:rsid w:val="00041566"/>
    <w:rsid w:val="0004176C"/>
    <w:rsid w:val="00042D71"/>
    <w:rsid w:val="0004415C"/>
    <w:rsid w:val="00044841"/>
    <w:rsid w:val="00045439"/>
    <w:rsid w:val="00045472"/>
    <w:rsid w:val="000455E4"/>
    <w:rsid w:val="00045B73"/>
    <w:rsid w:val="00046413"/>
    <w:rsid w:val="000473C4"/>
    <w:rsid w:val="00047925"/>
    <w:rsid w:val="0005133A"/>
    <w:rsid w:val="00052430"/>
    <w:rsid w:val="00052ACB"/>
    <w:rsid w:val="00053CE6"/>
    <w:rsid w:val="000547C6"/>
    <w:rsid w:val="00054E68"/>
    <w:rsid w:val="00055045"/>
    <w:rsid w:val="00055E59"/>
    <w:rsid w:val="0005684E"/>
    <w:rsid w:val="000568D5"/>
    <w:rsid w:val="00056EDE"/>
    <w:rsid w:val="0005771D"/>
    <w:rsid w:val="00057BBA"/>
    <w:rsid w:val="000605A5"/>
    <w:rsid w:val="0006063F"/>
    <w:rsid w:val="000606EB"/>
    <w:rsid w:val="0006134A"/>
    <w:rsid w:val="00063802"/>
    <w:rsid w:val="00063811"/>
    <w:rsid w:val="00063992"/>
    <w:rsid w:val="00064EDD"/>
    <w:rsid w:val="000663DD"/>
    <w:rsid w:val="00073328"/>
    <w:rsid w:val="00073432"/>
    <w:rsid w:val="00073444"/>
    <w:rsid w:val="00073724"/>
    <w:rsid w:val="0007467A"/>
    <w:rsid w:val="00074D85"/>
    <w:rsid w:val="000759F5"/>
    <w:rsid w:val="00075A98"/>
    <w:rsid w:val="00075AED"/>
    <w:rsid w:val="00075C69"/>
    <w:rsid w:val="00075E4A"/>
    <w:rsid w:val="00077CC1"/>
    <w:rsid w:val="000800D9"/>
    <w:rsid w:val="0008012F"/>
    <w:rsid w:val="00080704"/>
    <w:rsid w:val="00081287"/>
    <w:rsid w:val="00081A83"/>
    <w:rsid w:val="00082CEF"/>
    <w:rsid w:val="00083905"/>
    <w:rsid w:val="00084137"/>
    <w:rsid w:val="00087D0F"/>
    <w:rsid w:val="00090E46"/>
    <w:rsid w:val="000914F3"/>
    <w:rsid w:val="00092273"/>
    <w:rsid w:val="000926FD"/>
    <w:rsid w:val="00092C94"/>
    <w:rsid w:val="00092C99"/>
    <w:rsid w:val="0009345E"/>
    <w:rsid w:val="000955B0"/>
    <w:rsid w:val="000971B1"/>
    <w:rsid w:val="000975E2"/>
    <w:rsid w:val="00097631"/>
    <w:rsid w:val="000A01AD"/>
    <w:rsid w:val="000A06FF"/>
    <w:rsid w:val="000A2032"/>
    <w:rsid w:val="000A21C2"/>
    <w:rsid w:val="000A30C0"/>
    <w:rsid w:val="000A58F9"/>
    <w:rsid w:val="000A6258"/>
    <w:rsid w:val="000A7918"/>
    <w:rsid w:val="000A799B"/>
    <w:rsid w:val="000A7B0D"/>
    <w:rsid w:val="000B12FE"/>
    <w:rsid w:val="000B187E"/>
    <w:rsid w:val="000B1B27"/>
    <w:rsid w:val="000B2C29"/>
    <w:rsid w:val="000B3CF6"/>
    <w:rsid w:val="000B3FE6"/>
    <w:rsid w:val="000B412C"/>
    <w:rsid w:val="000B49E6"/>
    <w:rsid w:val="000B4A16"/>
    <w:rsid w:val="000B5B35"/>
    <w:rsid w:val="000B6441"/>
    <w:rsid w:val="000C1D72"/>
    <w:rsid w:val="000C235A"/>
    <w:rsid w:val="000C246F"/>
    <w:rsid w:val="000C2823"/>
    <w:rsid w:val="000C2A36"/>
    <w:rsid w:val="000C33BF"/>
    <w:rsid w:val="000C4260"/>
    <w:rsid w:val="000C4F92"/>
    <w:rsid w:val="000C512C"/>
    <w:rsid w:val="000C53AC"/>
    <w:rsid w:val="000C5ACD"/>
    <w:rsid w:val="000C5B78"/>
    <w:rsid w:val="000C6E14"/>
    <w:rsid w:val="000C7E0C"/>
    <w:rsid w:val="000D01C8"/>
    <w:rsid w:val="000D0C26"/>
    <w:rsid w:val="000D0FC9"/>
    <w:rsid w:val="000D10D0"/>
    <w:rsid w:val="000D13F6"/>
    <w:rsid w:val="000D236F"/>
    <w:rsid w:val="000D3396"/>
    <w:rsid w:val="000D3588"/>
    <w:rsid w:val="000D5060"/>
    <w:rsid w:val="000D6AA7"/>
    <w:rsid w:val="000D6E44"/>
    <w:rsid w:val="000D73E4"/>
    <w:rsid w:val="000D7BD7"/>
    <w:rsid w:val="000E1102"/>
    <w:rsid w:val="000E1307"/>
    <w:rsid w:val="000E1919"/>
    <w:rsid w:val="000E1E69"/>
    <w:rsid w:val="000E3568"/>
    <w:rsid w:val="000E3657"/>
    <w:rsid w:val="000E369D"/>
    <w:rsid w:val="000E3BA0"/>
    <w:rsid w:val="000E4FCD"/>
    <w:rsid w:val="000E5036"/>
    <w:rsid w:val="000E56D3"/>
    <w:rsid w:val="000E6766"/>
    <w:rsid w:val="000E68FE"/>
    <w:rsid w:val="000E6B9D"/>
    <w:rsid w:val="000E77A1"/>
    <w:rsid w:val="000F002A"/>
    <w:rsid w:val="000F028D"/>
    <w:rsid w:val="000F053F"/>
    <w:rsid w:val="000F0B19"/>
    <w:rsid w:val="000F33D9"/>
    <w:rsid w:val="000F38DE"/>
    <w:rsid w:val="000F4ABF"/>
    <w:rsid w:val="000F4DC9"/>
    <w:rsid w:val="000F5BF4"/>
    <w:rsid w:val="000F69B5"/>
    <w:rsid w:val="000F7302"/>
    <w:rsid w:val="00100309"/>
    <w:rsid w:val="00103D9F"/>
    <w:rsid w:val="00106966"/>
    <w:rsid w:val="00107C2D"/>
    <w:rsid w:val="0011039C"/>
    <w:rsid w:val="001111D5"/>
    <w:rsid w:val="0011139F"/>
    <w:rsid w:val="00111886"/>
    <w:rsid w:val="001125F1"/>
    <w:rsid w:val="00113073"/>
    <w:rsid w:val="0011484B"/>
    <w:rsid w:val="00114A01"/>
    <w:rsid w:val="001153DF"/>
    <w:rsid w:val="0011671D"/>
    <w:rsid w:val="00117670"/>
    <w:rsid w:val="00117FC0"/>
    <w:rsid w:val="00120BF6"/>
    <w:rsid w:val="00122763"/>
    <w:rsid w:val="001233F5"/>
    <w:rsid w:val="00124874"/>
    <w:rsid w:val="00125876"/>
    <w:rsid w:val="0012605D"/>
    <w:rsid w:val="0012685A"/>
    <w:rsid w:val="0012687F"/>
    <w:rsid w:val="0012724F"/>
    <w:rsid w:val="001273D3"/>
    <w:rsid w:val="00127FFB"/>
    <w:rsid w:val="001320FC"/>
    <w:rsid w:val="00132566"/>
    <w:rsid w:val="00132698"/>
    <w:rsid w:val="0013449F"/>
    <w:rsid w:val="00134C2D"/>
    <w:rsid w:val="00136CE9"/>
    <w:rsid w:val="00136F92"/>
    <w:rsid w:val="0013791E"/>
    <w:rsid w:val="0014039A"/>
    <w:rsid w:val="00140982"/>
    <w:rsid w:val="00141B10"/>
    <w:rsid w:val="00141DE5"/>
    <w:rsid w:val="00141E96"/>
    <w:rsid w:val="001422CF"/>
    <w:rsid w:val="00144B87"/>
    <w:rsid w:val="00145787"/>
    <w:rsid w:val="00145899"/>
    <w:rsid w:val="00145EFF"/>
    <w:rsid w:val="00146E79"/>
    <w:rsid w:val="00147091"/>
    <w:rsid w:val="001501E4"/>
    <w:rsid w:val="00150AE2"/>
    <w:rsid w:val="00151306"/>
    <w:rsid w:val="00152752"/>
    <w:rsid w:val="0015310F"/>
    <w:rsid w:val="0015317C"/>
    <w:rsid w:val="00154196"/>
    <w:rsid w:val="00156387"/>
    <w:rsid w:val="001569F6"/>
    <w:rsid w:val="00160437"/>
    <w:rsid w:val="001623F7"/>
    <w:rsid w:val="00162A22"/>
    <w:rsid w:val="00165822"/>
    <w:rsid w:val="0016630F"/>
    <w:rsid w:val="00166E77"/>
    <w:rsid w:val="00167513"/>
    <w:rsid w:val="0016788F"/>
    <w:rsid w:val="00167B0E"/>
    <w:rsid w:val="00167DF2"/>
    <w:rsid w:val="00167E38"/>
    <w:rsid w:val="001706E0"/>
    <w:rsid w:val="00171367"/>
    <w:rsid w:val="00171603"/>
    <w:rsid w:val="001716C8"/>
    <w:rsid w:val="00172286"/>
    <w:rsid w:val="00172346"/>
    <w:rsid w:val="00172466"/>
    <w:rsid w:val="00172EFD"/>
    <w:rsid w:val="00172F96"/>
    <w:rsid w:val="001741A0"/>
    <w:rsid w:val="001752D4"/>
    <w:rsid w:val="001753A2"/>
    <w:rsid w:val="001759E4"/>
    <w:rsid w:val="0017703D"/>
    <w:rsid w:val="001805AE"/>
    <w:rsid w:val="001813EF"/>
    <w:rsid w:val="00181E34"/>
    <w:rsid w:val="00181F85"/>
    <w:rsid w:val="0018218D"/>
    <w:rsid w:val="00182D5B"/>
    <w:rsid w:val="00184F4D"/>
    <w:rsid w:val="001861A0"/>
    <w:rsid w:val="0018742F"/>
    <w:rsid w:val="001906EF"/>
    <w:rsid w:val="001916E4"/>
    <w:rsid w:val="00193045"/>
    <w:rsid w:val="00193298"/>
    <w:rsid w:val="0019595B"/>
    <w:rsid w:val="00195DFE"/>
    <w:rsid w:val="00197888"/>
    <w:rsid w:val="001979EF"/>
    <w:rsid w:val="001A074F"/>
    <w:rsid w:val="001A08B0"/>
    <w:rsid w:val="001A0FB0"/>
    <w:rsid w:val="001A1197"/>
    <w:rsid w:val="001A1B0A"/>
    <w:rsid w:val="001A2535"/>
    <w:rsid w:val="001A2A44"/>
    <w:rsid w:val="001A3D2D"/>
    <w:rsid w:val="001A492E"/>
    <w:rsid w:val="001A4ECA"/>
    <w:rsid w:val="001A4EEB"/>
    <w:rsid w:val="001A54FC"/>
    <w:rsid w:val="001A7C2D"/>
    <w:rsid w:val="001B219F"/>
    <w:rsid w:val="001B372B"/>
    <w:rsid w:val="001B4769"/>
    <w:rsid w:val="001B4D14"/>
    <w:rsid w:val="001B60B9"/>
    <w:rsid w:val="001B66D7"/>
    <w:rsid w:val="001B6A49"/>
    <w:rsid w:val="001B6F86"/>
    <w:rsid w:val="001B73EA"/>
    <w:rsid w:val="001B7A14"/>
    <w:rsid w:val="001C0344"/>
    <w:rsid w:val="001C1B1F"/>
    <w:rsid w:val="001C2713"/>
    <w:rsid w:val="001C31AF"/>
    <w:rsid w:val="001C4AB4"/>
    <w:rsid w:val="001C60CE"/>
    <w:rsid w:val="001C629A"/>
    <w:rsid w:val="001C7745"/>
    <w:rsid w:val="001D03BF"/>
    <w:rsid w:val="001D03FD"/>
    <w:rsid w:val="001D06BD"/>
    <w:rsid w:val="001D1084"/>
    <w:rsid w:val="001D2277"/>
    <w:rsid w:val="001D2F58"/>
    <w:rsid w:val="001D3560"/>
    <w:rsid w:val="001D3F65"/>
    <w:rsid w:val="001D4679"/>
    <w:rsid w:val="001D5343"/>
    <w:rsid w:val="001D57BD"/>
    <w:rsid w:val="001D6B4F"/>
    <w:rsid w:val="001D7AF8"/>
    <w:rsid w:val="001E060B"/>
    <w:rsid w:val="001E0957"/>
    <w:rsid w:val="001E0A93"/>
    <w:rsid w:val="001E0DCC"/>
    <w:rsid w:val="001E36DA"/>
    <w:rsid w:val="001E5510"/>
    <w:rsid w:val="001E556E"/>
    <w:rsid w:val="001E62B6"/>
    <w:rsid w:val="001E651D"/>
    <w:rsid w:val="001E76CF"/>
    <w:rsid w:val="001F10A5"/>
    <w:rsid w:val="001F1852"/>
    <w:rsid w:val="001F3835"/>
    <w:rsid w:val="001F3D6D"/>
    <w:rsid w:val="001F4818"/>
    <w:rsid w:val="001F576A"/>
    <w:rsid w:val="001F5ADC"/>
    <w:rsid w:val="001F6DD7"/>
    <w:rsid w:val="001F6F39"/>
    <w:rsid w:val="00200FAD"/>
    <w:rsid w:val="0020194E"/>
    <w:rsid w:val="00202599"/>
    <w:rsid w:val="00203412"/>
    <w:rsid w:val="002037E5"/>
    <w:rsid w:val="00203EBA"/>
    <w:rsid w:val="0020504A"/>
    <w:rsid w:val="00206770"/>
    <w:rsid w:val="00206D66"/>
    <w:rsid w:val="00206FC7"/>
    <w:rsid w:val="002108E4"/>
    <w:rsid w:val="00211626"/>
    <w:rsid w:val="00211724"/>
    <w:rsid w:val="0021332D"/>
    <w:rsid w:val="0021442B"/>
    <w:rsid w:val="00215760"/>
    <w:rsid w:val="0021585B"/>
    <w:rsid w:val="00215917"/>
    <w:rsid w:val="00217A93"/>
    <w:rsid w:val="002200CA"/>
    <w:rsid w:val="002205D9"/>
    <w:rsid w:val="00221AE4"/>
    <w:rsid w:val="00222E6D"/>
    <w:rsid w:val="0022362C"/>
    <w:rsid w:val="00223890"/>
    <w:rsid w:val="00225A22"/>
    <w:rsid w:val="00226863"/>
    <w:rsid w:val="002309A5"/>
    <w:rsid w:val="0023127F"/>
    <w:rsid w:val="00231C76"/>
    <w:rsid w:val="0023231D"/>
    <w:rsid w:val="00232551"/>
    <w:rsid w:val="002330E6"/>
    <w:rsid w:val="002335A0"/>
    <w:rsid w:val="002349B1"/>
    <w:rsid w:val="0023579F"/>
    <w:rsid w:val="00236CAD"/>
    <w:rsid w:val="00240E2F"/>
    <w:rsid w:val="00241338"/>
    <w:rsid w:val="002419A8"/>
    <w:rsid w:val="00243242"/>
    <w:rsid w:val="00243847"/>
    <w:rsid w:val="002443E9"/>
    <w:rsid w:val="00244895"/>
    <w:rsid w:val="0024688F"/>
    <w:rsid w:val="0024751E"/>
    <w:rsid w:val="00247C2E"/>
    <w:rsid w:val="002510CE"/>
    <w:rsid w:val="00252F20"/>
    <w:rsid w:val="002537D7"/>
    <w:rsid w:val="002544FF"/>
    <w:rsid w:val="00255303"/>
    <w:rsid w:val="002553B1"/>
    <w:rsid w:val="00256919"/>
    <w:rsid w:val="002579C7"/>
    <w:rsid w:val="00257A68"/>
    <w:rsid w:val="00257B8B"/>
    <w:rsid w:val="0026018B"/>
    <w:rsid w:val="00261083"/>
    <w:rsid w:val="00261750"/>
    <w:rsid w:val="00261BAE"/>
    <w:rsid w:val="00262DAF"/>
    <w:rsid w:val="002632B0"/>
    <w:rsid w:val="00263A7E"/>
    <w:rsid w:val="00264D07"/>
    <w:rsid w:val="002650DE"/>
    <w:rsid w:val="002651C7"/>
    <w:rsid w:val="00265A2B"/>
    <w:rsid w:val="00265F0E"/>
    <w:rsid w:val="00266015"/>
    <w:rsid w:val="00267907"/>
    <w:rsid w:val="00270459"/>
    <w:rsid w:val="00270A3C"/>
    <w:rsid w:val="002717FB"/>
    <w:rsid w:val="00272297"/>
    <w:rsid w:val="00272438"/>
    <w:rsid w:val="00273E1B"/>
    <w:rsid w:val="00273E73"/>
    <w:rsid w:val="002743B6"/>
    <w:rsid w:val="00274477"/>
    <w:rsid w:val="0028042B"/>
    <w:rsid w:val="00281260"/>
    <w:rsid w:val="002818EB"/>
    <w:rsid w:val="00282CAF"/>
    <w:rsid w:val="0028311B"/>
    <w:rsid w:val="00283AD9"/>
    <w:rsid w:val="002844E3"/>
    <w:rsid w:val="0028753B"/>
    <w:rsid w:val="00287566"/>
    <w:rsid w:val="002877EE"/>
    <w:rsid w:val="00287D4C"/>
    <w:rsid w:val="00290820"/>
    <w:rsid w:val="00290F03"/>
    <w:rsid w:val="00291C36"/>
    <w:rsid w:val="002927BB"/>
    <w:rsid w:val="00293411"/>
    <w:rsid w:val="002940ED"/>
    <w:rsid w:val="00294CB5"/>
    <w:rsid w:val="002960E3"/>
    <w:rsid w:val="00296D7F"/>
    <w:rsid w:val="002971BB"/>
    <w:rsid w:val="002A0B21"/>
    <w:rsid w:val="002A18E1"/>
    <w:rsid w:val="002A22D5"/>
    <w:rsid w:val="002A3226"/>
    <w:rsid w:val="002A56AD"/>
    <w:rsid w:val="002A5BCC"/>
    <w:rsid w:val="002A6053"/>
    <w:rsid w:val="002A66E7"/>
    <w:rsid w:val="002A7212"/>
    <w:rsid w:val="002B004C"/>
    <w:rsid w:val="002B0726"/>
    <w:rsid w:val="002B118D"/>
    <w:rsid w:val="002B1EC1"/>
    <w:rsid w:val="002B2BE6"/>
    <w:rsid w:val="002B642F"/>
    <w:rsid w:val="002B680D"/>
    <w:rsid w:val="002C062E"/>
    <w:rsid w:val="002C0907"/>
    <w:rsid w:val="002C0EF9"/>
    <w:rsid w:val="002C1BB3"/>
    <w:rsid w:val="002C3C87"/>
    <w:rsid w:val="002C4869"/>
    <w:rsid w:val="002C5C6E"/>
    <w:rsid w:val="002C6712"/>
    <w:rsid w:val="002C6E07"/>
    <w:rsid w:val="002C7E7D"/>
    <w:rsid w:val="002D084E"/>
    <w:rsid w:val="002D1350"/>
    <w:rsid w:val="002D190C"/>
    <w:rsid w:val="002D3C0D"/>
    <w:rsid w:val="002D680D"/>
    <w:rsid w:val="002D7DFD"/>
    <w:rsid w:val="002E233A"/>
    <w:rsid w:val="002E2D79"/>
    <w:rsid w:val="002E3A6B"/>
    <w:rsid w:val="002E4821"/>
    <w:rsid w:val="002E4D16"/>
    <w:rsid w:val="002E4EAD"/>
    <w:rsid w:val="002E4EDC"/>
    <w:rsid w:val="002E7262"/>
    <w:rsid w:val="002F1B1F"/>
    <w:rsid w:val="002F1B5C"/>
    <w:rsid w:val="002F4BEC"/>
    <w:rsid w:val="002F5006"/>
    <w:rsid w:val="002F5302"/>
    <w:rsid w:val="002F7E08"/>
    <w:rsid w:val="003000C9"/>
    <w:rsid w:val="00300C44"/>
    <w:rsid w:val="00302ECA"/>
    <w:rsid w:val="00303F9B"/>
    <w:rsid w:val="0030463A"/>
    <w:rsid w:val="00305AB4"/>
    <w:rsid w:val="00306912"/>
    <w:rsid w:val="00310091"/>
    <w:rsid w:val="003108FB"/>
    <w:rsid w:val="003115D6"/>
    <w:rsid w:val="00311D68"/>
    <w:rsid w:val="003121EB"/>
    <w:rsid w:val="003122D8"/>
    <w:rsid w:val="0031354F"/>
    <w:rsid w:val="00313E4F"/>
    <w:rsid w:val="0031427C"/>
    <w:rsid w:val="00314319"/>
    <w:rsid w:val="003152FC"/>
    <w:rsid w:val="00315563"/>
    <w:rsid w:val="0031626C"/>
    <w:rsid w:val="003205A1"/>
    <w:rsid w:val="00320B27"/>
    <w:rsid w:val="0032107F"/>
    <w:rsid w:val="003218B4"/>
    <w:rsid w:val="00321F3D"/>
    <w:rsid w:val="00322103"/>
    <w:rsid w:val="0032254A"/>
    <w:rsid w:val="00322982"/>
    <w:rsid w:val="00322A33"/>
    <w:rsid w:val="00323E61"/>
    <w:rsid w:val="00326CF8"/>
    <w:rsid w:val="0033009C"/>
    <w:rsid w:val="003301F0"/>
    <w:rsid w:val="0033060C"/>
    <w:rsid w:val="00331059"/>
    <w:rsid w:val="00331CAD"/>
    <w:rsid w:val="00332AD8"/>
    <w:rsid w:val="003339D5"/>
    <w:rsid w:val="003347D6"/>
    <w:rsid w:val="00335A5E"/>
    <w:rsid w:val="00335CE9"/>
    <w:rsid w:val="0033634B"/>
    <w:rsid w:val="003367EA"/>
    <w:rsid w:val="00336C9B"/>
    <w:rsid w:val="00341700"/>
    <w:rsid w:val="003423A1"/>
    <w:rsid w:val="00342FB3"/>
    <w:rsid w:val="003434B0"/>
    <w:rsid w:val="003441EB"/>
    <w:rsid w:val="00344C2C"/>
    <w:rsid w:val="00344DAB"/>
    <w:rsid w:val="0034574F"/>
    <w:rsid w:val="003460B7"/>
    <w:rsid w:val="003465B3"/>
    <w:rsid w:val="0035014E"/>
    <w:rsid w:val="00351030"/>
    <w:rsid w:val="00353CD5"/>
    <w:rsid w:val="0035423E"/>
    <w:rsid w:val="00355B13"/>
    <w:rsid w:val="00356037"/>
    <w:rsid w:val="00356BB8"/>
    <w:rsid w:val="00357ABC"/>
    <w:rsid w:val="00357D3D"/>
    <w:rsid w:val="00357E78"/>
    <w:rsid w:val="00360124"/>
    <w:rsid w:val="003605A9"/>
    <w:rsid w:val="00361FC7"/>
    <w:rsid w:val="00362A0D"/>
    <w:rsid w:val="00363156"/>
    <w:rsid w:val="003637FA"/>
    <w:rsid w:val="003647E3"/>
    <w:rsid w:val="003704E6"/>
    <w:rsid w:val="00370705"/>
    <w:rsid w:val="0037072F"/>
    <w:rsid w:val="003707A6"/>
    <w:rsid w:val="00371001"/>
    <w:rsid w:val="00371218"/>
    <w:rsid w:val="00371A6B"/>
    <w:rsid w:val="00371BBB"/>
    <w:rsid w:val="00372F0B"/>
    <w:rsid w:val="00372F2F"/>
    <w:rsid w:val="003737F1"/>
    <w:rsid w:val="003756EB"/>
    <w:rsid w:val="00376B0F"/>
    <w:rsid w:val="00380C59"/>
    <w:rsid w:val="00380CCA"/>
    <w:rsid w:val="00381025"/>
    <w:rsid w:val="0038242D"/>
    <w:rsid w:val="003841C6"/>
    <w:rsid w:val="0038488B"/>
    <w:rsid w:val="00385140"/>
    <w:rsid w:val="00386944"/>
    <w:rsid w:val="00386D20"/>
    <w:rsid w:val="00386E63"/>
    <w:rsid w:val="003872B9"/>
    <w:rsid w:val="00387F83"/>
    <w:rsid w:val="0039053D"/>
    <w:rsid w:val="00390A16"/>
    <w:rsid w:val="00390FEF"/>
    <w:rsid w:val="003927A2"/>
    <w:rsid w:val="00393EAA"/>
    <w:rsid w:val="00394613"/>
    <w:rsid w:val="00396278"/>
    <w:rsid w:val="003975A4"/>
    <w:rsid w:val="003A035D"/>
    <w:rsid w:val="003A2738"/>
    <w:rsid w:val="003A2D7C"/>
    <w:rsid w:val="003A2E12"/>
    <w:rsid w:val="003A44E7"/>
    <w:rsid w:val="003A4EFD"/>
    <w:rsid w:val="003A604E"/>
    <w:rsid w:val="003A66DE"/>
    <w:rsid w:val="003A6CF8"/>
    <w:rsid w:val="003A70D4"/>
    <w:rsid w:val="003A790E"/>
    <w:rsid w:val="003A7AB3"/>
    <w:rsid w:val="003B0734"/>
    <w:rsid w:val="003B0DAF"/>
    <w:rsid w:val="003B2220"/>
    <w:rsid w:val="003B2CB6"/>
    <w:rsid w:val="003B3ABD"/>
    <w:rsid w:val="003B3C65"/>
    <w:rsid w:val="003B600A"/>
    <w:rsid w:val="003B713D"/>
    <w:rsid w:val="003B7333"/>
    <w:rsid w:val="003B7516"/>
    <w:rsid w:val="003C095E"/>
    <w:rsid w:val="003C1870"/>
    <w:rsid w:val="003C22A9"/>
    <w:rsid w:val="003C26BC"/>
    <w:rsid w:val="003C326F"/>
    <w:rsid w:val="003C4236"/>
    <w:rsid w:val="003C469C"/>
    <w:rsid w:val="003C4909"/>
    <w:rsid w:val="003C5096"/>
    <w:rsid w:val="003C59C9"/>
    <w:rsid w:val="003C6069"/>
    <w:rsid w:val="003C6119"/>
    <w:rsid w:val="003C69A3"/>
    <w:rsid w:val="003C6E45"/>
    <w:rsid w:val="003C72DB"/>
    <w:rsid w:val="003D0665"/>
    <w:rsid w:val="003D0F7E"/>
    <w:rsid w:val="003D20A3"/>
    <w:rsid w:val="003D2DC5"/>
    <w:rsid w:val="003D39A4"/>
    <w:rsid w:val="003D456E"/>
    <w:rsid w:val="003E00F6"/>
    <w:rsid w:val="003E0433"/>
    <w:rsid w:val="003E0C28"/>
    <w:rsid w:val="003E0DD3"/>
    <w:rsid w:val="003E285E"/>
    <w:rsid w:val="003E2E29"/>
    <w:rsid w:val="003E3061"/>
    <w:rsid w:val="003E42EB"/>
    <w:rsid w:val="003E4740"/>
    <w:rsid w:val="003E48A8"/>
    <w:rsid w:val="003E534B"/>
    <w:rsid w:val="003E5689"/>
    <w:rsid w:val="003E5891"/>
    <w:rsid w:val="003E58A5"/>
    <w:rsid w:val="003E6856"/>
    <w:rsid w:val="003F1284"/>
    <w:rsid w:val="003F128E"/>
    <w:rsid w:val="003F1DE4"/>
    <w:rsid w:val="003F245A"/>
    <w:rsid w:val="003F2506"/>
    <w:rsid w:val="003F3A19"/>
    <w:rsid w:val="003F415D"/>
    <w:rsid w:val="003F4A7D"/>
    <w:rsid w:val="003F4C5F"/>
    <w:rsid w:val="003F4FA9"/>
    <w:rsid w:val="003F635B"/>
    <w:rsid w:val="003F728E"/>
    <w:rsid w:val="003F79EC"/>
    <w:rsid w:val="00403C14"/>
    <w:rsid w:val="004044A4"/>
    <w:rsid w:val="004054A1"/>
    <w:rsid w:val="00405B1C"/>
    <w:rsid w:val="00406026"/>
    <w:rsid w:val="004069D2"/>
    <w:rsid w:val="0041159C"/>
    <w:rsid w:val="00412B43"/>
    <w:rsid w:val="00412C80"/>
    <w:rsid w:val="00414355"/>
    <w:rsid w:val="00414806"/>
    <w:rsid w:val="004148D4"/>
    <w:rsid w:val="004155A1"/>
    <w:rsid w:val="00415FED"/>
    <w:rsid w:val="00416525"/>
    <w:rsid w:val="00417616"/>
    <w:rsid w:val="0042001C"/>
    <w:rsid w:val="004204A8"/>
    <w:rsid w:val="00421C65"/>
    <w:rsid w:val="00422D62"/>
    <w:rsid w:val="004233F9"/>
    <w:rsid w:val="00425183"/>
    <w:rsid w:val="00425596"/>
    <w:rsid w:val="00425846"/>
    <w:rsid w:val="0042592A"/>
    <w:rsid w:val="00427AB4"/>
    <w:rsid w:val="00430834"/>
    <w:rsid w:val="00431701"/>
    <w:rsid w:val="00431CE0"/>
    <w:rsid w:val="004338C9"/>
    <w:rsid w:val="0043554B"/>
    <w:rsid w:val="00437FA3"/>
    <w:rsid w:val="004405FA"/>
    <w:rsid w:val="004407B8"/>
    <w:rsid w:val="004407E2"/>
    <w:rsid w:val="00440D87"/>
    <w:rsid w:val="00441576"/>
    <w:rsid w:val="00442EEF"/>
    <w:rsid w:val="00442FA1"/>
    <w:rsid w:val="00443ED5"/>
    <w:rsid w:val="004441EF"/>
    <w:rsid w:val="004450AB"/>
    <w:rsid w:val="00445A64"/>
    <w:rsid w:val="00447080"/>
    <w:rsid w:val="00450BFA"/>
    <w:rsid w:val="00451E79"/>
    <w:rsid w:val="0045374F"/>
    <w:rsid w:val="004547F4"/>
    <w:rsid w:val="00454929"/>
    <w:rsid w:val="00455DA2"/>
    <w:rsid w:val="00456B66"/>
    <w:rsid w:val="00456EE1"/>
    <w:rsid w:val="00460BCB"/>
    <w:rsid w:val="004613B2"/>
    <w:rsid w:val="00461854"/>
    <w:rsid w:val="0046301A"/>
    <w:rsid w:val="004635E2"/>
    <w:rsid w:val="00464585"/>
    <w:rsid w:val="004647C5"/>
    <w:rsid w:val="0046729A"/>
    <w:rsid w:val="00470785"/>
    <w:rsid w:val="0047139B"/>
    <w:rsid w:val="004714F2"/>
    <w:rsid w:val="0047175C"/>
    <w:rsid w:val="004719AF"/>
    <w:rsid w:val="004725B9"/>
    <w:rsid w:val="00472881"/>
    <w:rsid w:val="00473C0F"/>
    <w:rsid w:val="00473E1C"/>
    <w:rsid w:val="004740F0"/>
    <w:rsid w:val="00474413"/>
    <w:rsid w:val="00474BFA"/>
    <w:rsid w:val="00474C9A"/>
    <w:rsid w:val="00475C16"/>
    <w:rsid w:val="004766EB"/>
    <w:rsid w:val="004766FA"/>
    <w:rsid w:val="00477845"/>
    <w:rsid w:val="00480B59"/>
    <w:rsid w:val="0048138E"/>
    <w:rsid w:val="004824F5"/>
    <w:rsid w:val="00484385"/>
    <w:rsid w:val="00484486"/>
    <w:rsid w:val="00484F03"/>
    <w:rsid w:val="00485B91"/>
    <w:rsid w:val="0048779F"/>
    <w:rsid w:val="00487EFD"/>
    <w:rsid w:val="004903F5"/>
    <w:rsid w:val="004905A0"/>
    <w:rsid w:val="00490E79"/>
    <w:rsid w:val="00492E42"/>
    <w:rsid w:val="00493D1E"/>
    <w:rsid w:val="00494275"/>
    <w:rsid w:val="00496310"/>
    <w:rsid w:val="00497A35"/>
    <w:rsid w:val="004A53C3"/>
    <w:rsid w:val="004A6C41"/>
    <w:rsid w:val="004A71CD"/>
    <w:rsid w:val="004A74DC"/>
    <w:rsid w:val="004B0328"/>
    <w:rsid w:val="004B06D3"/>
    <w:rsid w:val="004B10C1"/>
    <w:rsid w:val="004B11EC"/>
    <w:rsid w:val="004B2247"/>
    <w:rsid w:val="004B2E14"/>
    <w:rsid w:val="004B3042"/>
    <w:rsid w:val="004B3B72"/>
    <w:rsid w:val="004B4807"/>
    <w:rsid w:val="004B5A5B"/>
    <w:rsid w:val="004B5FE4"/>
    <w:rsid w:val="004B5FFB"/>
    <w:rsid w:val="004B60D2"/>
    <w:rsid w:val="004B6556"/>
    <w:rsid w:val="004B680B"/>
    <w:rsid w:val="004B79E4"/>
    <w:rsid w:val="004C1F66"/>
    <w:rsid w:val="004C2055"/>
    <w:rsid w:val="004C2D04"/>
    <w:rsid w:val="004C2E57"/>
    <w:rsid w:val="004C6072"/>
    <w:rsid w:val="004D5966"/>
    <w:rsid w:val="004D59B5"/>
    <w:rsid w:val="004D6234"/>
    <w:rsid w:val="004D7147"/>
    <w:rsid w:val="004E141B"/>
    <w:rsid w:val="004E2FFC"/>
    <w:rsid w:val="004E3816"/>
    <w:rsid w:val="004E7104"/>
    <w:rsid w:val="004E7953"/>
    <w:rsid w:val="004E7A15"/>
    <w:rsid w:val="004F0585"/>
    <w:rsid w:val="004F14CF"/>
    <w:rsid w:val="004F2748"/>
    <w:rsid w:val="004F2B03"/>
    <w:rsid w:val="004F375A"/>
    <w:rsid w:val="004F662E"/>
    <w:rsid w:val="00501F36"/>
    <w:rsid w:val="0050272E"/>
    <w:rsid w:val="005028CC"/>
    <w:rsid w:val="005043BF"/>
    <w:rsid w:val="00504BDD"/>
    <w:rsid w:val="005050CA"/>
    <w:rsid w:val="005069E7"/>
    <w:rsid w:val="005077EC"/>
    <w:rsid w:val="00512A66"/>
    <w:rsid w:val="0051520E"/>
    <w:rsid w:val="00515A1F"/>
    <w:rsid w:val="00520633"/>
    <w:rsid w:val="005244A6"/>
    <w:rsid w:val="00524EA7"/>
    <w:rsid w:val="00525E75"/>
    <w:rsid w:val="00526678"/>
    <w:rsid w:val="00526BF9"/>
    <w:rsid w:val="005277D9"/>
    <w:rsid w:val="00527ED3"/>
    <w:rsid w:val="00530811"/>
    <w:rsid w:val="00530A86"/>
    <w:rsid w:val="00530D14"/>
    <w:rsid w:val="005310B7"/>
    <w:rsid w:val="005317F9"/>
    <w:rsid w:val="00531C45"/>
    <w:rsid w:val="00532BE2"/>
    <w:rsid w:val="00533C55"/>
    <w:rsid w:val="00534562"/>
    <w:rsid w:val="005348D3"/>
    <w:rsid w:val="00534979"/>
    <w:rsid w:val="005351D6"/>
    <w:rsid w:val="00537B55"/>
    <w:rsid w:val="005421A8"/>
    <w:rsid w:val="005426E6"/>
    <w:rsid w:val="00544692"/>
    <w:rsid w:val="00545F54"/>
    <w:rsid w:val="005476E2"/>
    <w:rsid w:val="0055024D"/>
    <w:rsid w:val="0055052C"/>
    <w:rsid w:val="0055107F"/>
    <w:rsid w:val="00551B1D"/>
    <w:rsid w:val="00552E1D"/>
    <w:rsid w:val="00552F59"/>
    <w:rsid w:val="00553445"/>
    <w:rsid w:val="00553CBE"/>
    <w:rsid w:val="005545FE"/>
    <w:rsid w:val="00555B3D"/>
    <w:rsid w:val="00561449"/>
    <w:rsid w:val="00561FAC"/>
    <w:rsid w:val="00562BFB"/>
    <w:rsid w:val="005637A5"/>
    <w:rsid w:val="00563BCC"/>
    <w:rsid w:val="00566436"/>
    <w:rsid w:val="0056717F"/>
    <w:rsid w:val="00567570"/>
    <w:rsid w:val="0057032A"/>
    <w:rsid w:val="00571C28"/>
    <w:rsid w:val="00573D65"/>
    <w:rsid w:val="00574274"/>
    <w:rsid w:val="00574ED4"/>
    <w:rsid w:val="0057537E"/>
    <w:rsid w:val="00575EB4"/>
    <w:rsid w:val="005763EA"/>
    <w:rsid w:val="00576BFD"/>
    <w:rsid w:val="005774C7"/>
    <w:rsid w:val="00577C1E"/>
    <w:rsid w:val="00580FFF"/>
    <w:rsid w:val="005813D9"/>
    <w:rsid w:val="005813F3"/>
    <w:rsid w:val="005819A4"/>
    <w:rsid w:val="005819D3"/>
    <w:rsid w:val="00583034"/>
    <w:rsid w:val="00585105"/>
    <w:rsid w:val="00585D04"/>
    <w:rsid w:val="00585F26"/>
    <w:rsid w:val="00586800"/>
    <w:rsid w:val="00586870"/>
    <w:rsid w:val="00586954"/>
    <w:rsid w:val="0059037C"/>
    <w:rsid w:val="00590610"/>
    <w:rsid w:val="00590E65"/>
    <w:rsid w:val="00591E23"/>
    <w:rsid w:val="00592B77"/>
    <w:rsid w:val="00593382"/>
    <w:rsid w:val="005938D3"/>
    <w:rsid w:val="00593D79"/>
    <w:rsid w:val="00593D97"/>
    <w:rsid w:val="005947E8"/>
    <w:rsid w:val="00594F8D"/>
    <w:rsid w:val="0059509E"/>
    <w:rsid w:val="00595D73"/>
    <w:rsid w:val="00596483"/>
    <w:rsid w:val="00596A51"/>
    <w:rsid w:val="00596E68"/>
    <w:rsid w:val="00596FC8"/>
    <w:rsid w:val="00596FCE"/>
    <w:rsid w:val="005979D0"/>
    <w:rsid w:val="005A0226"/>
    <w:rsid w:val="005A183B"/>
    <w:rsid w:val="005A2413"/>
    <w:rsid w:val="005A25C2"/>
    <w:rsid w:val="005A2CD4"/>
    <w:rsid w:val="005A3058"/>
    <w:rsid w:val="005A3157"/>
    <w:rsid w:val="005A351C"/>
    <w:rsid w:val="005A53A3"/>
    <w:rsid w:val="005A58BE"/>
    <w:rsid w:val="005A6498"/>
    <w:rsid w:val="005A72AF"/>
    <w:rsid w:val="005A7F49"/>
    <w:rsid w:val="005B11A4"/>
    <w:rsid w:val="005B24A6"/>
    <w:rsid w:val="005B25A1"/>
    <w:rsid w:val="005B39D2"/>
    <w:rsid w:val="005B3B49"/>
    <w:rsid w:val="005B41E7"/>
    <w:rsid w:val="005B4EC3"/>
    <w:rsid w:val="005B54FA"/>
    <w:rsid w:val="005B573C"/>
    <w:rsid w:val="005B5759"/>
    <w:rsid w:val="005B6AEA"/>
    <w:rsid w:val="005B7DF4"/>
    <w:rsid w:val="005C0BF1"/>
    <w:rsid w:val="005C0CB8"/>
    <w:rsid w:val="005C0CDA"/>
    <w:rsid w:val="005C1334"/>
    <w:rsid w:val="005C26BE"/>
    <w:rsid w:val="005C395F"/>
    <w:rsid w:val="005C5E93"/>
    <w:rsid w:val="005C6CAF"/>
    <w:rsid w:val="005D014F"/>
    <w:rsid w:val="005D0200"/>
    <w:rsid w:val="005D07E3"/>
    <w:rsid w:val="005D0878"/>
    <w:rsid w:val="005D0D28"/>
    <w:rsid w:val="005D1CAD"/>
    <w:rsid w:val="005D3B1A"/>
    <w:rsid w:val="005D3CAD"/>
    <w:rsid w:val="005D3CCD"/>
    <w:rsid w:val="005D5724"/>
    <w:rsid w:val="005D5914"/>
    <w:rsid w:val="005D6EF6"/>
    <w:rsid w:val="005D7AD3"/>
    <w:rsid w:val="005D7F33"/>
    <w:rsid w:val="005E0124"/>
    <w:rsid w:val="005E0D28"/>
    <w:rsid w:val="005E0F5B"/>
    <w:rsid w:val="005E205F"/>
    <w:rsid w:val="005E2231"/>
    <w:rsid w:val="005E26B9"/>
    <w:rsid w:val="005E3A19"/>
    <w:rsid w:val="005E4991"/>
    <w:rsid w:val="005E5111"/>
    <w:rsid w:val="005E6109"/>
    <w:rsid w:val="005E6300"/>
    <w:rsid w:val="005E6DA5"/>
    <w:rsid w:val="005E774A"/>
    <w:rsid w:val="005F014E"/>
    <w:rsid w:val="005F032E"/>
    <w:rsid w:val="005F0F1B"/>
    <w:rsid w:val="005F1433"/>
    <w:rsid w:val="005F29B5"/>
    <w:rsid w:val="005F2C1D"/>
    <w:rsid w:val="005F3030"/>
    <w:rsid w:val="005F3230"/>
    <w:rsid w:val="005F3F78"/>
    <w:rsid w:val="005F40C0"/>
    <w:rsid w:val="005F4CB6"/>
    <w:rsid w:val="005F565B"/>
    <w:rsid w:val="005F684F"/>
    <w:rsid w:val="005F6C8C"/>
    <w:rsid w:val="00600CEC"/>
    <w:rsid w:val="00600EB6"/>
    <w:rsid w:val="00601ADD"/>
    <w:rsid w:val="00601F4C"/>
    <w:rsid w:val="006022A8"/>
    <w:rsid w:val="0060275B"/>
    <w:rsid w:val="00602912"/>
    <w:rsid w:val="00602B22"/>
    <w:rsid w:val="006031DD"/>
    <w:rsid w:val="00603D4F"/>
    <w:rsid w:val="0060489B"/>
    <w:rsid w:val="00605654"/>
    <w:rsid w:val="00605A1C"/>
    <w:rsid w:val="00605D6A"/>
    <w:rsid w:val="00606AB8"/>
    <w:rsid w:val="006079D7"/>
    <w:rsid w:val="00607CBA"/>
    <w:rsid w:val="006106B3"/>
    <w:rsid w:val="006107B0"/>
    <w:rsid w:val="00610940"/>
    <w:rsid w:val="00610958"/>
    <w:rsid w:val="00610BE3"/>
    <w:rsid w:val="0061103A"/>
    <w:rsid w:val="00612535"/>
    <w:rsid w:val="0061285A"/>
    <w:rsid w:val="0061333D"/>
    <w:rsid w:val="00613751"/>
    <w:rsid w:val="00613DB4"/>
    <w:rsid w:val="00613FC3"/>
    <w:rsid w:val="0061406E"/>
    <w:rsid w:val="0061460E"/>
    <w:rsid w:val="00614B7F"/>
    <w:rsid w:val="00614D24"/>
    <w:rsid w:val="006166FB"/>
    <w:rsid w:val="00616D87"/>
    <w:rsid w:val="00616FE9"/>
    <w:rsid w:val="0062038F"/>
    <w:rsid w:val="0062048E"/>
    <w:rsid w:val="0062080E"/>
    <w:rsid w:val="00620E15"/>
    <w:rsid w:val="00622310"/>
    <w:rsid w:val="00622D63"/>
    <w:rsid w:val="00622DFA"/>
    <w:rsid w:val="00625E8E"/>
    <w:rsid w:val="006264B4"/>
    <w:rsid w:val="0062720B"/>
    <w:rsid w:val="00631748"/>
    <w:rsid w:val="0063197D"/>
    <w:rsid w:val="00631EED"/>
    <w:rsid w:val="006330BE"/>
    <w:rsid w:val="00633F51"/>
    <w:rsid w:val="00634AD9"/>
    <w:rsid w:val="00635525"/>
    <w:rsid w:val="00635C93"/>
    <w:rsid w:val="00636805"/>
    <w:rsid w:val="00636903"/>
    <w:rsid w:val="00636EA5"/>
    <w:rsid w:val="00640425"/>
    <w:rsid w:val="006405D2"/>
    <w:rsid w:val="00641A49"/>
    <w:rsid w:val="00642773"/>
    <w:rsid w:val="00643181"/>
    <w:rsid w:val="0064426F"/>
    <w:rsid w:val="00644962"/>
    <w:rsid w:val="0064555B"/>
    <w:rsid w:val="00645B4C"/>
    <w:rsid w:val="0064647C"/>
    <w:rsid w:val="00646D21"/>
    <w:rsid w:val="00647163"/>
    <w:rsid w:val="00650E82"/>
    <w:rsid w:val="00650FDB"/>
    <w:rsid w:val="00651575"/>
    <w:rsid w:val="006528FA"/>
    <w:rsid w:val="00652B40"/>
    <w:rsid w:val="00653191"/>
    <w:rsid w:val="00655243"/>
    <w:rsid w:val="0065561D"/>
    <w:rsid w:val="00656486"/>
    <w:rsid w:val="00656FEB"/>
    <w:rsid w:val="006574E1"/>
    <w:rsid w:val="00660A87"/>
    <w:rsid w:val="00660D42"/>
    <w:rsid w:val="006620C4"/>
    <w:rsid w:val="00662D72"/>
    <w:rsid w:val="00663060"/>
    <w:rsid w:val="006630D8"/>
    <w:rsid w:val="00663A16"/>
    <w:rsid w:val="006649E0"/>
    <w:rsid w:val="0066581B"/>
    <w:rsid w:val="006659AF"/>
    <w:rsid w:val="006666FA"/>
    <w:rsid w:val="0067035C"/>
    <w:rsid w:val="00671BE2"/>
    <w:rsid w:val="00674CCD"/>
    <w:rsid w:val="00675252"/>
    <w:rsid w:val="006754C7"/>
    <w:rsid w:val="006756A3"/>
    <w:rsid w:val="006764D6"/>
    <w:rsid w:val="00676624"/>
    <w:rsid w:val="00676D4D"/>
    <w:rsid w:val="00682214"/>
    <w:rsid w:val="00682412"/>
    <w:rsid w:val="00682CE2"/>
    <w:rsid w:val="00683CC5"/>
    <w:rsid w:val="0068436B"/>
    <w:rsid w:val="00685401"/>
    <w:rsid w:val="00685BA2"/>
    <w:rsid w:val="00686923"/>
    <w:rsid w:val="0068705A"/>
    <w:rsid w:val="00691BAD"/>
    <w:rsid w:val="006929E0"/>
    <w:rsid w:val="006929F1"/>
    <w:rsid w:val="00692B28"/>
    <w:rsid w:val="006934FA"/>
    <w:rsid w:val="00693715"/>
    <w:rsid w:val="00695381"/>
    <w:rsid w:val="00695EF7"/>
    <w:rsid w:val="006A019F"/>
    <w:rsid w:val="006A0539"/>
    <w:rsid w:val="006A1104"/>
    <w:rsid w:val="006A1BD1"/>
    <w:rsid w:val="006A1CE7"/>
    <w:rsid w:val="006A1F1C"/>
    <w:rsid w:val="006A2323"/>
    <w:rsid w:val="006A24C1"/>
    <w:rsid w:val="006A38AF"/>
    <w:rsid w:val="006A4097"/>
    <w:rsid w:val="006A5F9C"/>
    <w:rsid w:val="006A6544"/>
    <w:rsid w:val="006A72B1"/>
    <w:rsid w:val="006A75A1"/>
    <w:rsid w:val="006B060F"/>
    <w:rsid w:val="006B06B3"/>
    <w:rsid w:val="006B27C7"/>
    <w:rsid w:val="006B312B"/>
    <w:rsid w:val="006B613D"/>
    <w:rsid w:val="006B63DD"/>
    <w:rsid w:val="006B693A"/>
    <w:rsid w:val="006B78AF"/>
    <w:rsid w:val="006B7D28"/>
    <w:rsid w:val="006C02A8"/>
    <w:rsid w:val="006C1C3E"/>
    <w:rsid w:val="006C1E9D"/>
    <w:rsid w:val="006C3027"/>
    <w:rsid w:val="006C4784"/>
    <w:rsid w:val="006C4BF2"/>
    <w:rsid w:val="006C5BCC"/>
    <w:rsid w:val="006C5C3E"/>
    <w:rsid w:val="006C613F"/>
    <w:rsid w:val="006C7D8E"/>
    <w:rsid w:val="006D02B3"/>
    <w:rsid w:val="006D0906"/>
    <w:rsid w:val="006D2757"/>
    <w:rsid w:val="006D39DF"/>
    <w:rsid w:val="006D3DFA"/>
    <w:rsid w:val="006D48E9"/>
    <w:rsid w:val="006D4B92"/>
    <w:rsid w:val="006D5186"/>
    <w:rsid w:val="006D72CF"/>
    <w:rsid w:val="006E0830"/>
    <w:rsid w:val="006E0B74"/>
    <w:rsid w:val="006E0C17"/>
    <w:rsid w:val="006E1263"/>
    <w:rsid w:val="006E2DD9"/>
    <w:rsid w:val="006E3417"/>
    <w:rsid w:val="006E348D"/>
    <w:rsid w:val="006E3B81"/>
    <w:rsid w:val="006E4C1E"/>
    <w:rsid w:val="006E5490"/>
    <w:rsid w:val="006E55E4"/>
    <w:rsid w:val="006E5E02"/>
    <w:rsid w:val="006E62BD"/>
    <w:rsid w:val="006E65B2"/>
    <w:rsid w:val="006E7385"/>
    <w:rsid w:val="006F05FE"/>
    <w:rsid w:val="006F0AED"/>
    <w:rsid w:val="006F13FD"/>
    <w:rsid w:val="006F2AF7"/>
    <w:rsid w:val="006F3402"/>
    <w:rsid w:val="006F347C"/>
    <w:rsid w:val="006F34EB"/>
    <w:rsid w:val="006F4684"/>
    <w:rsid w:val="006F4C4F"/>
    <w:rsid w:val="00700025"/>
    <w:rsid w:val="0070079E"/>
    <w:rsid w:val="0070281C"/>
    <w:rsid w:val="00705AF9"/>
    <w:rsid w:val="00707F24"/>
    <w:rsid w:val="007112B5"/>
    <w:rsid w:val="00711482"/>
    <w:rsid w:val="00712BE6"/>
    <w:rsid w:val="00712C55"/>
    <w:rsid w:val="00714653"/>
    <w:rsid w:val="007148F3"/>
    <w:rsid w:val="00714D1C"/>
    <w:rsid w:val="007151AF"/>
    <w:rsid w:val="00716516"/>
    <w:rsid w:val="00716590"/>
    <w:rsid w:val="00716C1A"/>
    <w:rsid w:val="00717404"/>
    <w:rsid w:val="00717D0D"/>
    <w:rsid w:val="00720269"/>
    <w:rsid w:val="00721EB9"/>
    <w:rsid w:val="00722732"/>
    <w:rsid w:val="007227A1"/>
    <w:rsid w:val="007229FA"/>
    <w:rsid w:val="00722C1E"/>
    <w:rsid w:val="00722D48"/>
    <w:rsid w:val="00723365"/>
    <w:rsid w:val="00723EF0"/>
    <w:rsid w:val="007242A0"/>
    <w:rsid w:val="007256C2"/>
    <w:rsid w:val="00725A7A"/>
    <w:rsid w:val="00727BA6"/>
    <w:rsid w:val="00727E58"/>
    <w:rsid w:val="00730E9B"/>
    <w:rsid w:val="00730FA8"/>
    <w:rsid w:val="007310CC"/>
    <w:rsid w:val="007318C3"/>
    <w:rsid w:val="0073197A"/>
    <w:rsid w:val="007323A1"/>
    <w:rsid w:val="00732C75"/>
    <w:rsid w:val="0073330A"/>
    <w:rsid w:val="00733A8D"/>
    <w:rsid w:val="00736B71"/>
    <w:rsid w:val="00736B89"/>
    <w:rsid w:val="00736EAC"/>
    <w:rsid w:val="007379DB"/>
    <w:rsid w:val="0074018B"/>
    <w:rsid w:val="00741614"/>
    <w:rsid w:val="00742EA5"/>
    <w:rsid w:val="00742F54"/>
    <w:rsid w:val="00743794"/>
    <w:rsid w:val="0074466C"/>
    <w:rsid w:val="00744A13"/>
    <w:rsid w:val="00744E91"/>
    <w:rsid w:val="00746100"/>
    <w:rsid w:val="00746775"/>
    <w:rsid w:val="00746FD3"/>
    <w:rsid w:val="00747214"/>
    <w:rsid w:val="00750DC6"/>
    <w:rsid w:val="00750E69"/>
    <w:rsid w:val="00751099"/>
    <w:rsid w:val="00751386"/>
    <w:rsid w:val="00751589"/>
    <w:rsid w:val="00751EA1"/>
    <w:rsid w:val="00752DB2"/>
    <w:rsid w:val="007533A5"/>
    <w:rsid w:val="007535B6"/>
    <w:rsid w:val="00755D1E"/>
    <w:rsid w:val="007562E6"/>
    <w:rsid w:val="00757213"/>
    <w:rsid w:val="00757385"/>
    <w:rsid w:val="0075761B"/>
    <w:rsid w:val="00761669"/>
    <w:rsid w:val="00762C1B"/>
    <w:rsid w:val="00764260"/>
    <w:rsid w:val="00765FC5"/>
    <w:rsid w:val="00766E56"/>
    <w:rsid w:val="00767917"/>
    <w:rsid w:val="00767C84"/>
    <w:rsid w:val="00771EAF"/>
    <w:rsid w:val="007722D8"/>
    <w:rsid w:val="00772583"/>
    <w:rsid w:val="0077263F"/>
    <w:rsid w:val="00772DD1"/>
    <w:rsid w:val="00773C07"/>
    <w:rsid w:val="00773E90"/>
    <w:rsid w:val="007743D2"/>
    <w:rsid w:val="0077467D"/>
    <w:rsid w:val="00774E5C"/>
    <w:rsid w:val="00777359"/>
    <w:rsid w:val="00777731"/>
    <w:rsid w:val="007777D4"/>
    <w:rsid w:val="007801D0"/>
    <w:rsid w:val="007805BE"/>
    <w:rsid w:val="00780B06"/>
    <w:rsid w:val="007811CC"/>
    <w:rsid w:val="00781BE5"/>
    <w:rsid w:val="00781E10"/>
    <w:rsid w:val="00783101"/>
    <w:rsid w:val="007833B6"/>
    <w:rsid w:val="00783953"/>
    <w:rsid w:val="007845BB"/>
    <w:rsid w:val="0078795A"/>
    <w:rsid w:val="00787A78"/>
    <w:rsid w:val="00790C21"/>
    <w:rsid w:val="00790C6D"/>
    <w:rsid w:val="007916D4"/>
    <w:rsid w:val="00792AA9"/>
    <w:rsid w:val="00793C1C"/>
    <w:rsid w:val="00793C89"/>
    <w:rsid w:val="00793F8B"/>
    <w:rsid w:val="00795C40"/>
    <w:rsid w:val="00795E46"/>
    <w:rsid w:val="0079608F"/>
    <w:rsid w:val="0079704B"/>
    <w:rsid w:val="007A0168"/>
    <w:rsid w:val="007A0588"/>
    <w:rsid w:val="007A204D"/>
    <w:rsid w:val="007A30E2"/>
    <w:rsid w:val="007A3744"/>
    <w:rsid w:val="007A4778"/>
    <w:rsid w:val="007A4976"/>
    <w:rsid w:val="007A5B3F"/>
    <w:rsid w:val="007A5B89"/>
    <w:rsid w:val="007A7B8F"/>
    <w:rsid w:val="007A7C58"/>
    <w:rsid w:val="007B0273"/>
    <w:rsid w:val="007B0D6A"/>
    <w:rsid w:val="007B0F76"/>
    <w:rsid w:val="007B14B9"/>
    <w:rsid w:val="007B18EF"/>
    <w:rsid w:val="007B212E"/>
    <w:rsid w:val="007B3FBC"/>
    <w:rsid w:val="007B61FF"/>
    <w:rsid w:val="007B7676"/>
    <w:rsid w:val="007C042E"/>
    <w:rsid w:val="007C0D46"/>
    <w:rsid w:val="007C1DFD"/>
    <w:rsid w:val="007C2328"/>
    <w:rsid w:val="007C239B"/>
    <w:rsid w:val="007C2468"/>
    <w:rsid w:val="007C2E74"/>
    <w:rsid w:val="007C48C6"/>
    <w:rsid w:val="007C4BCC"/>
    <w:rsid w:val="007C613F"/>
    <w:rsid w:val="007C61AC"/>
    <w:rsid w:val="007C6759"/>
    <w:rsid w:val="007D0C65"/>
    <w:rsid w:val="007D0F83"/>
    <w:rsid w:val="007D1C13"/>
    <w:rsid w:val="007D1C7F"/>
    <w:rsid w:val="007D23E0"/>
    <w:rsid w:val="007D23E6"/>
    <w:rsid w:val="007D2EE9"/>
    <w:rsid w:val="007D3240"/>
    <w:rsid w:val="007D5B45"/>
    <w:rsid w:val="007D6D93"/>
    <w:rsid w:val="007E1660"/>
    <w:rsid w:val="007E170E"/>
    <w:rsid w:val="007E1B28"/>
    <w:rsid w:val="007E2713"/>
    <w:rsid w:val="007E5193"/>
    <w:rsid w:val="007E5889"/>
    <w:rsid w:val="007E5B4F"/>
    <w:rsid w:val="007E77EA"/>
    <w:rsid w:val="007F0D81"/>
    <w:rsid w:val="007F1A17"/>
    <w:rsid w:val="007F1F50"/>
    <w:rsid w:val="007F258B"/>
    <w:rsid w:val="007F4608"/>
    <w:rsid w:val="007F7A96"/>
    <w:rsid w:val="007F7CA3"/>
    <w:rsid w:val="00801398"/>
    <w:rsid w:val="00803EC8"/>
    <w:rsid w:val="008060DB"/>
    <w:rsid w:val="008116F1"/>
    <w:rsid w:val="00811DB7"/>
    <w:rsid w:val="0081205B"/>
    <w:rsid w:val="0081248A"/>
    <w:rsid w:val="00813A56"/>
    <w:rsid w:val="0081417B"/>
    <w:rsid w:val="0081452A"/>
    <w:rsid w:val="0081486F"/>
    <w:rsid w:val="00814ED8"/>
    <w:rsid w:val="0081536E"/>
    <w:rsid w:val="00820690"/>
    <w:rsid w:val="00822313"/>
    <w:rsid w:val="008227CB"/>
    <w:rsid w:val="008229FC"/>
    <w:rsid w:val="008232FA"/>
    <w:rsid w:val="00826380"/>
    <w:rsid w:val="008264FB"/>
    <w:rsid w:val="00826E7E"/>
    <w:rsid w:val="00827EA8"/>
    <w:rsid w:val="008303C6"/>
    <w:rsid w:val="0083149F"/>
    <w:rsid w:val="00833B26"/>
    <w:rsid w:val="00833C80"/>
    <w:rsid w:val="00833D00"/>
    <w:rsid w:val="00834635"/>
    <w:rsid w:val="00834BBB"/>
    <w:rsid w:val="00834C03"/>
    <w:rsid w:val="00835F9B"/>
    <w:rsid w:val="008365B2"/>
    <w:rsid w:val="00836CA7"/>
    <w:rsid w:val="00836DC0"/>
    <w:rsid w:val="008405C0"/>
    <w:rsid w:val="0084093A"/>
    <w:rsid w:val="00840D9A"/>
    <w:rsid w:val="008411BC"/>
    <w:rsid w:val="0084141F"/>
    <w:rsid w:val="008419A0"/>
    <w:rsid w:val="0084327C"/>
    <w:rsid w:val="008442D4"/>
    <w:rsid w:val="008443BF"/>
    <w:rsid w:val="00844659"/>
    <w:rsid w:val="0084469A"/>
    <w:rsid w:val="00844D78"/>
    <w:rsid w:val="00846B86"/>
    <w:rsid w:val="00846C96"/>
    <w:rsid w:val="008472D8"/>
    <w:rsid w:val="00850D03"/>
    <w:rsid w:val="00852603"/>
    <w:rsid w:val="00852BEC"/>
    <w:rsid w:val="008544E3"/>
    <w:rsid w:val="00854C30"/>
    <w:rsid w:val="0085553D"/>
    <w:rsid w:val="00855846"/>
    <w:rsid w:val="00855C43"/>
    <w:rsid w:val="00855FC7"/>
    <w:rsid w:val="008561C9"/>
    <w:rsid w:val="00856384"/>
    <w:rsid w:val="00856767"/>
    <w:rsid w:val="00856859"/>
    <w:rsid w:val="00860290"/>
    <w:rsid w:val="00861160"/>
    <w:rsid w:val="0086142D"/>
    <w:rsid w:val="00862744"/>
    <w:rsid w:val="00863841"/>
    <w:rsid w:val="00863968"/>
    <w:rsid w:val="00863DC5"/>
    <w:rsid w:val="00863F8B"/>
    <w:rsid w:val="008643B1"/>
    <w:rsid w:val="0086484F"/>
    <w:rsid w:val="008648A8"/>
    <w:rsid w:val="0086592E"/>
    <w:rsid w:val="0086695F"/>
    <w:rsid w:val="008669F6"/>
    <w:rsid w:val="00866D63"/>
    <w:rsid w:val="00866D9A"/>
    <w:rsid w:val="0087083E"/>
    <w:rsid w:val="00871AF9"/>
    <w:rsid w:val="00874243"/>
    <w:rsid w:val="00875F78"/>
    <w:rsid w:val="008766BF"/>
    <w:rsid w:val="008812C3"/>
    <w:rsid w:val="00882704"/>
    <w:rsid w:val="00882943"/>
    <w:rsid w:val="008833DE"/>
    <w:rsid w:val="0088416A"/>
    <w:rsid w:val="00885EEA"/>
    <w:rsid w:val="00887322"/>
    <w:rsid w:val="008875D1"/>
    <w:rsid w:val="0089004E"/>
    <w:rsid w:val="0089024B"/>
    <w:rsid w:val="0089069A"/>
    <w:rsid w:val="00890702"/>
    <w:rsid w:val="0089097C"/>
    <w:rsid w:val="00890BAA"/>
    <w:rsid w:val="0089123A"/>
    <w:rsid w:val="008924ED"/>
    <w:rsid w:val="0089373D"/>
    <w:rsid w:val="00893A4A"/>
    <w:rsid w:val="00893E16"/>
    <w:rsid w:val="00894557"/>
    <w:rsid w:val="00894675"/>
    <w:rsid w:val="008950A8"/>
    <w:rsid w:val="00895D56"/>
    <w:rsid w:val="00896558"/>
    <w:rsid w:val="00896903"/>
    <w:rsid w:val="00896A7F"/>
    <w:rsid w:val="00897C12"/>
    <w:rsid w:val="008A02FB"/>
    <w:rsid w:val="008A19B5"/>
    <w:rsid w:val="008A2276"/>
    <w:rsid w:val="008A2790"/>
    <w:rsid w:val="008A316B"/>
    <w:rsid w:val="008A5C3D"/>
    <w:rsid w:val="008A72CD"/>
    <w:rsid w:val="008A7A9C"/>
    <w:rsid w:val="008B1327"/>
    <w:rsid w:val="008B1ADA"/>
    <w:rsid w:val="008B3977"/>
    <w:rsid w:val="008B3F82"/>
    <w:rsid w:val="008B50FC"/>
    <w:rsid w:val="008B5CF2"/>
    <w:rsid w:val="008B61FA"/>
    <w:rsid w:val="008B66CE"/>
    <w:rsid w:val="008B7938"/>
    <w:rsid w:val="008B79C9"/>
    <w:rsid w:val="008C0DBA"/>
    <w:rsid w:val="008C1CC7"/>
    <w:rsid w:val="008C3996"/>
    <w:rsid w:val="008C3AAD"/>
    <w:rsid w:val="008C481A"/>
    <w:rsid w:val="008C52EF"/>
    <w:rsid w:val="008C6587"/>
    <w:rsid w:val="008C7307"/>
    <w:rsid w:val="008C7793"/>
    <w:rsid w:val="008C7F40"/>
    <w:rsid w:val="008D0562"/>
    <w:rsid w:val="008D0676"/>
    <w:rsid w:val="008D320C"/>
    <w:rsid w:val="008D3743"/>
    <w:rsid w:val="008D37B4"/>
    <w:rsid w:val="008D4020"/>
    <w:rsid w:val="008D665F"/>
    <w:rsid w:val="008D7788"/>
    <w:rsid w:val="008D7AC6"/>
    <w:rsid w:val="008E1708"/>
    <w:rsid w:val="008E17F5"/>
    <w:rsid w:val="008E54D3"/>
    <w:rsid w:val="008E5FAB"/>
    <w:rsid w:val="008E62D1"/>
    <w:rsid w:val="008E693D"/>
    <w:rsid w:val="008F0699"/>
    <w:rsid w:val="008F0D56"/>
    <w:rsid w:val="008F1C63"/>
    <w:rsid w:val="008F201D"/>
    <w:rsid w:val="008F2979"/>
    <w:rsid w:val="008F305A"/>
    <w:rsid w:val="008F6405"/>
    <w:rsid w:val="008F760E"/>
    <w:rsid w:val="008F7ACB"/>
    <w:rsid w:val="00900D1F"/>
    <w:rsid w:val="00903D5B"/>
    <w:rsid w:val="00905077"/>
    <w:rsid w:val="00905A19"/>
    <w:rsid w:val="0091155F"/>
    <w:rsid w:val="009118E9"/>
    <w:rsid w:val="00912FD0"/>
    <w:rsid w:val="00913667"/>
    <w:rsid w:val="00913A7C"/>
    <w:rsid w:val="00916697"/>
    <w:rsid w:val="00916AF4"/>
    <w:rsid w:val="00920BE8"/>
    <w:rsid w:val="00921457"/>
    <w:rsid w:val="00921BE7"/>
    <w:rsid w:val="00922E0A"/>
    <w:rsid w:val="00923017"/>
    <w:rsid w:val="00924CF4"/>
    <w:rsid w:val="009250DF"/>
    <w:rsid w:val="00930AC2"/>
    <w:rsid w:val="00932B42"/>
    <w:rsid w:val="00932C3C"/>
    <w:rsid w:val="0093395E"/>
    <w:rsid w:val="00934BC3"/>
    <w:rsid w:val="0093606A"/>
    <w:rsid w:val="00936637"/>
    <w:rsid w:val="00936778"/>
    <w:rsid w:val="00936A43"/>
    <w:rsid w:val="009371C9"/>
    <w:rsid w:val="009375DC"/>
    <w:rsid w:val="00937E64"/>
    <w:rsid w:val="00941172"/>
    <w:rsid w:val="00941794"/>
    <w:rsid w:val="0094334A"/>
    <w:rsid w:val="0094411C"/>
    <w:rsid w:val="009445C6"/>
    <w:rsid w:val="009449F6"/>
    <w:rsid w:val="00944BF8"/>
    <w:rsid w:val="00945959"/>
    <w:rsid w:val="00945BEC"/>
    <w:rsid w:val="00945EEF"/>
    <w:rsid w:val="00946578"/>
    <w:rsid w:val="00951655"/>
    <w:rsid w:val="009518E6"/>
    <w:rsid w:val="00951C90"/>
    <w:rsid w:val="009526A6"/>
    <w:rsid w:val="00954244"/>
    <w:rsid w:val="00954554"/>
    <w:rsid w:val="009554C4"/>
    <w:rsid w:val="00955838"/>
    <w:rsid w:val="00955BA4"/>
    <w:rsid w:val="00961981"/>
    <w:rsid w:val="00962136"/>
    <w:rsid w:val="00962D71"/>
    <w:rsid w:val="0096394A"/>
    <w:rsid w:val="00965050"/>
    <w:rsid w:val="00965487"/>
    <w:rsid w:val="00966EB3"/>
    <w:rsid w:val="009673F9"/>
    <w:rsid w:val="00967F9F"/>
    <w:rsid w:val="009706AE"/>
    <w:rsid w:val="009714AE"/>
    <w:rsid w:val="00972586"/>
    <w:rsid w:val="0097355A"/>
    <w:rsid w:val="00973ACF"/>
    <w:rsid w:val="009743DA"/>
    <w:rsid w:val="009746EB"/>
    <w:rsid w:val="00974822"/>
    <w:rsid w:val="0097485C"/>
    <w:rsid w:val="00974900"/>
    <w:rsid w:val="0097563A"/>
    <w:rsid w:val="009758FD"/>
    <w:rsid w:val="00975ACC"/>
    <w:rsid w:val="00975CD1"/>
    <w:rsid w:val="00975D7B"/>
    <w:rsid w:val="00976036"/>
    <w:rsid w:val="009765D9"/>
    <w:rsid w:val="009767CE"/>
    <w:rsid w:val="00977D63"/>
    <w:rsid w:val="00980099"/>
    <w:rsid w:val="00980D24"/>
    <w:rsid w:val="00981319"/>
    <w:rsid w:val="00981718"/>
    <w:rsid w:val="00982FDB"/>
    <w:rsid w:val="00983068"/>
    <w:rsid w:val="009838C8"/>
    <w:rsid w:val="00983B90"/>
    <w:rsid w:val="009869CA"/>
    <w:rsid w:val="00986BA9"/>
    <w:rsid w:val="0098714A"/>
    <w:rsid w:val="009875B2"/>
    <w:rsid w:val="00987A56"/>
    <w:rsid w:val="009919E3"/>
    <w:rsid w:val="00992149"/>
    <w:rsid w:val="00993234"/>
    <w:rsid w:val="00993288"/>
    <w:rsid w:val="00996E4A"/>
    <w:rsid w:val="009972DC"/>
    <w:rsid w:val="0099768F"/>
    <w:rsid w:val="0099781B"/>
    <w:rsid w:val="00997B63"/>
    <w:rsid w:val="009A0157"/>
    <w:rsid w:val="009A085C"/>
    <w:rsid w:val="009A1A74"/>
    <w:rsid w:val="009A1C9C"/>
    <w:rsid w:val="009A1D5A"/>
    <w:rsid w:val="009A25AF"/>
    <w:rsid w:val="009A2950"/>
    <w:rsid w:val="009A2D63"/>
    <w:rsid w:val="009A2FA7"/>
    <w:rsid w:val="009A3EF1"/>
    <w:rsid w:val="009A4904"/>
    <w:rsid w:val="009A7047"/>
    <w:rsid w:val="009A710E"/>
    <w:rsid w:val="009B0015"/>
    <w:rsid w:val="009B0D03"/>
    <w:rsid w:val="009B0E87"/>
    <w:rsid w:val="009B203C"/>
    <w:rsid w:val="009B216C"/>
    <w:rsid w:val="009B2A1E"/>
    <w:rsid w:val="009B3B52"/>
    <w:rsid w:val="009B4C9A"/>
    <w:rsid w:val="009B68CD"/>
    <w:rsid w:val="009B6B05"/>
    <w:rsid w:val="009B7225"/>
    <w:rsid w:val="009C0E9F"/>
    <w:rsid w:val="009C10F5"/>
    <w:rsid w:val="009C4396"/>
    <w:rsid w:val="009C5CBC"/>
    <w:rsid w:val="009C649B"/>
    <w:rsid w:val="009C6B13"/>
    <w:rsid w:val="009C7EE2"/>
    <w:rsid w:val="009D0D66"/>
    <w:rsid w:val="009D1072"/>
    <w:rsid w:val="009D2CCE"/>
    <w:rsid w:val="009D2DB3"/>
    <w:rsid w:val="009D2E4A"/>
    <w:rsid w:val="009D35BB"/>
    <w:rsid w:val="009D35D3"/>
    <w:rsid w:val="009D3C4B"/>
    <w:rsid w:val="009D3CB3"/>
    <w:rsid w:val="009D3CEC"/>
    <w:rsid w:val="009D40D4"/>
    <w:rsid w:val="009D49D9"/>
    <w:rsid w:val="009D4E05"/>
    <w:rsid w:val="009D594C"/>
    <w:rsid w:val="009D5FFC"/>
    <w:rsid w:val="009D633B"/>
    <w:rsid w:val="009D660C"/>
    <w:rsid w:val="009D6A20"/>
    <w:rsid w:val="009E0357"/>
    <w:rsid w:val="009E0FAA"/>
    <w:rsid w:val="009E1D06"/>
    <w:rsid w:val="009E1E64"/>
    <w:rsid w:val="009E2C57"/>
    <w:rsid w:val="009E565B"/>
    <w:rsid w:val="009E5B24"/>
    <w:rsid w:val="009E5E61"/>
    <w:rsid w:val="009E625D"/>
    <w:rsid w:val="009E6327"/>
    <w:rsid w:val="009E67DA"/>
    <w:rsid w:val="009E6B6A"/>
    <w:rsid w:val="009E7655"/>
    <w:rsid w:val="009F0156"/>
    <w:rsid w:val="009F09EE"/>
    <w:rsid w:val="009F2061"/>
    <w:rsid w:val="009F2687"/>
    <w:rsid w:val="009F2D25"/>
    <w:rsid w:val="009F4258"/>
    <w:rsid w:val="009F4FA6"/>
    <w:rsid w:val="009F5488"/>
    <w:rsid w:val="009F5B3B"/>
    <w:rsid w:val="009F5FF2"/>
    <w:rsid w:val="009F71F5"/>
    <w:rsid w:val="009F7556"/>
    <w:rsid w:val="00A01775"/>
    <w:rsid w:val="00A01E76"/>
    <w:rsid w:val="00A023D4"/>
    <w:rsid w:val="00A02EEA"/>
    <w:rsid w:val="00A03D71"/>
    <w:rsid w:val="00A03D72"/>
    <w:rsid w:val="00A045F3"/>
    <w:rsid w:val="00A05AC3"/>
    <w:rsid w:val="00A06AB9"/>
    <w:rsid w:val="00A10329"/>
    <w:rsid w:val="00A10CB9"/>
    <w:rsid w:val="00A10FF5"/>
    <w:rsid w:val="00A116DF"/>
    <w:rsid w:val="00A11AD7"/>
    <w:rsid w:val="00A12E46"/>
    <w:rsid w:val="00A1320B"/>
    <w:rsid w:val="00A14A29"/>
    <w:rsid w:val="00A15626"/>
    <w:rsid w:val="00A156A4"/>
    <w:rsid w:val="00A1609E"/>
    <w:rsid w:val="00A168DF"/>
    <w:rsid w:val="00A173A1"/>
    <w:rsid w:val="00A17869"/>
    <w:rsid w:val="00A23184"/>
    <w:rsid w:val="00A23DE0"/>
    <w:rsid w:val="00A246DB"/>
    <w:rsid w:val="00A256C1"/>
    <w:rsid w:val="00A25944"/>
    <w:rsid w:val="00A2649B"/>
    <w:rsid w:val="00A26528"/>
    <w:rsid w:val="00A2740F"/>
    <w:rsid w:val="00A275D8"/>
    <w:rsid w:val="00A279F1"/>
    <w:rsid w:val="00A27A29"/>
    <w:rsid w:val="00A27D81"/>
    <w:rsid w:val="00A31369"/>
    <w:rsid w:val="00A31A50"/>
    <w:rsid w:val="00A31CAF"/>
    <w:rsid w:val="00A33595"/>
    <w:rsid w:val="00A335BD"/>
    <w:rsid w:val="00A335E0"/>
    <w:rsid w:val="00A33BB6"/>
    <w:rsid w:val="00A34103"/>
    <w:rsid w:val="00A34919"/>
    <w:rsid w:val="00A34AC6"/>
    <w:rsid w:val="00A34CCA"/>
    <w:rsid w:val="00A35D32"/>
    <w:rsid w:val="00A35D5F"/>
    <w:rsid w:val="00A3651F"/>
    <w:rsid w:val="00A374B0"/>
    <w:rsid w:val="00A37985"/>
    <w:rsid w:val="00A37F3E"/>
    <w:rsid w:val="00A41D50"/>
    <w:rsid w:val="00A41E84"/>
    <w:rsid w:val="00A4283B"/>
    <w:rsid w:val="00A428C4"/>
    <w:rsid w:val="00A43860"/>
    <w:rsid w:val="00A438B4"/>
    <w:rsid w:val="00A4498A"/>
    <w:rsid w:val="00A44E51"/>
    <w:rsid w:val="00A457E5"/>
    <w:rsid w:val="00A46516"/>
    <w:rsid w:val="00A465D8"/>
    <w:rsid w:val="00A46BFA"/>
    <w:rsid w:val="00A47A1A"/>
    <w:rsid w:val="00A50C06"/>
    <w:rsid w:val="00A5162B"/>
    <w:rsid w:val="00A51AE8"/>
    <w:rsid w:val="00A51BEE"/>
    <w:rsid w:val="00A51D38"/>
    <w:rsid w:val="00A52C3E"/>
    <w:rsid w:val="00A54961"/>
    <w:rsid w:val="00A55C43"/>
    <w:rsid w:val="00A5663E"/>
    <w:rsid w:val="00A569F5"/>
    <w:rsid w:val="00A56F77"/>
    <w:rsid w:val="00A60397"/>
    <w:rsid w:val="00A6062D"/>
    <w:rsid w:val="00A607ED"/>
    <w:rsid w:val="00A60C75"/>
    <w:rsid w:val="00A60D8E"/>
    <w:rsid w:val="00A60E94"/>
    <w:rsid w:val="00A610EE"/>
    <w:rsid w:val="00A616B1"/>
    <w:rsid w:val="00A6180D"/>
    <w:rsid w:val="00A61A29"/>
    <w:rsid w:val="00A638E2"/>
    <w:rsid w:val="00A655A9"/>
    <w:rsid w:val="00A65DBE"/>
    <w:rsid w:val="00A65FC7"/>
    <w:rsid w:val="00A6659D"/>
    <w:rsid w:val="00A66947"/>
    <w:rsid w:val="00A67418"/>
    <w:rsid w:val="00A6745A"/>
    <w:rsid w:val="00A71727"/>
    <w:rsid w:val="00A718ED"/>
    <w:rsid w:val="00A71B96"/>
    <w:rsid w:val="00A7285D"/>
    <w:rsid w:val="00A72D6A"/>
    <w:rsid w:val="00A73F1E"/>
    <w:rsid w:val="00A74573"/>
    <w:rsid w:val="00A746E0"/>
    <w:rsid w:val="00A74E19"/>
    <w:rsid w:val="00A76331"/>
    <w:rsid w:val="00A76967"/>
    <w:rsid w:val="00A77978"/>
    <w:rsid w:val="00A80777"/>
    <w:rsid w:val="00A8099A"/>
    <w:rsid w:val="00A80C3E"/>
    <w:rsid w:val="00A81681"/>
    <w:rsid w:val="00A816B6"/>
    <w:rsid w:val="00A83914"/>
    <w:rsid w:val="00A83A69"/>
    <w:rsid w:val="00A844BA"/>
    <w:rsid w:val="00A84AE9"/>
    <w:rsid w:val="00A85470"/>
    <w:rsid w:val="00A86E53"/>
    <w:rsid w:val="00A8771E"/>
    <w:rsid w:val="00A904E9"/>
    <w:rsid w:val="00A913A0"/>
    <w:rsid w:val="00A918D8"/>
    <w:rsid w:val="00A927CB"/>
    <w:rsid w:val="00A94666"/>
    <w:rsid w:val="00A9480A"/>
    <w:rsid w:val="00A95E9E"/>
    <w:rsid w:val="00A97025"/>
    <w:rsid w:val="00A97B3F"/>
    <w:rsid w:val="00AA0637"/>
    <w:rsid w:val="00AA0688"/>
    <w:rsid w:val="00AA323C"/>
    <w:rsid w:val="00AA3265"/>
    <w:rsid w:val="00AA399A"/>
    <w:rsid w:val="00AA3C8C"/>
    <w:rsid w:val="00AA3D47"/>
    <w:rsid w:val="00AA4B8D"/>
    <w:rsid w:val="00AA4E55"/>
    <w:rsid w:val="00AA658F"/>
    <w:rsid w:val="00AA68BC"/>
    <w:rsid w:val="00AB17B8"/>
    <w:rsid w:val="00AB1A81"/>
    <w:rsid w:val="00AB2CD6"/>
    <w:rsid w:val="00AB41A5"/>
    <w:rsid w:val="00AB44F2"/>
    <w:rsid w:val="00AB45CE"/>
    <w:rsid w:val="00AB565D"/>
    <w:rsid w:val="00AB7450"/>
    <w:rsid w:val="00AB7B61"/>
    <w:rsid w:val="00AB7BD3"/>
    <w:rsid w:val="00AB7ECF"/>
    <w:rsid w:val="00AC0983"/>
    <w:rsid w:val="00AC0B59"/>
    <w:rsid w:val="00AC354A"/>
    <w:rsid w:val="00AC370A"/>
    <w:rsid w:val="00AC390D"/>
    <w:rsid w:val="00AC3AF3"/>
    <w:rsid w:val="00AC4DD7"/>
    <w:rsid w:val="00AC4EA1"/>
    <w:rsid w:val="00AC50D1"/>
    <w:rsid w:val="00AC5FF8"/>
    <w:rsid w:val="00AC6089"/>
    <w:rsid w:val="00AC63DC"/>
    <w:rsid w:val="00AC66CA"/>
    <w:rsid w:val="00AC6BFE"/>
    <w:rsid w:val="00AC7AB8"/>
    <w:rsid w:val="00AC7CC8"/>
    <w:rsid w:val="00AD006B"/>
    <w:rsid w:val="00AD06C6"/>
    <w:rsid w:val="00AD0F89"/>
    <w:rsid w:val="00AD271C"/>
    <w:rsid w:val="00AD2EDF"/>
    <w:rsid w:val="00AD480C"/>
    <w:rsid w:val="00AD621B"/>
    <w:rsid w:val="00AD7F90"/>
    <w:rsid w:val="00AE0752"/>
    <w:rsid w:val="00AE0F17"/>
    <w:rsid w:val="00AE11D0"/>
    <w:rsid w:val="00AE2AFD"/>
    <w:rsid w:val="00AE49F2"/>
    <w:rsid w:val="00AE5BA1"/>
    <w:rsid w:val="00AE75F7"/>
    <w:rsid w:val="00AF0471"/>
    <w:rsid w:val="00AF0951"/>
    <w:rsid w:val="00AF1154"/>
    <w:rsid w:val="00AF11FC"/>
    <w:rsid w:val="00AF1E45"/>
    <w:rsid w:val="00AF1EFC"/>
    <w:rsid w:val="00AF44B7"/>
    <w:rsid w:val="00AF4B03"/>
    <w:rsid w:val="00AF6D63"/>
    <w:rsid w:val="00B03322"/>
    <w:rsid w:val="00B03A80"/>
    <w:rsid w:val="00B04101"/>
    <w:rsid w:val="00B0694C"/>
    <w:rsid w:val="00B07A72"/>
    <w:rsid w:val="00B10CC9"/>
    <w:rsid w:val="00B11925"/>
    <w:rsid w:val="00B12B51"/>
    <w:rsid w:val="00B12F75"/>
    <w:rsid w:val="00B1350D"/>
    <w:rsid w:val="00B137CF"/>
    <w:rsid w:val="00B145FE"/>
    <w:rsid w:val="00B148A3"/>
    <w:rsid w:val="00B14EE4"/>
    <w:rsid w:val="00B159B0"/>
    <w:rsid w:val="00B15BED"/>
    <w:rsid w:val="00B16C0A"/>
    <w:rsid w:val="00B17117"/>
    <w:rsid w:val="00B17E5A"/>
    <w:rsid w:val="00B17FD8"/>
    <w:rsid w:val="00B20CE9"/>
    <w:rsid w:val="00B21133"/>
    <w:rsid w:val="00B2118E"/>
    <w:rsid w:val="00B21B3C"/>
    <w:rsid w:val="00B2341C"/>
    <w:rsid w:val="00B23691"/>
    <w:rsid w:val="00B23D8D"/>
    <w:rsid w:val="00B24321"/>
    <w:rsid w:val="00B244E6"/>
    <w:rsid w:val="00B24695"/>
    <w:rsid w:val="00B26C46"/>
    <w:rsid w:val="00B271E2"/>
    <w:rsid w:val="00B274B8"/>
    <w:rsid w:val="00B301D8"/>
    <w:rsid w:val="00B31EBC"/>
    <w:rsid w:val="00B33469"/>
    <w:rsid w:val="00B33B3F"/>
    <w:rsid w:val="00B33C30"/>
    <w:rsid w:val="00B350DD"/>
    <w:rsid w:val="00B353B4"/>
    <w:rsid w:val="00B35FB2"/>
    <w:rsid w:val="00B3615D"/>
    <w:rsid w:val="00B37589"/>
    <w:rsid w:val="00B40A67"/>
    <w:rsid w:val="00B4274D"/>
    <w:rsid w:val="00B42E49"/>
    <w:rsid w:val="00B44C26"/>
    <w:rsid w:val="00B456F2"/>
    <w:rsid w:val="00B47568"/>
    <w:rsid w:val="00B47BDA"/>
    <w:rsid w:val="00B50844"/>
    <w:rsid w:val="00B51193"/>
    <w:rsid w:val="00B51381"/>
    <w:rsid w:val="00B5156D"/>
    <w:rsid w:val="00B51EDB"/>
    <w:rsid w:val="00B520F8"/>
    <w:rsid w:val="00B52952"/>
    <w:rsid w:val="00B53E8E"/>
    <w:rsid w:val="00B54A02"/>
    <w:rsid w:val="00B553EA"/>
    <w:rsid w:val="00B554E8"/>
    <w:rsid w:val="00B55614"/>
    <w:rsid w:val="00B6110C"/>
    <w:rsid w:val="00B613A5"/>
    <w:rsid w:val="00B6173F"/>
    <w:rsid w:val="00B61775"/>
    <w:rsid w:val="00B62026"/>
    <w:rsid w:val="00B6232B"/>
    <w:rsid w:val="00B631E3"/>
    <w:rsid w:val="00B63C6B"/>
    <w:rsid w:val="00B6547E"/>
    <w:rsid w:val="00B6595E"/>
    <w:rsid w:val="00B66D2C"/>
    <w:rsid w:val="00B70322"/>
    <w:rsid w:val="00B70AD2"/>
    <w:rsid w:val="00B70C01"/>
    <w:rsid w:val="00B717CE"/>
    <w:rsid w:val="00B71FEF"/>
    <w:rsid w:val="00B7209C"/>
    <w:rsid w:val="00B7338E"/>
    <w:rsid w:val="00B73FDE"/>
    <w:rsid w:val="00B748AF"/>
    <w:rsid w:val="00B74DE4"/>
    <w:rsid w:val="00B750DD"/>
    <w:rsid w:val="00B81C5C"/>
    <w:rsid w:val="00B83034"/>
    <w:rsid w:val="00B83F62"/>
    <w:rsid w:val="00B847B1"/>
    <w:rsid w:val="00B84AFF"/>
    <w:rsid w:val="00B853E5"/>
    <w:rsid w:val="00B858F5"/>
    <w:rsid w:val="00B85DE9"/>
    <w:rsid w:val="00B86284"/>
    <w:rsid w:val="00B867B9"/>
    <w:rsid w:val="00B8691E"/>
    <w:rsid w:val="00B86E5F"/>
    <w:rsid w:val="00B87124"/>
    <w:rsid w:val="00B87448"/>
    <w:rsid w:val="00B87906"/>
    <w:rsid w:val="00B9166C"/>
    <w:rsid w:val="00B9294E"/>
    <w:rsid w:val="00B948FD"/>
    <w:rsid w:val="00B96803"/>
    <w:rsid w:val="00B96C03"/>
    <w:rsid w:val="00B970FF"/>
    <w:rsid w:val="00B971E6"/>
    <w:rsid w:val="00B97300"/>
    <w:rsid w:val="00BA1B51"/>
    <w:rsid w:val="00BA2BCD"/>
    <w:rsid w:val="00BA32F7"/>
    <w:rsid w:val="00BA3F8F"/>
    <w:rsid w:val="00BA5DCC"/>
    <w:rsid w:val="00BB12A5"/>
    <w:rsid w:val="00BB345C"/>
    <w:rsid w:val="00BB3E78"/>
    <w:rsid w:val="00BB3E7D"/>
    <w:rsid w:val="00BB422D"/>
    <w:rsid w:val="00BB51F2"/>
    <w:rsid w:val="00BB656B"/>
    <w:rsid w:val="00BC01B3"/>
    <w:rsid w:val="00BC13E7"/>
    <w:rsid w:val="00BC23D1"/>
    <w:rsid w:val="00BC257F"/>
    <w:rsid w:val="00BC38FD"/>
    <w:rsid w:val="00BC5199"/>
    <w:rsid w:val="00BC5BBD"/>
    <w:rsid w:val="00BC621B"/>
    <w:rsid w:val="00BC63EE"/>
    <w:rsid w:val="00BC7068"/>
    <w:rsid w:val="00BD0304"/>
    <w:rsid w:val="00BD1B5D"/>
    <w:rsid w:val="00BD1C9E"/>
    <w:rsid w:val="00BD1F67"/>
    <w:rsid w:val="00BD2457"/>
    <w:rsid w:val="00BD26F2"/>
    <w:rsid w:val="00BD3455"/>
    <w:rsid w:val="00BD349F"/>
    <w:rsid w:val="00BD560B"/>
    <w:rsid w:val="00BD5A67"/>
    <w:rsid w:val="00BD6D77"/>
    <w:rsid w:val="00BD75D0"/>
    <w:rsid w:val="00BD762F"/>
    <w:rsid w:val="00BE1483"/>
    <w:rsid w:val="00BE1B17"/>
    <w:rsid w:val="00BE2779"/>
    <w:rsid w:val="00BE2B5F"/>
    <w:rsid w:val="00BE31DA"/>
    <w:rsid w:val="00BE381D"/>
    <w:rsid w:val="00BE3F72"/>
    <w:rsid w:val="00BE3F8B"/>
    <w:rsid w:val="00BE3FEC"/>
    <w:rsid w:val="00BE4045"/>
    <w:rsid w:val="00BE4866"/>
    <w:rsid w:val="00BE504D"/>
    <w:rsid w:val="00BE5C18"/>
    <w:rsid w:val="00BE6D44"/>
    <w:rsid w:val="00BE7296"/>
    <w:rsid w:val="00BE7DA3"/>
    <w:rsid w:val="00BF04C4"/>
    <w:rsid w:val="00BF16DB"/>
    <w:rsid w:val="00BF23D2"/>
    <w:rsid w:val="00BF28C0"/>
    <w:rsid w:val="00BF2EAC"/>
    <w:rsid w:val="00BF5365"/>
    <w:rsid w:val="00BF7386"/>
    <w:rsid w:val="00BF75B3"/>
    <w:rsid w:val="00C00EE4"/>
    <w:rsid w:val="00C01F80"/>
    <w:rsid w:val="00C032DA"/>
    <w:rsid w:val="00C03508"/>
    <w:rsid w:val="00C043A9"/>
    <w:rsid w:val="00C047BB"/>
    <w:rsid w:val="00C04D74"/>
    <w:rsid w:val="00C04DEE"/>
    <w:rsid w:val="00C04FCB"/>
    <w:rsid w:val="00C05578"/>
    <w:rsid w:val="00C0627B"/>
    <w:rsid w:val="00C072D3"/>
    <w:rsid w:val="00C111A3"/>
    <w:rsid w:val="00C116C9"/>
    <w:rsid w:val="00C11798"/>
    <w:rsid w:val="00C120F3"/>
    <w:rsid w:val="00C15C84"/>
    <w:rsid w:val="00C16A37"/>
    <w:rsid w:val="00C16ABF"/>
    <w:rsid w:val="00C16DC4"/>
    <w:rsid w:val="00C175A7"/>
    <w:rsid w:val="00C17766"/>
    <w:rsid w:val="00C204A1"/>
    <w:rsid w:val="00C20B1D"/>
    <w:rsid w:val="00C21173"/>
    <w:rsid w:val="00C222F6"/>
    <w:rsid w:val="00C22F1C"/>
    <w:rsid w:val="00C2314F"/>
    <w:rsid w:val="00C23547"/>
    <w:rsid w:val="00C237D0"/>
    <w:rsid w:val="00C23D16"/>
    <w:rsid w:val="00C272A0"/>
    <w:rsid w:val="00C27C8F"/>
    <w:rsid w:val="00C31DA7"/>
    <w:rsid w:val="00C32B9B"/>
    <w:rsid w:val="00C33D8F"/>
    <w:rsid w:val="00C3477D"/>
    <w:rsid w:val="00C34F3F"/>
    <w:rsid w:val="00C355D9"/>
    <w:rsid w:val="00C358DE"/>
    <w:rsid w:val="00C40439"/>
    <w:rsid w:val="00C40BE1"/>
    <w:rsid w:val="00C40E85"/>
    <w:rsid w:val="00C44600"/>
    <w:rsid w:val="00C44B01"/>
    <w:rsid w:val="00C44B5A"/>
    <w:rsid w:val="00C44BF2"/>
    <w:rsid w:val="00C44CFE"/>
    <w:rsid w:val="00C44EE6"/>
    <w:rsid w:val="00C451D9"/>
    <w:rsid w:val="00C45428"/>
    <w:rsid w:val="00C45CCC"/>
    <w:rsid w:val="00C5041B"/>
    <w:rsid w:val="00C506F3"/>
    <w:rsid w:val="00C518E8"/>
    <w:rsid w:val="00C51955"/>
    <w:rsid w:val="00C539C7"/>
    <w:rsid w:val="00C55548"/>
    <w:rsid w:val="00C56AEF"/>
    <w:rsid w:val="00C56B24"/>
    <w:rsid w:val="00C607EA"/>
    <w:rsid w:val="00C61A99"/>
    <w:rsid w:val="00C6295E"/>
    <w:rsid w:val="00C63E1F"/>
    <w:rsid w:val="00C646FB"/>
    <w:rsid w:val="00C65E7C"/>
    <w:rsid w:val="00C662FB"/>
    <w:rsid w:val="00C66F7A"/>
    <w:rsid w:val="00C67424"/>
    <w:rsid w:val="00C67583"/>
    <w:rsid w:val="00C67AD2"/>
    <w:rsid w:val="00C70D13"/>
    <w:rsid w:val="00C70DBA"/>
    <w:rsid w:val="00C71637"/>
    <w:rsid w:val="00C71C90"/>
    <w:rsid w:val="00C7238A"/>
    <w:rsid w:val="00C73EEA"/>
    <w:rsid w:val="00C752B8"/>
    <w:rsid w:val="00C75769"/>
    <w:rsid w:val="00C75A61"/>
    <w:rsid w:val="00C76126"/>
    <w:rsid w:val="00C7763A"/>
    <w:rsid w:val="00C77763"/>
    <w:rsid w:val="00C77F1D"/>
    <w:rsid w:val="00C8000E"/>
    <w:rsid w:val="00C8135F"/>
    <w:rsid w:val="00C81A16"/>
    <w:rsid w:val="00C81A50"/>
    <w:rsid w:val="00C82A4C"/>
    <w:rsid w:val="00C83234"/>
    <w:rsid w:val="00C84329"/>
    <w:rsid w:val="00C86252"/>
    <w:rsid w:val="00C8656E"/>
    <w:rsid w:val="00C90798"/>
    <w:rsid w:val="00C9110F"/>
    <w:rsid w:val="00C91537"/>
    <w:rsid w:val="00C924C1"/>
    <w:rsid w:val="00C927DC"/>
    <w:rsid w:val="00C92BCC"/>
    <w:rsid w:val="00C92CCC"/>
    <w:rsid w:val="00C93BBE"/>
    <w:rsid w:val="00C93E7C"/>
    <w:rsid w:val="00C94587"/>
    <w:rsid w:val="00C94CE8"/>
    <w:rsid w:val="00C95283"/>
    <w:rsid w:val="00C954EC"/>
    <w:rsid w:val="00C95FF2"/>
    <w:rsid w:val="00C96AEC"/>
    <w:rsid w:val="00C96C12"/>
    <w:rsid w:val="00C9796E"/>
    <w:rsid w:val="00C97ED3"/>
    <w:rsid w:val="00CA0BE8"/>
    <w:rsid w:val="00CA1013"/>
    <w:rsid w:val="00CA11DE"/>
    <w:rsid w:val="00CA18FE"/>
    <w:rsid w:val="00CA1FFC"/>
    <w:rsid w:val="00CA2900"/>
    <w:rsid w:val="00CA2A71"/>
    <w:rsid w:val="00CA3509"/>
    <w:rsid w:val="00CA4487"/>
    <w:rsid w:val="00CA4F9B"/>
    <w:rsid w:val="00CA7883"/>
    <w:rsid w:val="00CB1497"/>
    <w:rsid w:val="00CB2133"/>
    <w:rsid w:val="00CB2DCD"/>
    <w:rsid w:val="00CB4728"/>
    <w:rsid w:val="00CB4754"/>
    <w:rsid w:val="00CB5C30"/>
    <w:rsid w:val="00CB6A09"/>
    <w:rsid w:val="00CC014B"/>
    <w:rsid w:val="00CC1281"/>
    <w:rsid w:val="00CC1CF2"/>
    <w:rsid w:val="00CC28CE"/>
    <w:rsid w:val="00CC2938"/>
    <w:rsid w:val="00CC2CED"/>
    <w:rsid w:val="00CC3489"/>
    <w:rsid w:val="00CC4822"/>
    <w:rsid w:val="00CC4B91"/>
    <w:rsid w:val="00CC5A90"/>
    <w:rsid w:val="00CC5D7D"/>
    <w:rsid w:val="00CC6F42"/>
    <w:rsid w:val="00CC742D"/>
    <w:rsid w:val="00CC76E1"/>
    <w:rsid w:val="00CD0943"/>
    <w:rsid w:val="00CD2946"/>
    <w:rsid w:val="00CD3815"/>
    <w:rsid w:val="00CD3B08"/>
    <w:rsid w:val="00CD4967"/>
    <w:rsid w:val="00CD5032"/>
    <w:rsid w:val="00CD5C85"/>
    <w:rsid w:val="00CD6717"/>
    <w:rsid w:val="00CE12F1"/>
    <w:rsid w:val="00CE153C"/>
    <w:rsid w:val="00CE17F1"/>
    <w:rsid w:val="00CE1E64"/>
    <w:rsid w:val="00CE2D77"/>
    <w:rsid w:val="00CE4261"/>
    <w:rsid w:val="00CE4A30"/>
    <w:rsid w:val="00CE4DAC"/>
    <w:rsid w:val="00CE59CA"/>
    <w:rsid w:val="00CE6111"/>
    <w:rsid w:val="00CE734A"/>
    <w:rsid w:val="00CF06E7"/>
    <w:rsid w:val="00CF0B29"/>
    <w:rsid w:val="00CF32A1"/>
    <w:rsid w:val="00CF34A3"/>
    <w:rsid w:val="00CF38EE"/>
    <w:rsid w:val="00CF3982"/>
    <w:rsid w:val="00CF5315"/>
    <w:rsid w:val="00CF67F9"/>
    <w:rsid w:val="00CF758E"/>
    <w:rsid w:val="00CF7E05"/>
    <w:rsid w:val="00D00059"/>
    <w:rsid w:val="00D00439"/>
    <w:rsid w:val="00D00BE3"/>
    <w:rsid w:val="00D00D35"/>
    <w:rsid w:val="00D01229"/>
    <w:rsid w:val="00D016A8"/>
    <w:rsid w:val="00D01EB1"/>
    <w:rsid w:val="00D023A7"/>
    <w:rsid w:val="00D034FC"/>
    <w:rsid w:val="00D03FB1"/>
    <w:rsid w:val="00D04586"/>
    <w:rsid w:val="00D06AFE"/>
    <w:rsid w:val="00D112C2"/>
    <w:rsid w:val="00D1134E"/>
    <w:rsid w:val="00D12031"/>
    <w:rsid w:val="00D12C78"/>
    <w:rsid w:val="00D1367B"/>
    <w:rsid w:val="00D14A6F"/>
    <w:rsid w:val="00D14E74"/>
    <w:rsid w:val="00D15CF8"/>
    <w:rsid w:val="00D16239"/>
    <w:rsid w:val="00D16E3B"/>
    <w:rsid w:val="00D17D91"/>
    <w:rsid w:val="00D22522"/>
    <w:rsid w:val="00D225B4"/>
    <w:rsid w:val="00D228EA"/>
    <w:rsid w:val="00D22954"/>
    <w:rsid w:val="00D22E0D"/>
    <w:rsid w:val="00D22F19"/>
    <w:rsid w:val="00D2343D"/>
    <w:rsid w:val="00D237BA"/>
    <w:rsid w:val="00D23B80"/>
    <w:rsid w:val="00D241B3"/>
    <w:rsid w:val="00D2431E"/>
    <w:rsid w:val="00D2523C"/>
    <w:rsid w:val="00D26230"/>
    <w:rsid w:val="00D2699C"/>
    <w:rsid w:val="00D269A8"/>
    <w:rsid w:val="00D26B9E"/>
    <w:rsid w:val="00D271DC"/>
    <w:rsid w:val="00D27B3D"/>
    <w:rsid w:val="00D310C1"/>
    <w:rsid w:val="00D311E3"/>
    <w:rsid w:val="00D312B7"/>
    <w:rsid w:val="00D32785"/>
    <w:rsid w:val="00D32985"/>
    <w:rsid w:val="00D32A0D"/>
    <w:rsid w:val="00D334F8"/>
    <w:rsid w:val="00D34C20"/>
    <w:rsid w:val="00D35164"/>
    <w:rsid w:val="00D351E8"/>
    <w:rsid w:val="00D36668"/>
    <w:rsid w:val="00D3797B"/>
    <w:rsid w:val="00D37F91"/>
    <w:rsid w:val="00D401D8"/>
    <w:rsid w:val="00D41191"/>
    <w:rsid w:val="00D419B9"/>
    <w:rsid w:val="00D43033"/>
    <w:rsid w:val="00D434B2"/>
    <w:rsid w:val="00D47368"/>
    <w:rsid w:val="00D47AC8"/>
    <w:rsid w:val="00D5076C"/>
    <w:rsid w:val="00D51544"/>
    <w:rsid w:val="00D51697"/>
    <w:rsid w:val="00D5193C"/>
    <w:rsid w:val="00D51E9C"/>
    <w:rsid w:val="00D53753"/>
    <w:rsid w:val="00D541A0"/>
    <w:rsid w:val="00D546A8"/>
    <w:rsid w:val="00D5663A"/>
    <w:rsid w:val="00D57E91"/>
    <w:rsid w:val="00D60552"/>
    <w:rsid w:val="00D610F2"/>
    <w:rsid w:val="00D61EE2"/>
    <w:rsid w:val="00D6349B"/>
    <w:rsid w:val="00D634A3"/>
    <w:rsid w:val="00D63A74"/>
    <w:rsid w:val="00D6480B"/>
    <w:rsid w:val="00D64F96"/>
    <w:rsid w:val="00D650D8"/>
    <w:rsid w:val="00D653BC"/>
    <w:rsid w:val="00D6578C"/>
    <w:rsid w:val="00D666D6"/>
    <w:rsid w:val="00D67EB1"/>
    <w:rsid w:val="00D7009B"/>
    <w:rsid w:val="00D70C59"/>
    <w:rsid w:val="00D7178C"/>
    <w:rsid w:val="00D71ABC"/>
    <w:rsid w:val="00D71F6F"/>
    <w:rsid w:val="00D7234A"/>
    <w:rsid w:val="00D7242F"/>
    <w:rsid w:val="00D72973"/>
    <w:rsid w:val="00D74064"/>
    <w:rsid w:val="00D76536"/>
    <w:rsid w:val="00D77889"/>
    <w:rsid w:val="00D809DF"/>
    <w:rsid w:val="00D80F83"/>
    <w:rsid w:val="00D8190C"/>
    <w:rsid w:val="00D829B5"/>
    <w:rsid w:val="00D83D9E"/>
    <w:rsid w:val="00D83DAF"/>
    <w:rsid w:val="00D8546E"/>
    <w:rsid w:val="00D86968"/>
    <w:rsid w:val="00D87460"/>
    <w:rsid w:val="00D877A3"/>
    <w:rsid w:val="00D87E72"/>
    <w:rsid w:val="00D90D8F"/>
    <w:rsid w:val="00D9112E"/>
    <w:rsid w:val="00D91698"/>
    <w:rsid w:val="00D92E5A"/>
    <w:rsid w:val="00D94363"/>
    <w:rsid w:val="00D947E0"/>
    <w:rsid w:val="00D94DDF"/>
    <w:rsid w:val="00D95A19"/>
    <w:rsid w:val="00D960CD"/>
    <w:rsid w:val="00D96D47"/>
    <w:rsid w:val="00D97179"/>
    <w:rsid w:val="00D9728A"/>
    <w:rsid w:val="00DA08CA"/>
    <w:rsid w:val="00DA0DE5"/>
    <w:rsid w:val="00DA0E5B"/>
    <w:rsid w:val="00DA1001"/>
    <w:rsid w:val="00DA2983"/>
    <w:rsid w:val="00DA350B"/>
    <w:rsid w:val="00DA4619"/>
    <w:rsid w:val="00DA5FC6"/>
    <w:rsid w:val="00DA61FF"/>
    <w:rsid w:val="00DA6A19"/>
    <w:rsid w:val="00DA7309"/>
    <w:rsid w:val="00DB1DCA"/>
    <w:rsid w:val="00DB1F4C"/>
    <w:rsid w:val="00DB208C"/>
    <w:rsid w:val="00DB3CBA"/>
    <w:rsid w:val="00DB469C"/>
    <w:rsid w:val="00DC139A"/>
    <w:rsid w:val="00DC14D7"/>
    <w:rsid w:val="00DC29B4"/>
    <w:rsid w:val="00DC37E9"/>
    <w:rsid w:val="00DC633C"/>
    <w:rsid w:val="00DC66C9"/>
    <w:rsid w:val="00DC6726"/>
    <w:rsid w:val="00DC6A19"/>
    <w:rsid w:val="00DC7D6C"/>
    <w:rsid w:val="00DD0296"/>
    <w:rsid w:val="00DD0870"/>
    <w:rsid w:val="00DD384E"/>
    <w:rsid w:val="00DD3CA0"/>
    <w:rsid w:val="00DD60C3"/>
    <w:rsid w:val="00DD71D0"/>
    <w:rsid w:val="00DE16D5"/>
    <w:rsid w:val="00DE1C3F"/>
    <w:rsid w:val="00DE2570"/>
    <w:rsid w:val="00DE2BCC"/>
    <w:rsid w:val="00DE2CE9"/>
    <w:rsid w:val="00DE34F3"/>
    <w:rsid w:val="00DE3799"/>
    <w:rsid w:val="00DE3A2F"/>
    <w:rsid w:val="00DE3BBA"/>
    <w:rsid w:val="00DE3C72"/>
    <w:rsid w:val="00DE3D16"/>
    <w:rsid w:val="00DE4413"/>
    <w:rsid w:val="00DE542C"/>
    <w:rsid w:val="00DE6B64"/>
    <w:rsid w:val="00DE7708"/>
    <w:rsid w:val="00DE7927"/>
    <w:rsid w:val="00DE796E"/>
    <w:rsid w:val="00DF007A"/>
    <w:rsid w:val="00DF1AE4"/>
    <w:rsid w:val="00DF1B17"/>
    <w:rsid w:val="00DF26CB"/>
    <w:rsid w:val="00DF2725"/>
    <w:rsid w:val="00DF2C0A"/>
    <w:rsid w:val="00DF3322"/>
    <w:rsid w:val="00DF33D7"/>
    <w:rsid w:val="00DF44F6"/>
    <w:rsid w:val="00DF618D"/>
    <w:rsid w:val="00E00452"/>
    <w:rsid w:val="00E00EB5"/>
    <w:rsid w:val="00E01C74"/>
    <w:rsid w:val="00E02A23"/>
    <w:rsid w:val="00E030EA"/>
    <w:rsid w:val="00E04089"/>
    <w:rsid w:val="00E046A9"/>
    <w:rsid w:val="00E05438"/>
    <w:rsid w:val="00E05A60"/>
    <w:rsid w:val="00E05E46"/>
    <w:rsid w:val="00E05F31"/>
    <w:rsid w:val="00E07753"/>
    <w:rsid w:val="00E10A8F"/>
    <w:rsid w:val="00E119B9"/>
    <w:rsid w:val="00E12679"/>
    <w:rsid w:val="00E1489B"/>
    <w:rsid w:val="00E149A0"/>
    <w:rsid w:val="00E14BFE"/>
    <w:rsid w:val="00E15D13"/>
    <w:rsid w:val="00E15FF8"/>
    <w:rsid w:val="00E1601F"/>
    <w:rsid w:val="00E16325"/>
    <w:rsid w:val="00E2020C"/>
    <w:rsid w:val="00E205AE"/>
    <w:rsid w:val="00E20E69"/>
    <w:rsid w:val="00E22377"/>
    <w:rsid w:val="00E24522"/>
    <w:rsid w:val="00E2558A"/>
    <w:rsid w:val="00E25951"/>
    <w:rsid w:val="00E26218"/>
    <w:rsid w:val="00E2643A"/>
    <w:rsid w:val="00E2783E"/>
    <w:rsid w:val="00E30C67"/>
    <w:rsid w:val="00E311DF"/>
    <w:rsid w:val="00E319F5"/>
    <w:rsid w:val="00E338C9"/>
    <w:rsid w:val="00E36216"/>
    <w:rsid w:val="00E36657"/>
    <w:rsid w:val="00E36A2E"/>
    <w:rsid w:val="00E37E5E"/>
    <w:rsid w:val="00E414B0"/>
    <w:rsid w:val="00E42503"/>
    <w:rsid w:val="00E42E35"/>
    <w:rsid w:val="00E45434"/>
    <w:rsid w:val="00E457A8"/>
    <w:rsid w:val="00E45F4A"/>
    <w:rsid w:val="00E47E44"/>
    <w:rsid w:val="00E50DA1"/>
    <w:rsid w:val="00E5159A"/>
    <w:rsid w:val="00E53851"/>
    <w:rsid w:val="00E54EBE"/>
    <w:rsid w:val="00E5513F"/>
    <w:rsid w:val="00E55A92"/>
    <w:rsid w:val="00E57E48"/>
    <w:rsid w:val="00E60AF6"/>
    <w:rsid w:val="00E60BC2"/>
    <w:rsid w:val="00E60EFF"/>
    <w:rsid w:val="00E61024"/>
    <w:rsid w:val="00E610E6"/>
    <w:rsid w:val="00E61429"/>
    <w:rsid w:val="00E63EE8"/>
    <w:rsid w:val="00E6404A"/>
    <w:rsid w:val="00E6556E"/>
    <w:rsid w:val="00E65734"/>
    <w:rsid w:val="00E667AD"/>
    <w:rsid w:val="00E667C7"/>
    <w:rsid w:val="00E66CDD"/>
    <w:rsid w:val="00E70571"/>
    <w:rsid w:val="00E706FA"/>
    <w:rsid w:val="00E71098"/>
    <w:rsid w:val="00E7115E"/>
    <w:rsid w:val="00E72137"/>
    <w:rsid w:val="00E72704"/>
    <w:rsid w:val="00E72D2E"/>
    <w:rsid w:val="00E72E75"/>
    <w:rsid w:val="00E7359D"/>
    <w:rsid w:val="00E73780"/>
    <w:rsid w:val="00E73E5E"/>
    <w:rsid w:val="00E7403C"/>
    <w:rsid w:val="00E7487B"/>
    <w:rsid w:val="00E7507F"/>
    <w:rsid w:val="00E75AA6"/>
    <w:rsid w:val="00E76A98"/>
    <w:rsid w:val="00E8037D"/>
    <w:rsid w:val="00E80885"/>
    <w:rsid w:val="00E80892"/>
    <w:rsid w:val="00E8258A"/>
    <w:rsid w:val="00E83F27"/>
    <w:rsid w:val="00E8427C"/>
    <w:rsid w:val="00E84455"/>
    <w:rsid w:val="00E85C10"/>
    <w:rsid w:val="00E85D14"/>
    <w:rsid w:val="00E861CC"/>
    <w:rsid w:val="00E866B7"/>
    <w:rsid w:val="00E8707E"/>
    <w:rsid w:val="00E876F9"/>
    <w:rsid w:val="00E877AA"/>
    <w:rsid w:val="00E90041"/>
    <w:rsid w:val="00E91631"/>
    <w:rsid w:val="00E918B6"/>
    <w:rsid w:val="00E9192C"/>
    <w:rsid w:val="00E91956"/>
    <w:rsid w:val="00E92F73"/>
    <w:rsid w:val="00E9317C"/>
    <w:rsid w:val="00E9345D"/>
    <w:rsid w:val="00E93B04"/>
    <w:rsid w:val="00E95322"/>
    <w:rsid w:val="00E96F9A"/>
    <w:rsid w:val="00E973B8"/>
    <w:rsid w:val="00E97D58"/>
    <w:rsid w:val="00EA0422"/>
    <w:rsid w:val="00EA14C8"/>
    <w:rsid w:val="00EA1BF7"/>
    <w:rsid w:val="00EA339E"/>
    <w:rsid w:val="00EA3A21"/>
    <w:rsid w:val="00EA3D79"/>
    <w:rsid w:val="00EA42A5"/>
    <w:rsid w:val="00EA4557"/>
    <w:rsid w:val="00EA48C2"/>
    <w:rsid w:val="00EA5D3A"/>
    <w:rsid w:val="00EA6C66"/>
    <w:rsid w:val="00EA6CD0"/>
    <w:rsid w:val="00EA71C5"/>
    <w:rsid w:val="00EB041B"/>
    <w:rsid w:val="00EB05B0"/>
    <w:rsid w:val="00EB18A1"/>
    <w:rsid w:val="00EB2743"/>
    <w:rsid w:val="00EB3B25"/>
    <w:rsid w:val="00EB487A"/>
    <w:rsid w:val="00EB49EE"/>
    <w:rsid w:val="00EB49F8"/>
    <w:rsid w:val="00EB4ED8"/>
    <w:rsid w:val="00EB4F05"/>
    <w:rsid w:val="00EB51F9"/>
    <w:rsid w:val="00EB6E67"/>
    <w:rsid w:val="00EB7C73"/>
    <w:rsid w:val="00EB7CBB"/>
    <w:rsid w:val="00EC1BC3"/>
    <w:rsid w:val="00EC2C2A"/>
    <w:rsid w:val="00EC313E"/>
    <w:rsid w:val="00EC31A6"/>
    <w:rsid w:val="00EC38BF"/>
    <w:rsid w:val="00EC4C11"/>
    <w:rsid w:val="00EC4EA8"/>
    <w:rsid w:val="00EC59A6"/>
    <w:rsid w:val="00EC7061"/>
    <w:rsid w:val="00EC70F3"/>
    <w:rsid w:val="00EC73F9"/>
    <w:rsid w:val="00EC7998"/>
    <w:rsid w:val="00ED0B3C"/>
    <w:rsid w:val="00ED0F7E"/>
    <w:rsid w:val="00ED1214"/>
    <w:rsid w:val="00ED2F9F"/>
    <w:rsid w:val="00ED2FE0"/>
    <w:rsid w:val="00ED35EE"/>
    <w:rsid w:val="00ED3799"/>
    <w:rsid w:val="00ED37D8"/>
    <w:rsid w:val="00ED4A42"/>
    <w:rsid w:val="00ED61E4"/>
    <w:rsid w:val="00ED6DBD"/>
    <w:rsid w:val="00EE221E"/>
    <w:rsid w:val="00EE227B"/>
    <w:rsid w:val="00EE2458"/>
    <w:rsid w:val="00EE2C51"/>
    <w:rsid w:val="00EE37CC"/>
    <w:rsid w:val="00EE412F"/>
    <w:rsid w:val="00EE41FE"/>
    <w:rsid w:val="00EE46FF"/>
    <w:rsid w:val="00EE5F54"/>
    <w:rsid w:val="00EE6058"/>
    <w:rsid w:val="00EE647B"/>
    <w:rsid w:val="00EE72C5"/>
    <w:rsid w:val="00EF1727"/>
    <w:rsid w:val="00EF1E0B"/>
    <w:rsid w:val="00EF274D"/>
    <w:rsid w:val="00EF2B2B"/>
    <w:rsid w:val="00EF2F41"/>
    <w:rsid w:val="00EF445D"/>
    <w:rsid w:val="00EF5275"/>
    <w:rsid w:val="00EF61B3"/>
    <w:rsid w:val="00EF6A30"/>
    <w:rsid w:val="00EF729B"/>
    <w:rsid w:val="00EF7C17"/>
    <w:rsid w:val="00F004B3"/>
    <w:rsid w:val="00F010E2"/>
    <w:rsid w:val="00F01E1E"/>
    <w:rsid w:val="00F020FB"/>
    <w:rsid w:val="00F0665A"/>
    <w:rsid w:val="00F1083A"/>
    <w:rsid w:val="00F10E22"/>
    <w:rsid w:val="00F12072"/>
    <w:rsid w:val="00F1238B"/>
    <w:rsid w:val="00F133B6"/>
    <w:rsid w:val="00F160D5"/>
    <w:rsid w:val="00F16996"/>
    <w:rsid w:val="00F215FD"/>
    <w:rsid w:val="00F22399"/>
    <w:rsid w:val="00F22A04"/>
    <w:rsid w:val="00F22B58"/>
    <w:rsid w:val="00F245A9"/>
    <w:rsid w:val="00F25A6B"/>
    <w:rsid w:val="00F25EEF"/>
    <w:rsid w:val="00F25F12"/>
    <w:rsid w:val="00F2655F"/>
    <w:rsid w:val="00F267E5"/>
    <w:rsid w:val="00F2766D"/>
    <w:rsid w:val="00F27685"/>
    <w:rsid w:val="00F30BC8"/>
    <w:rsid w:val="00F310B0"/>
    <w:rsid w:val="00F3207B"/>
    <w:rsid w:val="00F32B86"/>
    <w:rsid w:val="00F32E25"/>
    <w:rsid w:val="00F3300B"/>
    <w:rsid w:val="00F34061"/>
    <w:rsid w:val="00F34174"/>
    <w:rsid w:val="00F34807"/>
    <w:rsid w:val="00F371E8"/>
    <w:rsid w:val="00F37458"/>
    <w:rsid w:val="00F37975"/>
    <w:rsid w:val="00F37B56"/>
    <w:rsid w:val="00F37C50"/>
    <w:rsid w:val="00F4025A"/>
    <w:rsid w:val="00F407AB"/>
    <w:rsid w:val="00F40EA3"/>
    <w:rsid w:val="00F40ED9"/>
    <w:rsid w:val="00F4364F"/>
    <w:rsid w:val="00F43B0C"/>
    <w:rsid w:val="00F44544"/>
    <w:rsid w:val="00F447FD"/>
    <w:rsid w:val="00F45D35"/>
    <w:rsid w:val="00F45FAD"/>
    <w:rsid w:val="00F47CB1"/>
    <w:rsid w:val="00F506BB"/>
    <w:rsid w:val="00F5156F"/>
    <w:rsid w:val="00F518FD"/>
    <w:rsid w:val="00F51AF0"/>
    <w:rsid w:val="00F51B76"/>
    <w:rsid w:val="00F52923"/>
    <w:rsid w:val="00F541DC"/>
    <w:rsid w:val="00F54CDA"/>
    <w:rsid w:val="00F55AF8"/>
    <w:rsid w:val="00F55C35"/>
    <w:rsid w:val="00F560D1"/>
    <w:rsid w:val="00F57871"/>
    <w:rsid w:val="00F57972"/>
    <w:rsid w:val="00F60660"/>
    <w:rsid w:val="00F60E99"/>
    <w:rsid w:val="00F60F86"/>
    <w:rsid w:val="00F610BE"/>
    <w:rsid w:val="00F610FA"/>
    <w:rsid w:val="00F61344"/>
    <w:rsid w:val="00F61824"/>
    <w:rsid w:val="00F62FCD"/>
    <w:rsid w:val="00F62FDA"/>
    <w:rsid w:val="00F63007"/>
    <w:rsid w:val="00F6325C"/>
    <w:rsid w:val="00F63290"/>
    <w:rsid w:val="00F64077"/>
    <w:rsid w:val="00F652CB"/>
    <w:rsid w:val="00F66C80"/>
    <w:rsid w:val="00F70136"/>
    <w:rsid w:val="00F70F61"/>
    <w:rsid w:val="00F715D4"/>
    <w:rsid w:val="00F72895"/>
    <w:rsid w:val="00F729CB"/>
    <w:rsid w:val="00F72CCE"/>
    <w:rsid w:val="00F74C47"/>
    <w:rsid w:val="00F7603F"/>
    <w:rsid w:val="00F762F4"/>
    <w:rsid w:val="00F76658"/>
    <w:rsid w:val="00F76932"/>
    <w:rsid w:val="00F76D67"/>
    <w:rsid w:val="00F81670"/>
    <w:rsid w:val="00F81C6B"/>
    <w:rsid w:val="00F81F01"/>
    <w:rsid w:val="00F821B6"/>
    <w:rsid w:val="00F827C9"/>
    <w:rsid w:val="00F837DF"/>
    <w:rsid w:val="00F84273"/>
    <w:rsid w:val="00F85021"/>
    <w:rsid w:val="00F85579"/>
    <w:rsid w:val="00F85912"/>
    <w:rsid w:val="00F85F45"/>
    <w:rsid w:val="00F862C8"/>
    <w:rsid w:val="00F869FD"/>
    <w:rsid w:val="00F878EA"/>
    <w:rsid w:val="00F87F5A"/>
    <w:rsid w:val="00F87FD5"/>
    <w:rsid w:val="00F90871"/>
    <w:rsid w:val="00F90906"/>
    <w:rsid w:val="00F9123A"/>
    <w:rsid w:val="00F92EAD"/>
    <w:rsid w:val="00F93A62"/>
    <w:rsid w:val="00F93D6C"/>
    <w:rsid w:val="00F94343"/>
    <w:rsid w:val="00F948F4"/>
    <w:rsid w:val="00F95680"/>
    <w:rsid w:val="00F9588B"/>
    <w:rsid w:val="00F95C00"/>
    <w:rsid w:val="00F962B3"/>
    <w:rsid w:val="00F97DB7"/>
    <w:rsid w:val="00FA06A2"/>
    <w:rsid w:val="00FA08BE"/>
    <w:rsid w:val="00FA0C7F"/>
    <w:rsid w:val="00FA0FFA"/>
    <w:rsid w:val="00FA10BA"/>
    <w:rsid w:val="00FA290F"/>
    <w:rsid w:val="00FA2A96"/>
    <w:rsid w:val="00FA3C28"/>
    <w:rsid w:val="00FA4131"/>
    <w:rsid w:val="00FA4817"/>
    <w:rsid w:val="00FA6804"/>
    <w:rsid w:val="00FA6A30"/>
    <w:rsid w:val="00FB0101"/>
    <w:rsid w:val="00FB0433"/>
    <w:rsid w:val="00FB0506"/>
    <w:rsid w:val="00FB06BB"/>
    <w:rsid w:val="00FB0D67"/>
    <w:rsid w:val="00FB1256"/>
    <w:rsid w:val="00FB154A"/>
    <w:rsid w:val="00FB2621"/>
    <w:rsid w:val="00FB34DB"/>
    <w:rsid w:val="00FB3529"/>
    <w:rsid w:val="00FB3BD3"/>
    <w:rsid w:val="00FB46A6"/>
    <w:rsid w:val="00FB523E"/>
    <w:rsid w:val="00FB5243"/>
    <w:rsid w:val="00FB530B"/>
    <w:rsid w:val="00FB557E"/>
    <w:rsid w:val="00FB7A27"/>
    <w:rsid w:val="00FC2A6D"/>
    <w:rsid w:val="00FC2E82"/>
    <w:rsid w:val="00FC3AE9"/>
    <w:rsid w:val="00FC3D7F"/>
    <w:rsid w:val="00FC3E22"/>
    <w:rsid w:val="00FC462B"/>
    <w:rsid w:val="00FC61E3"/>
    <w:rsid w:val="00FC6221"/>
    <w:rsid w:val="00FC63D3"/>
    <w:rsid w:val="00FC710D"/>
    <w:rsid w:val="00FD0686"/>
    <w:rsid w:val="00FD0770"/>
    <w:rsid w:val="00FD0FEC"/>
    <w:rsid w:val="00FD12BD"/>
    <w:rsid w:val="00FD14EC"/>
    <w:rsid w:val="00FD2921"/>
    <w:rsid w:val="00FD37E4"/>
    <w:rsid w:val="00FD4906"/>
    <w:rsid w:val="00FD498E"/>
    <w:rsid w:val="00FD4C52"/>
    <w:rsid w:val="00FD5E34"/>
    <w:rsid w:val="00FD5F12"/>
    <w:rsid w:val="00FD6CC8"/>
    <w:rsid w:val="00FD7679"/>
    <w:rsid w:val="00FE016E"/>
    <w:rsid w:val="00FE02A2"/>
    <w:rsid w:val="00FE09AD"/>
    <w:rsid w:val="00FE1C88"/>
    <w:rsid w:val="00FE4B4E"/>
    <w:rsid w:val="00FE50B8"/>
    <w:rsid w:val="00FE59F4"/>
    <w:rsid w:val="00FE674A"/>
    <w:rsid w:val="00FE693C"/>
    <w:rsid w:val="00FE7003"/>
    <w:rsid w:val="00FE71E6"/>
    <w:rsid w:val="00FE7B44"/>
    <w:rsid w:val="00FE7FF7"/>
    <w:rsid w:val="00FF0673"/>
    <w:rsid w:val="00FF0E4D"/>
    <w:rsid w:val="00FF2A7B"/>
    <w:rsid w:val="00FF2B54"/>
    <w:rsid w:val="00FF3118"/>
    <w:rsid w:val="00FF510B"/>
    <w:rsid w:val="00FF5D29"/>
    <w:rsid w:val="00FF6568"/>
    <w:rsid w:val="00FF6D71"/>
    <w:rsid w:val="00FF7623"/>
    <w:rsid w:val="00FF76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style="mso-position-vertical-relative:page" o:allowincell="f" fill="f" fillcolor="white" stroke="f">
      <v:fill color="white" on="f"/>
      <v:stroke on="f"/>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0D46"/>
    <w:pPr>
      <w:spacing w:after="200"/>
    </w:pPr>
    <w:rPr>
      <w:sz w:val="22"/>
      <w:szCs w:val="22"/>
      <w:lang w:eastAsia="en-US"/>
    </w:rPr>
  </w:style>
  <w:style w:type="paragraph" w:styleId="Nadpis1">
    <w:name w:val="heading 1"/>
    <w:basedOn w:val="Normln"/>
    <w:next w:val="Normln"/>
    <w:link w:val="Nadpis1Char"/>
    <w:uiPriority w:val="9"/>
    <w:qFormat/>
    <w:rsid w:val="00CF5315"/>
    <w:pPr>
      <w:keepNext/>
      <w:keepLines/>
      <w:pageBreakBefore/>
      <w:numPr>
        <w:numId w:val="11"/>
      </w:numPr>
      <w:outlineLvl w:val="0"/>
    </w:pPr>
    <w:rPr>
      <w:rFonts w:ascii="Times New Roman" w:eastAsia="Times New Roman" w:hAnsi="Times New Roman"/>
      <w:b/>
      <w:bCs/>
      <w:color w:val="1F497D"/>
      <w:sz w:val="24"/>
      <w:szCs w:val="28"/>
    </w:rPr>
  </w:style>
  <w:style w:type="paragraph" w:styleId="Nadpis2">
    <w:name w:val="heading 2"/>
    <w:basedOn w:val="Normln"/>
    <w:next w:val="Normln"/>
    <w:link w:val="Nadpis2Char"/>
    <w:uiPriority w:val="9"/>
    <w:unhideWhenUsed/>
    <w:qFormat/>
    <w:rsid w:val="00D51E9C"/>
    <w:pPr>
      <w:keepNext/>
      <w:keepLines/>
      <w:numPr>
        <w:ilvl w:val="1"/>
        <w:numId w:val="11"/>
      </w:numPr>
      <w:spacing w:before="120" w:after="0"/>
      <w:outlineLvl w:val="1"/>
    </w:pPr>
    <w:rPr>
      <w:rFonts w:ascii="Cambria" w:eastAsia="Times New Roman" w:hAnsi="Cambria"/>
      <w:b/>
      <w:bCs/>
      <w:color w:val="9BBB59"/>
      <w:sz w:val="28"/>
      <w:szCs w:val="26"/>
    </w:rPr>
  </w:style>
  <w:style w:type="paragraph" w:styleId="Nadpis3">
    <w:name w:val="heading 3"/>
    <w:basedOn w:val="Normln"/>
    <w:next w:val="Normln"/>
    <w:link w:val="Nadpis3Char"/>
    <w:uiPriority w:val="9"/>
    <w:unhideWhenUsed/>
    <w:qFormat/>
    <w:rsid w:val="00D51E9C"/>
    <w:pPr>
      <w:keepNext/>
      <w:keepLines/>
      <w:numPr>
        <w:ilvl w:val="2"/>
        <w:numId w:val="11"/>
      </w:numPr>
      <w:spacing w:before="20" w:after="0"/>
      <w:outlineLvl w:val="2"/>
    </w:pPr>
    <w:rPr>
      <w:rFonts w:eastAsia="Times New Roman"/>
      <w:b/>
      <w:bCs/>
      <w:color w:val="1F497D"/>
      <w:sz w:val="24"/>
    </w:rPr>
  </w:style>
  <w:style w:type="paragraph" w:styleId="Nadpis4">
    <w:name w:val="heading 4"/>
    <w:basedOn w:val="Normln"/>
    <w:next w:val="Normln"/>
    <w:link w:val="Nadpis4Char"/>
    <w:uiPriority w:val="9"/>
    <w:unhideWhenUsed/>
    <w:qFormat/>
    <w:rsid w:val="00D51E9C"/>
    <w:pPr>
      <w:keepNext/>
      <w:keepLines/>
      <w:numPr>
        <w:ilvl w:val="3"/>
        <w:numId w:val="11"/>
      </w:numPr>
      <w:spacing w:before="200" w:after="0"/>
      <w:outlineLvl w:val="3"/>
    </w:pPr>
    <w:rPr>
      <w:rFonts w:ascii="Cambria" w:eastAsia="Times New Roman" w:hAnsi="Cambria"/>
      <w:b/>
      <w:bCs/>
      <w:i/>
      <w:iCs/>
      <w:color w:val="262626"/>
    </w:rPr>
  </w:style>
  <w:style w:type="paragraph" w:styleId="Nadpis5">
    <w:name w:val="heading 5"/>
    <w:basedOn w:val="Normln"/>
    <w:next w:val="Normln"/>
    <w:link w:val="Nadpis5Char"/>
    <w:uiPriority w:val="9"/>
    <w:semiHidden/>
    <w:unhideWhenUsed/>
    <w:qFormat/>
    <w:rsid w:val="00D51E9C"/>
    <w:pPr>
      <w:keepNext/>
      <w:keepLines/>
      <w:numPr>
        <w:ilvl w:val="4"/>
        <w:numId w:val="11"/>
      </w:numPr>
      <w:spacing w:before="200" w:after="0"/>
      <w:outlineLvl w:val="4"/>
    </w:pPr>
    <w:rPr>
      <w:rFonts w:ascii="Cambria" w:eastAsia="Times New Roman" w:hAnsi="Cambria"/>
      <w:color w:val="000000"/>
    </w:rPr>
  </w:style>
  <w:style w:type="paragraph" w:styleId="Nadpis6">
    <w:name w:val="heading 6"/>
    <w:basedOn w:val="Normln"/>
    <w:next w:val="Normln"/>
    <w:link w:val="Nadpis6Char"/>
    <w:uiPriority w:val="9"/>
    <w:semiHidden/>
    <w:unhideWhenUsed/>
    <w:qFormat/>
    <w:rsid w:val="00D51E9C"/>
    <w:pPr>
      <w:keepNext/>
      <w:keepLines/>
      <w:numPr>
        <w:ilvl w:val="5"/>
        <w:numId w:val="11"/>
      </w:numPr>
      <w:spacing w:before="200" w:after="0"/>
      <w:outlineLvl w:val="5"/>
    </w:pPr>
    <w:rPr>
      <w:rFonts w:ascii="Cambria" w:eastAsia="Times New Roman" w:hAnsi="Cambria"/>
      <w:i/>
      <w:iCs/>
      <w:color w:val="000000"/>
    </w:rPr>
  </w:style>
  <w:style w:type="paragraph" w:styleId="Nadpis7">
    <w:name w:val="heading 7"/>
    <w:basedOn w:val="Normln"/>
    <w:next w:val="Normln"/>
    <w:link w:val="Nadpis7Char"/>
    <w:uiPriority w:val="9"/>
    <w:semiHidden/>
    <w:unhideWhenUsed/>
    <w:qFormat/>
    <w:rsid w:val="00D51E9C"/>
    <w:pPr>
      <w:keepNext/>
      <w:keepLines/>
      <w:numPr>
        <w:ilvl w:val="6"/>
        <w:numId w:val="11"/>
      </w:numPr>
      <w:spacing w:before="200" w:after="0"/>
      <w:outlineLvl w:val="6"/>
    </w:pPr>
    <w:rPr>
      <w:rFonts w:ascii="Cambria" w:eastAsia="Times New Roman" w:hAnsi="Cambria"/>
      <w:i/>
      <w:iCs/>
      <w:color w:val="1F497D"/>
    </w:rPr>
  </w:style>
  <w:style w:type="paragraph" w:styleId="Nadpis8">
    <w:name w:val="heading 8"/>
    <w:basedOn w:val="Normln"/>
    <w:next w:val="Normln"/>
    <w:link w:val="Nadpis8Char"/>
    <w:uiPriority w:val="9"/>
    <w:semiHidden/>
    <w:unhideWhenUsed/>
    <w:qFormat/>
    <w:rsid w:val="00D51E9C"/>
    <w:pPr>
      <w:keepNext/>
      <w:keepLines/>
      <w:numPr>
        <w:ilvl w:val="7"/>
        <w:numId w:val="11"/>
      </w:numPr>
      <w:spacing w:before="200" w:after="0"/>
      <w:outlineLvl w:val="7"/>
    </w:pPr>
    <w:rPr>
      <w:rFonts w:ascii="Cambria" w:eastAsia="Times New Roman" w:hAnsi="Cambria"/>
      <w:color w:val="000000"/>
      <w:sz w:val="20"/>
      <w:szCs w:val="20"/>
    </w:rPr>
  </w:style>
  <w:style w:type="paragraph" w:styleId="Nadpis9">
    <w:name w:val="heading 9"/>
    <w:basedOn w:val="Normln"/>
    <w:next w:val="Normln"/>
    <w:link w:val="Nadpis9Char"/>
    <w:uiPriority w:val="9"/>
    <w:semiHidden/>
    <w:unhideWhenUsed/>
    <w:qFormat/>
    <w:rsid w:val="00D51E9C"/>
    <w:pPr>
      <w:keepNext/>
      <w:keepLines/>
      <w:numPr>
        <w:ilvl w:val="8"/>
        <w:numId w:val="11"/>
      </w:numPr>
      <w:spacing w:before="200" w:after="0"/>
      <w:outlineLvl w:val="8"/>
    </w:pPr>
    <w:rPr>
      <w:rFonts w:ascii="Cambria" w:eastAsia="Times New Roman" w:hAnsi="Cambria"/>
      <w:i/>
      <w:iCs/>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CF5315"/>
    <w:rPr>
      <w:rFonts w:ascii="Times New Roman" w:eastAsia="Times New Roman" w:hAnsi="Times New Roman"/>
      <w:b/>
      <w:bCs/>
      <w:color w:val="1F497D"/>
      <w:sz w:val="24"/>
      <w:szCs w:val="28"/>
      <w:lang w:eastAsia="en-US"/>
    </w:rPr>
  </w:style>
  <w:style w:type="character" w:customStyle="1" w:styleId="Nadpis2Char">
    <w:name w:val="Nadpis 2 Char"/>
    <w:link w:val="Nadpis2"/>
    <w:uiPriority w:val="9"/>
    <w:rsid w:val="00D51E9C"/>
    <w:rPr>
      <w:rFonts w:ascii="Cambria" w:eastAsia="Times New Roman" w:hAnsi="Cambria"/>
      <w:b/>
      <w:bCs/>
      <w:color w:val="9BBB59"/>
      <w:sz w:val="28"/>
      <w:szCs w:val="26"/>
      <w:lang w:eastAsia="en-US"/>
    </w:rPr>
  </w:style>
  <w:style w:type="character" w:customStyle="1" w:styleId="Nadpis3Char">
    <w:name w:val="Nadpis 3 Char"/>
    <w:link w:val="Nadpis3"/>
    <w:uiPriority w:val="9"/>
    <w:rsid w:val="00D51E9C"/>
    <w:rPr>
      <w:rFonts w:eastAsia="Times New Roman"/>
      <w:b/>
      <w:bCs/>
      <w:color w:val="1F497D"/>
      <w:sz w:val="24"/>
      <w:szCs w:val="22"/>
      <w:lang w:eastAsia="en-US"/>
    </w:rPr>
  </w:style>
  <w:style w:type="character" w:customStyle="1" w:styleId="Nadpis4Char">
    <w:name w:val="Nadpis 4 Char"/>
    <w:link w:val="Nadpis4"/>
    <w:uiPriority w:val="9"/>
    <w:rsid w:val="00D51E9C"/>
    <w:rPr>
      <w:rFonts w:ascii="Cambria" w:eastAsia="Times New Roman" w:hAnsi="Cambria"/>
      <w:b/>
      <w:bCs/>
      <w:i/>
      <w:iCs/>
      <w:color w:val="262626"/>
      <w:sz w:val="22"/>
      <w:szCs w:val="22"/>
      <w:lang w:eastAsia="en-US"/>
    </w:rPr>
  </w:style>
  <w:style w:type="character" w:customStyle="1" w:styleId="Nadpis5Char">
    <w:name w:val="Nadpis 5 Char"/>
    <w:link w:val="Nadpis5"/>
    <w:uiPriority w:val="9"/>
    <w:semiHidden/>
    <w:rsid w:val="00D51E9C"/>
    <w:rPr>
      <w:rFonts w:ascii="Cambria" w:eastAsia="Times New Roman" w:hAnsi="Cambria"/>
      <w:color w:val="000000"/>
      <w:sz w:val="22"/>
      <w:szCs w:val="22"/>
      <w:lang w:eastAsia="en-US"/>
    </w:rPr>
  </w:style>
  <w:style w:type="character" w:customStyle="1" w:styleId="Nadpis6Char">
    <w:name w:val="Nadpis 6 Char"/>
    <w:link w:val="Nadpis6"/>
    <w:uiPriority w:val="9"/>
    <w:semiHidden/>
    <w:rsid w:val="00D51E9C"/>
    <w:rPr>
      <w:rFonts w:ascii="Cambria" w:eastAsia="Times New Roman" w:hAnsi="Cambria"/>
      <w:i/>
      <w:iCs/>
      <w:color w:val="000000"/>
      <w:sz w:val="22"/>
      <w:szCs w:val="22"/>
      <w:lang w:eastAsia="en-US"/>
    </w:rPr>
  </w:style>
  <w:style w:type="character" w:customStyle="1" w:styleId="Nadpis7Char">
    <w:name w:val="Nadpis 7 Char"/>
    <w:link w:val="Nadpis7"/>
    <w:uiPriority w:val="9"/>
    <w:semiHidden/>
    <w:rsid w:val="00D51E9C"/>
    <w:rPr>
      <w:rFonts w:ascii="Cambria" w:eastAsia="Times New Roman" w:hAnsi="Cambria"/>
      <w:i/>
      <w:iCs/>
      <w:color w:val="1F497D"/>
      <w:sz w:val="22"/>
      <w:szCs w:val="22"/>
      <w:lang w:eastAsia="en-US"/>
    </w:rPr>
  </w:style>
  <w:style w:type="character" w:customStyle="1" w:styleId="Nadpis8Char">
    <w:name w:val="Nadpis 8 Char"/>
    <w:link w:val="Nadpis8"/>
    <w:uiPriority w:val="9"/>
    <w:semiHidden/>
    <w:rsid w:val="00D51E9C"/>
    <w:rPr>
      <w:rFonts w:ascii="Cambria" w:eastAsia="Times New Roman" w:hAnsi="Cambria"/>
      <w:color w:val="000000"/>
      <w:lang w:eastAsia="en-US"/>
    </w:rPr>
  </w:style>
  <w:style w:type="character" w:customStyle="1" w:styleId="Nadpis9Char">
    <w:name w:val="Nadpis 9 Char"/>
    <w:link w:val="Nadpis9"/>
    <w:uiPriority w:val="9"/>
    <w:semiHidden/>
    <w:rsid w:val="00D51E9C"/>
    <w:rPr>
      <w:rFonts w:ascii="Cambria" w:eastAsia="Times New Roman" w:hAnsi="Cambria"/>
      <w:i/>
      <w:iCs/>
      <w:color w:val="000000"/>
      <w:lang w:eastAsia="en-US"/>
    </w:rPr>
  </w:style>
  <w:style w:type="paragraph" w:styleId="Odstavecseseznamem">
    <w:name w:val="List Paragraph"/>
    <w:basedOn w:val="Normln"/>
    <w:uiPriority w:val="34"/>
    <w:qFormat/>
    <w:rsid w:val="00D51E9C"/>
    <w:pPr>
      <w:ind w:left="720" w:hanging="288"/>
      <w:contextualSpacing/>
    </w:pPr>
    <w:rPr>
      <w:color w:val="1F497D"/>
    </w:rPr>
  </w:style>
  <w:style w:type="character" w:styleId="Odkaznakoment">
    <w:name w:val="annotation reference"/>
    <w:uiPriority w:val="99"/>
    <w:semiHidden/>
    <w:unhideWhenUsed/>
    <w:rsid w:val="0079608F"/>
    <w:rPr>
      <w:sz w:val="16"/>
      <w:szCs w:val="16"/>
    </w:rPr>
  </w:style>
  <w:style w:type="paragraph" w:styleId="Textkomente">
    <w:name w:val="annotation text"/>
    <w:basedOn w:val="Normln"/>
    <w:link w:val="TextkomenteChar"/>
    <w:uiPriority w:val="99"/>
    <w:unhideWhenUsed/>
    <w:rsid w:val="0079608F"/>
    <w:rPr>
      <w:sz w:val="20"/>
      <w:szCs w:val="20"/>
    </w:rPr>
  </w:style>
  <w:style w:type="character" w:customStyle="1" w:styleId="TextkomenteChar">
    <w:name w:val="Text komentáře Char"/>
    <w:link w:val="Textkomente"/>
    <w:uiPriority w:val="99"/>
    <w:rsid w:val="0079608F"/>
    <w:rPr>
      <w:sz w:val="20"/>
      <w:szCs w:val="20"/>
    </w:rPr>
  </w:style>
  <w:style w:type="paragraph" w:styleId="Pedmtkomente">
    <w:name w:val="annotation subject"/>
    <w:basedOn w:val="Textkomente"/>
    <w:next w:val="Textkomente"/>
    <w:link w:val="PedmtkomenteChar"/>
    <w:uiPriority w:val="99"/>
    <w:semiHidden/>
    <w:unhideWhenUsed/>
    <w:rsid w:val="0079608F"/>
    <w:rPr>
      <w:b/>
      <w:bCs/>
    </w:rPr>
  </w:style>
  <w:style w:type="character" w:customStyle="1" w:styleId="PedmtkomenteChar">
    <w:name w:val="Předmět komentáře Char"/>
    <w:link w:val="Pedmtkomente"/>
    <w:uiPriority w:val="99"/>
    <w:semiHidden/>
    <w:rsid w:val="0079608F"/>
    <w:rPr>
      <w:b/>
      <w:bCs/>
      <w:sz w:val="20"/>
      <w:szCs w:val="20"/>
    </w:rPr>
  </w:style>
  <w:style w:type="paragraph" w:styleId="Textbubliny">
    <w:name w:val="Balloon Text"/>
    <w:basedOn w:val="Normln"/>
    <w:link w:val="TextbublinyChar"/>
    <w:uiPriority w:val="99"/>
    <w:semiHidden/>
    <w:unhideWhenUsed/>
    <w:rsid w:val="0079608F"/>
    <w:pPr>
      <w:spacing w:after="0"/>
    </w:pPr>
    <w:rPr>
      <w:rFonts w:ascii="Tahoma" w:hAnsi="Tahoma" w:cs="Tahoma"/>
      <w:sz w:val="16"/>
      <w:szCs w:val="16"/>
    </w:rPr>
  </w:style>
  <w:style w:type="character" w:customStyle="1" w:styleId="TextbublinyChar">
    <w:name w:val="Text bubliny Char"/>
    <w:link w:val="Textbubliny"/>
    <w:uiPriority w:val="99"/>
    <w:semiHidden/>
    <w:rsid w:val="0079608F"/>
    <w:rPr>
      <w:rFonts w:ascii="Tahoma" w:hAnsi="Tahoma" w:cs="Tahoma"/>
      <w:sz w:val="16"/>
      <w:szCs w:val="16"/>
    </w:rPr>
  </w:style>
  <w:style w:type="paragraph" w:styleId="Textvysvtlivek">
    <w:name w:val="endnote text"/>
    <w:basedOn w:val="Normln"/>
    <w:link w:val="TextvysvtlivekChar"/>
    <w:uiPriority w:val="99"/>
    <w:semiHidden/>
    <w:unhideWhenUsed/>
    <w:rsid w:val="007A7C58"/>
    <w:pPr>
      <w:spacing w:after="0"/>
    </w:pPr>
    <w:rPr>
      <w:sz w:val="20"/>
      <w:szCs w:val="20"/>
    </w:rPr>
  </w:style>
  <w:style w:type="character" w:customStyle="1" w:styleId="TextvysvtlivekChar">
    <w:name w:val="Text vysvětlivek Char"/>
    <w:link w:val="Textvysvtlivek"/>
    <w:uiPriority w:val="99"/>
    <w:semiHidden/>
    <w:rsid w:val="007A7C58"/>
    <w:rPr>
      <w:sz w:val="20"/>
      <w:szCs w:val="20"/>
    </w:rPr>
  </w:style>
  <w:style w:type="character" w:styleId="Odkaznavysvtlivky">
    <w:name w:val="endnote reference"/>
    <w:uiPriority w:val="99"/>
    <w:semiHidden/>
    <w:unhideWhenUsed/>
    <w:rsid w:val="007A7C58"/>
    <w:rPr>
      <w:vertAlign w:val="superscript"/>
    </w:rPr>
  </w:style>
  <w:style w:type="paragraph" w:styleId="Textpoznpodarou">
    <w:name w:val="footnote text"/>
    <w:basedOn w:val="Normln"/>
    <w:link w:val="TextpoznpodarouChar"/>
    <w:uiPriority w:val="99"/>
    <w:semiHidden/>
    <w:unhideWhenUsed/>
    <w:rsid w:val="007A7C58"/>
    <w:pPr>
      <w:spacing w:after="0"/>
    </w:pPr>
    <w:rPr>
      <w:sz w:val="20"/>
      <w:szCs w:val="20"/>
    </w:rPr>
  </w:style>
  <w:style w:type="character" w:customStyle="1" w:styleId="TextpoznpodarouChar">
    <w:name w:val="Text pozn. pod čarou Char"/>
    <w:link w:val="Textpoznpodarou"/>
    <w:uiPriority w:val="99"/>
    <w:semiHidden/>
    <w:rsid w:val="007A7C58"/>
    <w:rPr>
      <w:sz w:val="20"/>
      <w:szCs w:val="20"/>
    </w:rPr>
  </w:style>
  <w:style w:type="character" w:styleId="Znakapoznpodarou">
    <w:name w:val="footnote reference"/>
    <w:uiPriority w:val="99"/>
    <w:semiHidden/>
    <w:unhideWhenUsed/>
    <w:rsid w:val="007A7C58"/>
    <w:rPr>
      <w:vertAlign w:val="superscript"/>
    </w:rPr>
  </w:style>
  <w:style w:type="paragraph" w:styleId="Normlnweb">
    <w:name w:val="Normal (Web)"/>
    <w:basedOn w:val="Normln"/>
    <w:uiPriority w:val="99"/>
    <w:unhideWhenUsed/>
    <w:rsid w:val="00F63007"/>
    <w:pPr>
      <w:spacing w:before="100" w:beforeAutospacing="1" w:after="100" w:afterAutospacing="1"/>
    </w:pPr>
    <w:rPr>
      <w:rFonts w:ascii="Times New Roman" w:eastAsia="Times New Roman" w:hAnsi="Times New Roman"/>
      <w:sz w:val="24"/>
      <w:szCs w:val="24"/>
      <w:lang w:eastAsia="cs-CZ"/>
    </w:rPr>
  </w:style>
  <w:style w:type="character" w:styleId="Zvraznn">
    <w:name w:val="Emphasis"/>
    <w:uiPriority w:val="20"/>
    <w:qFormat/>
    <w:rsid w:val="00D51E9C"/>
    <w:rPr>
      <w:b w:val="0"/>
      <w:i/>
      <w:iCs/>
      <w:color w:val="1F497D"/>
    </w:rPr>
  </w:style>
  <w:style w:type="paragraph" w:styleId="Zhlav">
    <w:name w:val="header"/>
    <w:basedOn w:val="Normln"/>
    <w:link w:val="ZhlavChar"/>
    <w:uiPriority w:val="99"/>
    <w:unhideWhenUsed/>
    <w:rsid w:val="00264D07"/>
    <w:pPr>
      <w:tabs>
        <w:tab w:val="center" w:pos="4536"/>
        <w:tab w:val="right" w:pos="9072"/>
      </w:tabs>
      <w:spacing w:after="0"/>
    </w:pPr>
  </w:style>
  <w:style w:type="character" w:customStyle="1" w:styleId="ZhlavChar">
    <w:name w:val="Záhlaví Char"/>
    <w:basedOn w:val="Standardnpsmoodstavce"/>
    <w:link w:val="Zhlav"/>
    <w:uiPriority w:val="99"/>
    <w:rsid w:val="00264D07"/>
  </w:style>
  <w:style w:type="paragraph" w:styleId="Zpat">
    <w:name w:val="footer"/>
    <w:basedOn w:val="Normln"/>
    <w:link w:val="ZpatChar"/>
    <w:uiPriority w:val="99"/>
    <w:unhideWhenUsed/>
    <w:rsid w:val="00264D07"/>
    <w:pPr>
      <w:tabs>
        <w:tab w:val="center" w:pos="4536"/>
        <w:tab w:val="right" w:pos="9072"/>
      </w:tabs>
      <w:spacing w:after="0"/>
    </w:pPr>
  </w:style>
  <w:style w:type="character" w:customStyle="1" w:styleId="ZpatChar">
    <w:name w:val="Zápatí Char"/>
    <w:basedOn w:val="Standardnpsmoodstavce"/>
    <w:link w:val="Zpat"/>
    <w:uiPriority w:val="99"/>
    <w:rsid w:val="00264D07"/>
  </w:style>
  <w:style w:type="character" w:styleId="Siln">
    <w:name w:val="Strong"/>
    <w:uiPriority w:val="22"/>
    <w:qFormat/>
    <w:rsid w:val="00D51E9C"/>
    <w:rPr>
      <w:b/>
      <w:bCs/>
      <w:color w:val="265898"/>
    </w:rPr>
  </w:style>
  <w:style w:type="character" w:styleId="Hypertextovodkaz">
    <w:name w:val="Hyperlink"/>
    <w:uiPriority w:val="99"/>
    <w:unhideWhenUsed/>
    <w:rsid w:val="009F71F5"/>
    <w:rPr>
      <w:color w:val="0000FF"/>
      <w:u w:val="single"/>
    </w:rPr>
  </w:style>
  <w:style w:type="table" w:styleId="Mkatabulky">
    <w:name w:val="Table Grid"/>
    <w:basedOn w:val="Normlntabulka"/>
    <w:uiPriority w:val="59"/>
    <w:rsid w:val="00790C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semiHidden/>
    <w:unhideWhenUsed/>
    <w:qFormat/>
    <w:rsid w:val="00D51E9C"/>
    <w:rPr>
      <w:rFonts w:eastAsia="Times New Roman"/>
      <w:b/>
      <w:bCs/>
      <w:smallCaps/>
      <w:color w:val="1F497D"/>
      <w:spacing w:val="6"/>
      <w:szCs w:val="18"/>
      <w:lang w:bidi="hi-IN"/>
    </w:rPr>
  </w:style>
  <w:style w:type="paragraph" w:styleId="Nzev">
    <w:name w:val="Title"/>
    <w:basedOn w:val="Normln"/>
    <w:next w:val="Normln"/>
    <w:link w:val="NzevChar"/>
    <w:uiPriority w:val="10"/>
    <w:qFormat/>
    <w:rsid w:val="00D51E9C"/>
    <w:pPr>
      <w:spacing w:after="120"/>
      <w:contextualSpacing/>
    </w:pPr>
    <w:rPr>
      <w:rFonts w:ascii="Cambria" w:eastAsia="Times New Roman" w:hAnsi="Cambria"/>
      <w:color w:val="1F497D"/>
      <w:spacing w:val="30"/>
      <w:kern w:val="28"/>
      <w:sz w:val="72"/>
      <w:szCs w:val="52"/>
    </w:rPr>
  </w:style>
  <w:style w:type="character" w:customStyle="1" w:styleId="NzevChar">
    <w:name w:val="Název Char"/>
    <w:link w:val="Nzev"/>
    <w:uiPriority w:val="10"/>
    <w:rsid w:val="00D51E9C"/>
    <w:rPr>
      <w:rFonts w:ascii="Cambria" w:eastAsia="Times New Roman" w:hAnsi="Cambria" w:cs="Times New Roman"/>
      <w:color w:val="1F497D"/>
      <w:spacing w:val="30"/>
      <w:kern w:val="28"/>
      <w:sz w:val="72"/>
      <w:szCs w:val="52"/>
    </w:rPr>
  </w:style>
  <w:style w:type="paragraph" w:styleId="Podtitul">
    <w:name w:val="Subtitle"/>
    <w:basedOn w:val="Normln"/>
    <w:next w:val="Normln"/>
    <w:link w:val="PodtitulChar"/>
    <w:uiPriority w:val="11"/>
    <w:qFormat/>
    <w:rsid w:val="00D51E9C"/>
    <w:pPr>
      <w:numPr>
        <w:ilvl w:val="1"/>
      </w:numPr>
    </w:pPr>
    <w:rPr>
      <w:rFonts w:eastAsia="Times New Roman"/>
      <w:iCs/>
      <w:color w:val="265898"/>
      <w:sz w:val="32"/>
      <w:szCs w:val="24"/>
      <w:lang w:bidi="hi-IN"/>
    </w:rPr>
  </w:style>
  <w:style w:type="character" w:customStyle="1" w:styleId="PodtitulChar">
    <w:name w:val="Podtitul Char"/>
    <w:link w:val="Podtitul"/>
    <w:uiPriority w:val="11"/>
    <w:rsid w:val="00D51E9C"/>
    <w:rPr>
      <w:rFonts w:eastAsia="Times New Roman" w:cs="Times New Roman"/>
      <w:iCs/>
      <w:color w:val="265898"/>
      <w:sz w:val="32"/>
      <w:szCs w:val="24"/>
      <w:lang w:bidi="hi-IN"/>
    </w:rPr>
  </w:style>
  <w:style w:type="paragraph" w:styleId="Bezmezer">
    <w:name w:val="No Spacing"/>
    <w:link w:val="BezmezerChar"/>
    <w:uiPriority w:val="1"/>
    <w:qFormat/>
    <w:rsid w:val="00D51E9C"/>
    <w:rPr>
      <w:sz w:val="22"/>
      <w:szCs w:val="22"/>
      <w:lang w:eastAsia="en-US"/>
    </w:rPr>
  </w:style>
  <w:style w:type="character" w:customStyle="1" w:styleId="BezmezerChar">
    <w:name w:val="Bez mezer Char"/>
    <w:basedOn w:val="Standardnpsmoodstavce"/>
    <w:link w:val="Bezmezer"/>
    <w:uiPriority w:val="1"/>
    <w:rsid w:val="00D51E9C"/>
  </w:style>
  <w:style w:type="paragraph" w:styleId="Citt">
    <w:name w:val="Quote"/>
    <w:basedOn w:val="Normln"/>
    <w:next w:val="Normln"/>
    <w:link w:val="CittChar"/>
    <w:uiPriority w:val="29"/>
    <w:qFormat/>
    <w:rsid w:val="00D51E9C"/>
    <w:pPr>
      <w:pBdr>
        <w:left w:val="single" w:sz="48" w:space="13" w:color="4F81BD"/>
      </w:pBdr>
      <w:spacing w:after="0" w:line="360" w:lineRule="auto"/>
    </w:pPr>
    <w:rPr>
      <w:rFonts w:ascii="Cambria" w:eastAsia="Times New Roman" w:hAnsi="Cambria"/>
      <w:b/>
      <w:i/>
      <w:iCs/>
      <w:color w:val="4F81BD"/>
      <w:sz w:val="24"/>
      <w:lang w:bidi="hi-IN"/>
    </w:rPr>
  </w:style>
  <w:style w:type="character" w:customStyle="1" w:styleId="CittChar">
    <w:name w:val="Citát Char"/>
    <w:link w:val="Citt"/>
    <w:uiPriority w:val="29"/>
    <w:rsid w:val="00D51E9C"/>
    <w:rPr>
      <w:rFonts w:ascii="Cambria" w:eastAsia="Times New Roman" w:hAnsi="Cambria"/>
      <w:b/>
      <w:i/>
      <w:iCs/>
      <w:color w:val="4F81BD"/>
      <w:sz w:val="24"/>
      <w:lang w:bidi="hi-IN"/>
    </w:rPr>
  </w:style>
  <w:style w:type="paragraph" w:styleId="Vrazncitt">
    <w:name w:val="Intense Quote"/>
    <w:basedOn w:val="Normln"/>
    <w:next w:val="Normln"/>
    <w:link w:val="VrazncittChar"/>
    <w:uiPriority w:val="30"/>
    <w:qFormat/>
    <w:rsid w:val="00D51E9C"/>
    <w:pPr>
      <w:pBdr>
        <w:left w:val="single" w:sz="48" w:space="13" w:color="C0504D"/>
      </w:pBdr>
      <w:spacing w:before="240" w:after="120" w:line="300" w:lineRule="auto"/>
    </w:pPr>
    <w:rPr>
      <w:rFonts w:eastAsia="Times New Roman"/>
      <w:b/>
      <w:bCs/>
      <w:i/>
      <w:iCs/>
      <w:color w:val="C0504D"/>
      <w:sz w:val="26"/>
      <w:lang w:bidi="hi-IN"/>
    </w:rPr>
  </w:style>
  <w:style w:type="character" w:customStyle="1" w:styleId="VrazncittChar">
    <w:name w:val="Výrazný citát Char"/>
    <w:link w:val="Vrazncitt"/>
    <w:uiPriority w:val="30"/>
    <w:rsid w:val="00D51E9C"/>
    <w:rPr>
      <w:rFonts w:eastAsia="Times New Roman"/>
      <w:b/>
      <w:bCs/>
      <w:i/>
      <w:iCs/>
      <w:color w:val="C0504D"/>
      <w:sz w:val="26"/>
      <w:lang w:bidi="hi-IN"/>
    </w:rPr>
  </w:style>
  <w:style w:type="character" w:styleId="Zdraznnjemn">
    <w:name w:val="Subtle Emphasis"/>
    <w:uiPriority w:val="19"/>
    <w:qFormat/>
    <w:rsid w:val="00D51E9C"/>
    <w:rPr>
      <w:i/>
      <w:iCs/>
      <w:color w:val="000000"/>
    </w:rPr>
  </w:style>
  <w:style w:type="character" w:styleId="Zdraznnintenzivn">
    <w:name w:val="Intense Emphasis"/>
    <w:uiPriority w:val="21"/>
    <w:qFormat/>
    <w:rsid w:val="00D51E9C"/>
    <w:rPr>
      <w:b/>
      <w:bCs/>
      <w:i/>
      <w:iCs/>
      <w:color w:val="1F497D"/>
    </w:rPr>
  </w:style>
  <w:style w:type="character" w:styleId="Odkazjemn">
    <w:name w:val="Subtle Reference"/>
    <w:uiPriority w:val="31"/>
    <w:qFormat/>
    <w:rsid w:val="00D51E9C"/>
    <w:rPr>
      <w:smallCaps/>
      <w:color w:val="000000"/>
      <w:u w:val="single"/>
    </w:rPr>
  </w:style>
  <w:style w:type="character" w:styleId="Odkazintenzivn">
    <w:name w:val="Intense Reference"/>
    <w:uiPriority w:val="32"/>
    <w:qFormat/>
    <w:rsid w:val="00D51E9C"/>
    <w:rPr>
      <w:rFonts w:ascii="Calibri" w:hAnsi="Calibri"/>
      <w:b/>
      <w:bCs/>
      <w:smallCaps/>
      <w:color w:val="1F497D"/>
      <w:spacing w:val="5"/>
      <w:sz w:val="22"/>
      <w:u w:val="single"/>
    </w:rPr>
  </w:style>
  <w:style w:type="character" w:styleId="Nzevknihy">
    <w:name w:val="Book Title"/>
    <w:uiPriority w:val="33"/>
    <w:qFormat/>
    <w:rsid w:val="00D51E9C"/>
    <w:rPr>
      <w:rFonts w:ascii="Cambria" w:hAnsi="Cambria"/>
      <w:b/>
      <w:bCs/>
      <w:caps w:val="0"/>
      <w:smallCaps/>
      <w:color w:val="1F497D"/>
      <w:spacing w:val="10"/>
      <w:sz w:val="22"/>
    </w:rPr>
  </w:style>
  <w:style w:type="paragraph" w:styleId="Nadpisobsahu">
    <w:name w:val="TOC Heading"/>
    <w:basedOn w:val="Nadpis1"/>
    <w:next w:val="Normln"/>
    <w:uiPriority w:val="39"/>
    <w:semiHidden/>
    <w:unhideWhenUsed/>
    <w:qFormat/>
    <w:rsid w:val="00D51E9C"/>
    <w:pPr>
      <w:spacing w:before="480" w:line="264" w:lineRule="auto"/>
      <w:outlineLvl w:val="9"/>
    </w:pPr>
    <w:rPr>
      <w:b w:val="0"/>
    </w:rPr>
  </w:style>
  <w:style w:type="character" w:customStyle="1" w:styleId="datum">
    <w:name w:val="datum"/>
    <w:basedOn w:val="Standardnpsmoodstavce"/>
    <w:rsid w:val="000C5B78"/>
  </w:style>
  <w:style w:type="paragraph" w:customStyle="1" w:styleId="Popisky">
    <w:name w:val="Popisky"/>
    <w:basedOn w:val="Normln"/>
    <w:rsid w:val="00261750"/>
    <w:pPr>
      <w:spacing w:after="0"/>
    </w:pPr>
    <w:rPr>
      <w:rFonts w:ascii="Arial" w:hAnsi="Arial" w:cs="Arial"/>
      <w:sz w:val="20"/>
      <w:szCs w:val="20"/>
      <w:lang w:eastAsia="cs-CZ"/>
    </w:rPr>
  </w:style>
  <w:style w:type="paragraph" w:customStyle="1" w:styleId="popisky0">
    <w:name w:val="popisky"/>
    <w:basedOn w:val="Normln"/>
    <w:rsid w:val="007E170E"/>
    <w:pPr>
      <w:spacing w:after="0"/>
    </w:pPr>
    <w:rPr>
      <w:rFonts w:ascii="Times New Roman" w:eastAsia="Times New Roman" w:hAnsi="Times New Roman"/>
      <w:sz w:val="24"/>
      <w:szCs w:val="24"/>
      <w:lang w:eastAsia="cs-CZ"/>
    </w:rPr>
  </w:style>
  <w:style w:type="paragraph" w:styleId="Zkladntext">
    <w:name w:val="Body Text"/>
    <w:basedOn w:val="Normln"/>
    <w:link w:val="ZkladntextChar"/>
    <w:rsid w:val="0046301A"/>
    <w:pPr>
      <w:spacing w:after="0"/>
      <w:jc w:val="both"/>
    </w:pPr>
    <w:rPr>
      <w:rFonts w:ascii="Times New Roman" w:eastAsia="Times New Roman" w:hAnsi="Times New Roman"/>
      <w:sz w:val="24"/>
      <w:szCs w:val="24"/>
      <w:lang w:eastAsia="cs-CZ"/>
    </w:rPr>
  </w:style>
  <w:style w:type="character" w:customStyle="1" w:styleId="ZkladntextChar">
    <w:name w:val="Základní text Char"/>
    <w:link w:val="Zkladntext"/>
    <w:rsid w:val="0046301A"/>
    <w:rPr>
      <w:rFonts w:ascii="Times New Roman" w:eastAsia="Times New Roman" w:hAnsi="Times New Roman" w:cs="Times New Roman"/>
      <w:sz w:val="24"/>
      <w:szCs w:val="24"/>
      <w:lang w:eastAsia="cs-CZ"/>
    </w:rPr>
  </w:style>
  <w:style w:type="paragraph" w:customStyle="1" w:styleId="Bntextzprvy">
    <w:name w:val="Běžný text zprávy"/>
    <w:basedOn w:val="Normln"/>
    <w:link w:val="BntextzprvyChar"/>
    <w:qFormat/>
    <w:rsid w:val="007C0D46"/>
    <w:pPr>
      <w:spacing w:before="200"/>
      <w:jc w:val="both"/>
    </w:pPr>
    <w:rPr>
      <w:rFonts w:ascii="Arial" w:eastAsia="Times New Roman" w:hAnsi="Arial"/>
      <w:szCs w:val="24"/>
      <w:lang w:eastAsia="cs-CZ"/>
    </w:rPr>
  </w:style>
  <w:style w:type="character" w:customStyle="1" w:styleId="BntextzprvyChar">
    <w:name w:val="Běžný text zprávy Char"/>
    <w:link w:val="Bntextzprvy"/>
    <w:rsid w:val="007C0D46"/>
    <w:rPr>
      <w:rFonts w:ascii="Arial" w:eastAsia="Times New Roman" w:hAnsi="Arial"/>
      <w:sz w:val="22"/>
      <w:szCs w:val="24"/>
    </w:rPr>
  </w:style>
  <w:style w:type="paragraph" w:styleId="Obsah1">
    <w:name w:val="toc 1"/>
    <w:basedOn w:val="Normln"/>
    <w:next w:val="Normln"/>
    <w:autoRedefine/>
    <w:uiPriority w:val="39"/>
    <w:unhideWhenUsed/>
    <w:rsid w:val="004D59B5"/>
    <w:pPr>
      <w:tabs>
        <w:tab w:val="left" w:pos="9356"/>
      </w:tabs>
      <w:spacing w:before="60" w:after="60"/>
      <w:ind w:left="1276" w:right="566" w:hanging="1276"/>
      <w:jc w:val="both"/>
    </w:pPr>
    <w:rPr>
      <w:rFonts w:ascii="Arial" w:hAnsi="Arial" w:cs="Arial"/>
      <w:b/>
      <w:noProof/>
    </w:rPr>
  </w:style>
  <w:style w:type="paragraph" w:customStyle="1" w:styleId="Bnuvozovacodstavec">
    <w:name w:val="Běžný uvozovací odstavec"/>
    <w:basedOn w:val="Normln"/>
    <w:link w:val="BnuvozovacodstavecChar"/>
    <w:qFormat/>
    <w:rsid w:val="00F407AB"/>
    <w:pPr>
      <w:spacing w:before="200" w:after="0"/>
      <w:jc w:val="both"/>
    </w:pPr>
    <w:rPr>
      <w:rFonts w:ascii="Arial" w:eastAsia="Times New Roman" w:hAnsi="Arial"/>
      <w:bCs/>
      <w:szCs w:val="24"/>
      <w:lang w:eastAsia="cs-CZ"/>
    </w:rPr>
  </w:style>
  <w:style w:type="character" w:customStyle="1" w:styleId="BnuvozovacodstavecChar">
    <w:name w:val="Běžný uvozovací odstavec Char"/>
    <w:link w:val="Bnuvozovacodstavec"/>
    <w:rsid w:val="00F407AB"/>
    <w:rPr>
      <w:rFonts w:ascii="Arial" w:eastAsia="Times New Roman" w:hAnsi="Arial"/>
      <w:bCs/>
      <w:sz w:val="22"/>
      <w:szCs w:val="24"/>
    </w:rPr>
  </w:style>
  <w:style w:type="paragraph" w:customStyle="1" w:styleId="Mezinadpis">
    <w:name w:val="Mezinadpis"/>
    <w:basedOn w:val="Normln"/>
    <w:link w:val="MezinadpisChar"/>
    <w:qFormat/>
    <w:rsid w:val="0061460E"/>
    <w:pPr>
      <w:keepNext/>
      <w:spacing w:before="200"/>
      <w:jc w:val="both"/>
    </w:pPr>
    <w:rPr>
      <w:rFonts w:ascii="Times New Roman" w:hAnsi="Times New Roman"/>
      <w:b/>
      <w:i/>
      <w:sz w:val="24"/>
      <w:szCs w:val="24"/>
    </w:rPr>
  </w:style>
  <w:style w:type="character" w:customStyle="1" w:styleId="MezinadpisChar">
    <w:name w:val="Mezinadpis Char"/>
    <w:link w:val="Mezinadpis"/>
    <w:rsid w:val="0061460E"/>
    <w:rPr>
      <w:rFonts w:ascii="Times New Roman" w:hAnsi="Times New Roman"/>
      <w:b/>
      <w:i/>
      <w:sz w:val="24"/>
      <w:szCs w:val="24"/>
      <w:lang w:eastAsia="en-US"/>
    </w:rPr>
  </w:style>
  <w:style w:type="paragraph" w:styleId="Revize">
    <w:name w:val="Revision"/>
    <w:hidden/>
    <w:uiPriority w:val="99"/>
    <w:semiHidden/>
    <w:rsid w:val="00FD0686"/>
    <w:rPr>
      <w:sz w:val="22"/>
      <w:szCs w:val="22"/>
      <w:lang w:eastAsia="en-US"/>
    </w:rPr>
  </w:style>
  <w:style w:type="character" w:styleId="Sledovanodkaz">
    <w:name w:val="FollowedHyperlink"/>
    <w:uiPriority w:val="99"/>
    <w:semiHidden/>
    <w:unhideWhenUsed/>
    <w:rsid w:val="00B717CE"/>
    <w:rPr>
      <w:color w:val="800080"/>
      <w:u w:val="single"/>
    </w:rPr>
  </w:style>
  <w:style w:type="paragraph" w:customStyle="1" w:styleId="dekpodnadpisy">
    <w:name w:val="Řádek pod nadpisy"/>
    <w:basedOn w:val="Normln"/>
    <w:uiPriority w:val="99"/>
    <w:rsid w:val="00EB7CBB"/>
    <w:pPr>
      <w:keepNext/>
      <w:spacing w:after="0"/>
      <w:jc w:val="both"/>
    </w:pPr>
    <w:rPr>
      <w:rFonts w:ascii="Times New Roman" w:hAnsi="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0D46"/>
    <w:pPr>
      <w:spacing w:after="200"/>
    </w:pPr>
    <w:rPr>
      <w:sz w:val="22"/>
      <w:szCs w:val="22"/>
      <w:lang w:eastAsia="en-US"/>
    </w:rPr>
  </w:style>
  <w:style w:type="paragraph" w:styleId="Nadpis1">
    <w:name w:val="heading 1"/>
    <w:basedOn w:val="Normln"/>
    <w:next w:val="Normln"/>
    <w:link w:val="Nadpis1Char"/>
    <w:uiPriority w:val="9"/>
    <w:qFormat/>
    <w:rsid w:val="00CF5315"/>
    <w:pPr>
      <w:keepNext/>
      <w:keepLines/>
      <w:pageBreakBefore/>
      <w:numPr>
        <w:numId w:val="11"/>
      </w:numPr>
      <w:outlineLvl w:val="0"/>
    </w:pPr>
    <w:rPr>
      <w:rFonts w:ascii="Times New Roman" w:eastAsia="Times New Roman" w:hAnsi="Times New Roman"/>
      <w:b/>
      <w:bCs/>
      <w:color w:val="1F497D"/>
      <w:sz w:val="24"/>
      <w:szCs w:val="28"/>
    </w:rPr>
  </w:style>
  <w:style w:type="paragraph" w:styleId="Nadpis2">
    <w:name w:val="heading 2"/>
    <w:basedOn w:val="Normln"/>
    <w:next w:val="Normln"/>
    <w:link w:val="Nadpis2Char"/>
    <w:uiPriority w:val="9"/>
    <w:unhideWhenUsed/>
    <w:qFormat/>
    <w:rsid w:val="00D51E9C"/>
    <w:pPr>
      <w:keepNext/>
      <w:keepLines/>
      <w:numPr>
        <w:ilvl w:val="1"/>
        <w:numId w:val="11"/>
      </w:numPr>
      <w:spacing w:before="120" w:after="0"/>
      <w:outlineLvl w:val="1"/>
    </w:pPr>
    <w:rPr>
      <w:rFonts w:ascii="Cambria" w:eastAsia="Times New Roman" w:hAnsi="Cambria"/>
      <w:b/>
      <w:bCs/>
      <w:color w:val="9BBB59"/>
      <w:sz w:val="28"/>
      <w:szCs w:val="26"/>
    </w:rPr>
  </w:style>
  <w:style w:type="paragraph" w:styleId="Nadpis3">
    <w:name w:val="heading 3"/>
    <w:basedOn w:val="Normln"/>
    <w:next w:val="Normln"/>
    <w:link w:val="Nadpis3Char"/>
    <w:uiPriority w:val="9"/>
    <w:unhideWhenUsed/>
    <w:qFormat/>
    <w:rsid w:val="00D51E9C"/>
    <w:pPr>
      <w:keepNext/>
      <w:keepLines/>
      <w:numPr>
        <w:ilvl w:val="2"/>
        <w:numId w:val="11"/>
      </w:numPr>
      <w:spacing w:before="20" w:after="0"/>
      <w:outlineLvl w:val="2"/>
    </w:pPr>
    <w:rPr>
      <w:rFonts w:eastAsia="Times New Roman"/>
      <w:b/>
      <w:bCs/>
      <w:color w:val="1F497D"/>
      <w:sz w:val="24"/>
    </w:rPr>
  </w:style>
  <w:style w:type="paragraph" w:styleId="Nadpis4">
    <w:name w:val="heading 4"/>
    <w:basedOn w:val="Normln"/>
    <w:next w:val="Normln"/>
    <w:link w:val="Nadpis4Char"/>
    <w:uiPriority w:val="9"/>
    <w:unhideWhenUsed/>
    <w:qFormat/>
    <w:rsid w:val="00D51E9C"/>
    <w:pPr>
      <w:keepNext/>
      <w:keepLines/>
      <w:numPr>
        <w:ilvl w:val="3"/>
        <w:numId w:val="11"/>
      </w:numPr>
      <w:spacing w:before="200" w:after="0"/>
      <w:outlineLvl w:val="3"/>
    </w:pPr>
    <w:rPr>
      <w:rFonts w:ascii="Cambria" w:eastAsia="Times New Roman" w:hAnsi="Cambria"/>
      <w:b/>
      <w:bCs/>
      <w:i/>
      <w:iCs/>
      <w:color w:val="262626"/>
    </w:rPr>
  </w:style>
  <w:style w:type="paragraph" w:styleId="Nadpis5">
    <w:name w:val="heading 5"/>
    <w:basedOn w:val="Normln"/>
    <w:next w:val="Normln"/>
    <w:link w:val="Nadpis5Char"/>
    <w:uiPriority w:val="9"/>
    <w:semiHidden/>
    <w:unhideWhenUsed/>
    <w:qFormat/>
    <w:rsid w:val="00D51E9C"/>
    <w:pPr>
      <w:keepNext/>
      <w:keepLines/>
      <w:numPr>
        <w:ilvl w:val="4"/>
        <w:numId w:val="11"/>
      </w:numPr>
      <w:spacing w:before="200" w:after="0"/>
      <w:outlineLvl w:val="4"/>
    </w:pPr>
    <w:rPr>
      <w:rFonts w:ascii="Cambria" w:eastAsia="Times New Roman" w:hAnsi="Cambria"/>
      <w:color w:val="000000"/>
    </w:rPr>
  </w:style>
  <w:style w:type="paragraph" w:styleId="Nadpis6">
    <w:name w:val="heading 6"/>
    <w:basedOn w:val="Normln"/>
    <w:next w:val="Normln"/>
    <w:link w:val="Nadpis6Char"/>
    <w:uiPriority w:val="9"/>
    <w:semiHidden/>
    <w:unhideWhenUsed/>
    <w:qFormat/>
    <w:rsid w:val="00D51E9C"/>
    <w:pPr>
      <w:keepNext/>
      <w:keepLines/>
      <w:numPr>
        <w:ilvl w:val="5"/>
        <w:numId w:val="11"/>
      </w:numPr>
      <w:spacing w:before="200" w:after="0"/>
      <w:outlineLvl w:val="5"/>
    </w:pPr>
    <w:rPr>
      <w:rFonts w:ascii="Cambria" w:eastAsia="Times New Roman" w:hAnsi="Cambria"/>
      <w:i/>
      <w:iCs/>
      <w:color w:val="000000"/>
    </w:rPr>
  </w:style>
  <w:style w:type="paragraph" w:styleId="Nadpis7">
    <w:name w:val="heading 7"/>
    <w:basedOn w:val="Normln"/>
    <w:next w:val="Normln"/>
    <w:link w:val="Nadpis7Char"/>
    <w:uiPriority w:val="9"/>
    <w:semiHidden/>
    <w:unhideWhenUsed/>
    <w:qFormat/>
    <w:rsid w:val="00D51E9C"/>
    <w:pPr>
      <w:keepNext/>
      <w:keepLines/>
      <w:numPr>
        <w:ilvl w:val="6"/>
        <w:numId w:val="11"/>
      </w:numPr>
      <w:spacing w:before="200" w:after="0"/>
      <w:outlineLvl w:val="6"/>
    </w:pPr>
    <w:rPr>
      <w:rFonts w:ascii="Cambria" w:eastAsia="Times New Roman" w:hAnsi="Cambria"/>
      <w:i/>
      <w:iCs/>
      <w:color w:val="1F497D"/>
    </w:rPr>
  </w:style>
  <w:style w:type="paragraph" w:styleId="Nadpis8">
    <w:name w:val="heading 8"/>
    <w:basedOn w:val="Normln"/>
    <w:next w:val="Normln"/>
    <w:link w:val="Nadpis8Char"/>
    <w:uiPriority w:val="9"/>
    <w:semiHidden/>
    <w:unhideWhenUsed/>
    <w:qFormat/>
    <w:rsid w:val="00D51E9C"/>
    <w:pPr>
      <w:keepNext/>
      <w:keepLines/>
      <w:numPr>
        <w:ilvl w:val="7"/>
        <w:numId w:val="11"/>
      </w:numPr>
      <w:spacing w:before="200" w:after="0"/>
      <w:outlineLvl w:val="7"/>
    </w:pPr>
    <w:rPr>
      <w:rFonts w:ascii="Cambria" w:eastAsia="Times New Roman" w:hAnsi="Cambria"/>
      <w:color w:val="000000"/>
      <w:sz w:val="20"/>
      <w:szCs w:val="20"/>
    </w:rPr>
  </w:style>
  <w:style w:type="paragraph" w:styleId="Nadpis9">
    <w:name w:val="heading 9"/>
    <w:basedOn w:val="Normln"/>
    <w:next w:val="Normln"/>
    <w:link w:val="Nadpis9Char"/>
    <w:uiPriority w:val="9"/>
    <w:semiHidden/>
    <w:unhideWhenUsed/>
    <w:qFormat/>
    <w:rsid w:val="00D51E9C"/>
    <w:pPr>
      <w:keepNext/>
      <w:keepLines/>
      <w:numPr>
        <w:ilvl w:val="8"/>
        <w:numId w:val="11"/>
      </w:numPr>
      <w:spacing w:before="200" w:after="0"/>
      <w:outlineLvl w:val="8"/>
    </w:pPr>
    <w:rPr>
      <w:rFonts w:ascii="Cambria" w:eastAsia="Times New Roman" w:hAnsi="Cambria"/>
      <w:i/>
      <w:iCs/>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CF5315"/>
    <w:rPr>
      <w:rFonts w:ascii="Times New Roman" w:eastAsia="Times New Roman" w:hAnsi="Times New Roman"/>
      <w:b/>
      <w:bCs/>
      <w:color w:val="1F497D"/>
      <w:sz w:val="24"/>
      <w:szCs w:val="28"/>
      <w:lang w:eastAsia="en-US"/>
    </w:rPr>
  </w:style>
  <w:style w:type="character" w:customStyle="1" w:styleId="Nadpis2Char">
    <w:name w:val="Nadpis 2 Char"/>
    <w:link w:val="Nadpis2"/>
    <w:uiPriority w:val="9"/>
    <w:rsid w:val="00D51E9C"/>
    <w:rPr>
      <w:rFonts w:ascii="Cambria" w:eastAsia="Times New Roman" w:hAnsi="Cambria"/>
      <w:b/>
      <w:bCs/>
      <w:color w:val="9BBB59"/>
      <w:sz w:val="28"/>
      <w:szCs w:val="26"/>
      <w:lang w:eastAsia="en-US"/>
    </w:rPr>
  </w:style>
  <w:style w:type="character" w:customStyle="1" w:styleId="Nadpis3Char">
    <w:name w:val="Nadpis 3 Char"/>
    <w:link w:val="Nadpis3"/>
    <w:uiPriority w:val="9"/>
    <w:rsid w:val="00D51E9C"/>
    <w:rPr>
      <w:rFonts w:eastAsia="Times New Roman"/>
      <w:b/>
      <w:bCs/>
      <w:color w:val="1F497D"/>
      <w:sz w:val="24"/>
      <w:szCs w:val="22"/>
      <w:lang w:eastAsia="en-US"/>
    </w:rPr>
  </w:style>
  <w:style w:type="character" w:customStyle="1" w:styleId="Nadpis4Char">
    <w:name w:val="Nadpis 4 Char"/>
    <w:link w:val="Nadpis4"/>
    <w:uiPriority w:val="9"/>
    <w:rsid w:val="00D51E9C"/>
    <w:rPr>
      <w:rFonts w:ascii="Cambria" w:eastAsia="Times New Roman" w:hAnsi="Cambria"/>
      <w:b/>
      <w:bCs/>
      <w:i/>
      <w:iCs/>
      <w:color w:val="262626"/>
      <w:sz w:val="22"/>
      <w:szCs w:val="22"/>
      <w:lang w:eastAsia="en-US"/>
    </w:rPr>
  </w:style>
  <w:style w:type="character" w:customStyle="1" w:styleId="Nadpis5Char">
    <w:name w:val="Nadpis 5 Char"/>
    <w:link w:val="Nadpis5"/>
    <w:uiPriority w:val="9"/>
    <w:semiHidden/>
    <w:rsid w:val="00D51E9C"/>
    <w:rPr>
      <w:rFonts w:ascii="Cambria" w:eastAsia="Times New Roman" w:hAnsi="Cambria"/>
      <w:color w:val="000000"/>
      <w:sz w:val="22"/>
      <w:szCs w:val="22"/>
      <w:lang w:eastAsia="en-US"/>
    </w:rPr>
  </w:style>
  <w:style w:type="character" w:customStyle="1" w:styleId="Nadpis6Char">
    <w:name w:val="Nadpis 6 Char"/>
    <w:link w:val="Nadpis6"/>
    <w:uiPriority w:val="9"/>
    <w:semiHidden/>
    <w:rsid w:val="00D51E9C"/>
    <w:rPr>
      <w:rFonts w:ascii="Cambria" w:eastAsia="Times New Roman" w:hAnsi="Cambria"/>
      <w:i/>
      <w:iCs/>
      <w:color w:val="000000"/>
      <w:sz w:val="22"/>
      <w:szCs w:val="22"/>
      <w:lang w:eastAsia="en-US"/>
    </w:rPr>
  </w:style>
  <w:style w:type="character" w:customStyle="1" w:styleId="Nadpis7Char">
    <w:name w:val="Nadpis 7 Char"/>
    <w:link w:val="Nadpis7"/>
    <w:uiPriority w:val="9"/>
    <w:semiHidden/>
    <w:rsid w:val="00D51E9C"/>
    <w:rPr>
      <w:rFonts w:ascii="Cambria" w:eastAsia="Times New Roman" w:hAnsi="Cambria"/>
      <w:i/>
      <w:iCs/>
      <w:color w:val="1F497D"/>
      <w:sz w:val="22"/>
      <w:szCs w:val="22"/>
      <w:lang w:eastAsia="en-US"/>
    </w:rPr>
  </w:style>
  <w:style w:type="character" w:customStyle="1" w:styleId="Nadpis8Char">
    <w:name w:val="Nadpis 8 Char"/>
    <w:link w:val="Nadpis8"/>
    <w:uiPriority w:val="9"/>
    <w:semiHidden/>
    <w:rsid w:val="00D51E9C"/>
    <w:rPr>
      <w:rFonts w:ascii="Cambria" w:eastAsia="Times New Roman" w:hAnsi="Cambria"/>
      <w:color w:val="000000"/>
      <w:lang w:eastAsia="en-US"/>
    </w:rPr>
  </w:style>
  <w:style w:type="character" w:customStyle="1" w:styleId="Nadpis9Char">
    <w:name w:val="Nadpis 9 Char"/>
    <w:link w:val="Nadpis9"/>
    <w:uiPriority w:val="9"/>
    <w:semiHidden/>
    <w:rsid w:val="00D51E9C"/>
    <w:rPr>
      <w:rFonts w:ascii="Cambria" w:eastAsia="Times New Roman" w:hAnsi="Cambria"/>
      <w:i/>
      <w:iCs/>
      <w:color w:val="000000"/>
      <w:lang w:eastAsia="en-US"/>
    </w:rPr>
  </w:style>
  <w:style w:type="paragraph" w:styleId="Odstavecseseznamem">
    <w:name w:val="List Paragraph"/>
    <w:basedOn w:val="Normln"/>
    <w:uiPriority w:val="34"/>
    <w:qFormat/>
    <w:rsid w:val="00D51E9C"/>
    <w:pPr>
      <w:ind w:left="720" w:hanging="288"/>
      <w:contextualSpacing/>
    </w:pPr>
    <w:rPr>
      <w:color w:val="1F497D"/>
    </w:rPr>
  </w:style>
  <w:style w:type="character" w:styleId="Odkaznakoment">
    <w:name w:val="annotation reference"/>
    <w:uiPriority w:val="99"/>
    <w:semiHidden/>
    <w:unhideWhenUsed/>
    <w:rsid w:val="0079608F"/>
    <w:rPr>
      <w:sz w:val="16"/>
      <w:szCs w:val="16"/>
    </w:rPr>
  </w:style>
  <w:style w:type="paragraph" w:styleId="Textkomente">
    <w:name w:val="annotation text"/>
    <w:basedOn w:val="Normln"/>
    <w:link w:val="TextkomenteChar"/>
    <w:uiPriority w:val="99"/>
    <w:unhideWhenUsed/>
    <w:rsid w:val="0079608F"/>
    <w:rPr>
      <w:sz w:val="20"/>
      <w:szCs w:val="20"/>
    </w:rPr>
  </w:style>
  <w:style w:type="character" w:customStyle="1" w:styleId="TextkomenteChar">
    <w:name w:val="Text komentáře Char"/>
    <w:link w:val="Textkomente"/>
    <w:uiPriority w:val="99"/>
    <w:rsid w:val="0079608F"/>
    <w:rPr>
      <w:sz w:val="20"/>
      <w:szCs w:val="20"/>
    </w:rPr>
  </w:style>
  <w:style w:type="paragraph" w:styleId="Pedmtkomente">
    <w:name w:val="annotation subject"/>
    <w:basedOn w:val="Textkomente"/>
    <w:next w:val="Textkomente"/>
    <w:link w:val="PedmtkomenteChar"/>
    <w:uiPriority w:val="99"/>
    <w:semiHidden/>
    <w:unhideWhenUsed/>
    <w:rsid w:val="0079608F"/>
    <w:rPr>
      <w:b/>
      <w:bCs/>
    </w:rPr>
  </w:style>
  <w:style w:type="character" w:customStyle="1" w:styleId="PedmtkomenteChar">
    <w:name w:val="Předmět komentáře Char"/>
    <w:link w:val="Pedmtkomente"/>
    <w:uiPriority w:val="99"/>
    <w:semiHidden/>
    <w:rsid w:val="0079608F"/>
    <w:rPr>
      <w:b/>
      <w:bCs/>
      <w:sz w:val="20"/>
      <w:szCs w:val="20"/>
    </w:rPr>
  </w:style>
  <w:style w:type="paragraph" w:styleId="Textbubliny">
    <w:name w:val="Balloon Text"/>
    <w:basedOn w:val="Normln"/>
    <w:link w:val="TextbublinyChar"/>
    <w:uiPriority w:val="99"/>
    <w:semiHidden/>
    <w:unhideWhenUsed/>
    <w:rsid w:val="0079608F"/>
    <w:pPr>
      <w:spacing w:after="0"/>
    </w:pPr>
    <w:rPr>
      <w:rFonts w:ascii="Tahoma" w:hAnsi="Tahoma" w:cs="Tahoma"/>
      <w:sz w:val="16"/>
      <w:szCs w:val="16"/>
    </w:rPr>
  </w:style>
  <w:style w:type="character" w:customStyle="1" w:styleId="TextbublinyChar">
    <w:name w:val="Text bubliny Char"/>
    <w:link w:val="Textbubliny"/>
    <w:uiPriority w:val="99"/>
    <w:semiHidden/>
    <w:rsid w:val="0079608F"/>
    <w:rPr>
      <w:rFonts w:ascii="Tahoma" w:hAnsi="Tahoma" w:cs="Tahoma"/>
      <w:sz w:val="16"/>
      <w:szCs w:val="16"/>
    </w:rPr>
  </w:style>
  <w:style w:type="paragraph" w:styleId="Textvysvtlivek">
    <w:name w:val="endnote text"/>
    <w:basedOn w:val="Normln"/>
    <w:link w:val="TextvysvtlivekChar"/>
    <w:uiPriority w:val="99"/>
    <w:semiHidden/>
    <w:unhideWhenUsed/>
    <w:rsid w:val="007A7C58"/>
    <w:pPr>
      <w:spacing w:after="0"/>
    </w:pPr>
    <w:rPr>
      <w:sz w:val="20"/>
      <w:szCs w:val="20"/>
    </w:rPr>
  </w:style>
  <w:style w:type="character" w:customStyle="1" w:styleId="TextvysvtlivekChar">
    <w:name w:val="Text vysvětlivek Char"/>
    <w:link w:val="Textvysvtlivek"/>
    <w:uiPriority w:val="99"/>
    <w:semiHidden/>
    <w:rsid w:val="007A7C58"/>
    <w:rPr>
      <w:sz w:val="20"/>
      <w:szCs w:val="20"/>
    </w:rPr>
  </w:style>
  <w:style w:type="character" w:styleId="Odkaznavysvtlivky">
    <w:name w:val="endnote reference"/>
    <w:uiPriority w:val="99"/>
    <w:semiHidden/>
    <w:unhideWhenUsed/>
    <w:rsid w:val="007A7C58"/>
    <w:rPr>
      <w:vertAlign w:val="superscript"/>
    </w:rPr>
  </w:style>
  <w:style w:type="paragraph" w:styleId="Textpoznpodarou">
    <w:name w:val="footnote text"/>
    <w:basedOn w:val="Normln"/>
    <w:link w:val="TextpoznpodarouChar"/>
    <w:uiPriority w:val="99"/>
    <w:semiHidden/>
    <w:unhideWhenUsed/>
    <w:rsid w:val="007A7C58"/>
    <w:pPr>
      <w:spacing w:after="0"/>
    </w:pPr>
    <w:rPr>
      <w:sz w:val="20"/>
      <w:szCs w:val="20"/>
    </w:rPr>
  </w:style>
  <w:style w:type="character" w:customStyle="1" w:styleId="TextpoznpodarouChar">
    <w:name w:val="Text pozn. pod čarou Char"/>
    <w:link w:val="Textpoznpodarou"/>
    <w:uiPriority w:val="99"/>
    <w:semiHidden/>
    <w:rsid w:val="007A7C58"/>
    <w:rPr>
      <w:sz w:val="20"/>
      <w:szCs w:val="20"/>
    </w:rPr>
  </w:style>
  <w:style w:type="character" w:styleId="Znakapoznpodarou">
    <w:name w:val="footnote reference"/>
    <w:uiPriority w:val="99"/>
    <w:semiHidden/>
    <w:unhideWhenUsed/>
    <w:rsid w:val="007A7C58"/>
    <w:rPr>
      <w:vertAlign w:val="superscript"/>
    </w:rPr>
  </w:style>
  <w:style w:type="paragraph" w:styleId="Normlnweb">
    <w:name w:val="Normal (Web)"/>
    <w:basedOn w:val="Normln"/>
    <w:uiPriority w:val="99"/>
    <w:unhideWhenUsed/>
    <w:rsid w:val="00F63007"/>
    <w:pPr>
      <w:spacing w:before="100" w:beforeAutospacing="1" w:after="100" w:afterAutospacing="1"/>
    </w:pPr>
    <w:rPr>
      <w:rFonts w:ascii="Times New Roman" w:eastAsia="Times New Roman" w:hAnsi="Times New Roman"/>
      <w:sz w:val="24"/>
      <w:szCs w:val="24"/>
      <w:lang w:eastAsia="cs-CZ"/>
    </w:rPr>
  </w:style>
  <w:style w:type="character" w:styleId="Zvraznn">
    <w:name w:val="Emphasis"/>
    <w:uiPriority w:val="20"/>
    <w:qFormat/>
    <w:rsid w:val="00D51E9C"/>
    <w:rPr>
      <w:b w:val="0"/>
      <w:i/>
      <w:iCs/>
      <w:color w:val="1F497D"/>
    </w:rPr>
  </w:style>
  <w:style w:type="paragraph" w:styleId="Zhlav">
    <w:name w:val="header"/>
    <w:basedOn w:val="Normln"/>
    <w:link w:val="ZhlavChar"/>
    <w:uiPriority w:val="99"/>
    <w:unhideWhenUsed/>
    <w:rsid w:val="00264D07"/>
    <w:pPr>
      <w:tabs>
        <w:tab w:val="center" w:pos="4536"/>
        <w:tab w:val="right" w:pos="9072"/>
      </w:tabs>
      <w:spacing w:after="0"/>
    </w:pPr>
  </w:style>
  <w:style w:type="character" w:customStyle="1" w:styleId="ZhlavChar">
    <w:name w:val="Záhlaví Char"/>
    <w:basedOn w:val="Standardnpsmoodstavce"/>
    <w:link w:val="Zhlav"/>
    <w:uiPriority w:val="99"/>
    <w:rsid w:val="00264D07"/>
  </w:style>
  <w:style w:type="paragraph" w:styleId="Zpat">
    <w:name w:val="footer"/>
    <w:basedOn w:val="Normln"/>
    <w:link w:val="ZpatChar"/>
    <w:uiPriority w:val="99"/>
    <w:unhideWhenUsed/>
    <w:rsid w:val="00264D07"/>
    <w:pPr>
      <w:tabs>
        <w:tab w:val="center" w:pos="4536"/>
        <w:tab w:val="right" w:pos="9072"/>
      </w:tabs>
      <w:spacing w:after="0"/>
    </w:pPr>
  </w:style>
  <w:style w:type="character" w:customStyle="1" w:styleId="ZpatChar">
    <w:name w:val="Zápatí Char"/>
    <w:basedOn w:val="Standardnpsmoodstavce"/>
    <w:link w:val="Zpat"/>
    <w:uiPriority w:val="99"/>
    <w:rsid w:val="00264D07"/>
  </w:style>
  <w:style w:type="character" w:styleId="Siln">
    <w:name w:val="Strong"/>
    <w:uiPriority w:val="22"/>
    <w:qFormat/>
    <w:rsid w:val="00D51E9C"/>
    <w:rPr>
      <w:b/>
      <w:bCs/>
      <w:color w:val="265898"/>
    </w:rPr>
  </w:style>
  <w:style w:type="character" w:styleId="Hypertextovodkaz">
    <w:name w:val="Hyperlink"/>
    <w:uiPriority w:val="99"/>
    <w:unhideWhenUsed/>
    <w:rsid w:val="009F71F5"/>
    <w:rPr>
      <w:color w:val="0000FF"/>
      <w:u w:val="single"/>
    </w:rPr>
  </w:style>
  <w:style w:type="table" w:styleId="Mkatabulky">
    <w:name w:val="Table Grid"/>
    <w:basedOn w:val="Normlntabulka"/>
    <w:uiPriority w:val="59"/>
    <w:rsid w:val="00790C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semiHidden/>
    <w:unhideWhenUsed/>
    <w:qFormat/>
    <w:rsid w:val="00D51E9C"/>
    <w:rPr>
      <w:rFonts w:eastAsia="Times New Roman"/>
      <w:b/>
      <w:bCs/>
      <w:smallCaps/>
      <w:color w:val="1F497D"/>
      <w:spacing w:val="6"/>
      <w:szCs w:val="18"/>
      <w:lang w:bidi="hi-IN"/>
    </w:rPr>
  </w:style>
  <w:style w:type="paragraph" w:styleId="Nzev">
    <w:name w:val="Title"/>
    <w:basedOn w:val="Normln"/>
    <w:next w:val="Normln"/>
    <w:link w:val="NzevChar"/>
    <w:uiPriority w:val="10"/>
    <w:qFormat/>
    <w:rsid w:val="00D51E9C"/>
    <w:pPr>
      <w:spacing w:after="120"/>
      <w:contextualSpacing/>
    </w:pPr>
    <w:rPr>
      <w:rFonts w:ascii="Cambria" w:eastAsia="Times New Roman" w:hAnsi="Cambria"/>
      <w:color w:val="1F497D"/>
      <w:spacing w:val="30"/>
      <w:kern w:val="28"/>
      <w:sz w:val="72"/>
      <w:szCs w:val="52"/>
    </w:rPr>
  </w:style>
  <w:style w:type="character" w:customStyle="1" w:styleId="NzevChar">
    <w:name w:val="Název Char"/>
    <w:link w:val="Nzev"/>
    <w:uiPriority w:val="10"/>
    <w:rsid w:val="00D51E9C"/>
    <w:rPr>
      <w:rFonts w:ascii="Cambria" w:eastAsia="Times New Roman" w:hAnsi="Cambria" w:cs="Times New Roman"/>
      <w:color w:val="1F497D"/>
      <w:spacing w:val="30"/>
      <w:kern w:val="28"/>
      <w:sz w:val="72"/>
      <w:szCs w:val="52"/>
    </w:rPr>
  </w:style>
  <w:style w:type="paragraph" w:styleId="Podtitul">
    <w:name w:val="Subtitle"/>
    <w:basedOn w:val="Normln"/>
    <w:next w:val="Normln"/>
    <w:link w:val="PodtitulChar"/>
    <w:uiPriority w:val="11"/>
    <w:qFormat/>
    <w:rsid w:val="00D51E9C"/>
    <w:pPr>
      <w:numPr>
        <w:ilvl w:val="1"/>
      </w:numPr>
    </w:pPr>
    <w:rPr>
      <w:rFonts w:eastAsia="Times New Roman"/>
      <w:iCs/>
      <w:color w:val="265898"/>
      <w:sz w:val="32"/>
      <w:szCs w:val="24"/>
      <w:lang w:bidi="hi-IN"/>
    </w:rPr>
  </w:style>
  <w:style w:type="character" w:customStyle="1" w:styleId="PodtitulChar">
    <w:name w:val="Podtitul Char"/>
    <w:link w:val="Podtitul"/>
    <w:uiPriority w:val="11"/>
    <w:rsid w:val="00D51E9C"/>
    <w:rPr>
      <w:rFonts w:eastAsia="Times New Roman" w:cs="Times New Roman"/>
      <w:iCs/>
      <w:color w:val="265898"/>
      <w:sz w:val="32"/>
      <w:szCs w:val="24"/>
      <w:lang w:bidi="hi-IN"/>
    </w:rPr>
  </w:style>
  <w:style w:type="paragraph" w:styleId="Bezmezer">
    <w:name w:val="No Spacing"/>
    <w:link w:val="BezmezerChar"/>
    <w:uiPriority w:val="1"/>
    <w:qFormat/>
    <w:rsid w:val="00D51E9C"/>
    <w:rPr>
      <w:sz w:val="22"/>
      <w:szCs w:val="22"/>
      <w:lang w:eastAsia="en-US"/>
    </w:rPr>
  </w:style>
  <w:style w:type="character" w:customStyle="1" w:styleId="BezmezerChar">
    <w:name w:val="Bez mezer Char"/>
    <w:basedOn w:val="Standardnpsmoodstavce"/>
    <w:link w:val="Bezmezer"/>
    <w:uiPriority w:val="1"/>
    <w:rsid w:val="00D51E9C"/>
  </w:style>
  <w:style w:type="paragraph" w:styleId="Citt">
    <w:name w:val="Quote"/>
    <w:basedOn w:val="Normln"/>
    <w:next w:val="Normln"/>
    <w:link w:val="CittChar"/>
    <w:uiPriority w:val="29"/>
    <w:qFormat/>
    <w:rsid w:val="00D51E9C"/>
    <w:pPr>
      <w:pBdr>
        <w:left w:val="single" w:sz="48" w:space="13" w:color="4F81BD"/>
      </w:pBdr>
      <w:spacing w:after="0" w:line="360" w:lineRule="auto"/>
    </w:pPr>
    <w:rPr>
      <w:rFonts w:ascii="Cambria" w:eastAsia="Times New Roman" w:hAnsi="Cambria"/>
      <w:b/>
      <w:i/>
      <w:iCs/>
      <w:color w:val="4F81BD"/>
      <w:sz w:val="24"/>
      <w:lang w:bidi="hi-IN"/>
    </w:rPr>
  </w:style>
  <w:style w:type="character" w:customStyle="1" w:styleId="CittChar">
    <w:name w:val="Citát Char"/>
    <w:link w:val="Citt"/>
    <w:uiPriority w:val="29"/>
    <w:rsid w:val="00D51E9C"/>
    <w:rPr>
      <w:rFonts w:ascii="Cambria" w:eastAsia="Times New Roman" w:hAnsi="Cambria"/>
      <w:b/>
      <w:i/>
      <w:iCs/>
      <w:color w:val="4F81BD"/>
      <w:sz w:val="24"/>
      <w:lang w:bidi="hi-IN"/>
    </w:rPr>
  </w:style>
  <w:style w:type="paragraph" w:styleId="Vrazncitt">
    <w:name w:val="Intense Quote"/>
    <w:basedOn w:val="Normln"/>
    <w:next w:val="Normln"/>
    <w:link w:val="VrazncittChar"/>
    <w:uiPriority w:val="30"/>
    <w:qFormat/>
    <w:rsid w:val="00D51E9C"/>
    <w:pPr>
      <w:pBdr>
        <w:left w:val="single" w:sz="48" w:space="13" w:color="C0504D"/>
      </w:pBdr>
      <w:spacing w:before="240" w:after="120" w:line="300" w:lineRule="auto"/>
    </w:pPr>
    <w:rPr>
      <w:rFonts w:eastAsia="Times New Roman"/>
      <w:b/>
      <w:bCs/>
      <w:i/>
      <w:iCs/>
      <w:color w:val="C0504D"/>
      <w:sz w:val="26"/>
      <w:lang w:bidi="hi-IN"/>
    </w:rPr>
  </w:style>
  <w:style w:type="character" w:customStyle="1" w:styleId="VrazncittChar">
    <w:name w:val="Výrazný citát Char"/>
    <w:link w:val="Vrazncitt"/>
    <w:uiPriority w:val="30"/>
    <w:rsid w:val="00D51E9C"/>
    <w:rPr>
      <w:rFonts w:eastAsia="Times New Roman"/>
      <w:b/>
      <w:bCs/>
      <w:i/>
      <w:iCs/>
      <w:color w:val="C0504D"/>
      <w:sz w:val="26"/>
      <w:lang w:bidi="hi-IN"/>
    </w:rPr>
  </w:style>
  <w:style w:type="character" w:styleId="Zdraznnjemn">
    <w:name w:val="Subtle Emphasis"/>
    <w:uiPriority w:val="19"/>
    <w:qFormat/>
    <w:rsid w:val="00D51E9C"/>
    <w:rPr>
      <w:i/>
      <w:iCs/>
      <w:color w:val="000000"/>
    </w:rPr>
  </w:style>
  <w:style w:type="character" w:styleId="Zdraznnintenzivn">
    <w:name w:val="Intense Emphasis"/>
    <w:uiPriority w:val="21"/>
    <w:qFormat/>
    <w:rsid w:val="00D51E9C"/>
    <w:rPr>
      <w:b/>
      <w:bCs/>
      <w:i/>
      <w:iCs/>
      <w:color w:val="1F497D"/>
    </w:rPr>
  </w:style>
  <w:style w:type="character" w:styleId="Odkazjemn">
    <w:name w:val="Subtle Reference"/>
    <w:uiPriority w:val="31"/>
    <w:qFormat/>
    <w:rsid w:val="00D51E9C"/>
    <w:rPr>
      <w:smallCaps/>
      <w:color w:val="000000"/>
      <w:u w:val="single"/>
    </w:rPr>
  </w:style>
  <w:style w:type="character" w:styleId="Odkazintenzivn">
    <w:name w:val="Intense Reference"/>
    <w:uiPriority w:val="32"/>
    <w:qFormat/>
    <w:rsid w:val="00D51E9C"/>
    <w:rPr>
      <w:rFonts w:ascii="Calibri" w:hAnsi="Calibri"/>
      <w:b/>
      <w:bCs/>
      <w:smallCaps/>
      <w:color w:val="1F497D"/>
      <w:spacing w:val="5"/>
      <w:sz w:val="22"/>
      <w:u w:val="single"/>
    </w:rPr>
  </w:style>
  <w:style w:type="character" w:styleId="Nzevknihy">
    <w:name w:val="Book Title"/>
    <w:uiPriority w:val="33"/>
    <w:qFormat/>
    <w:rsid w:val="00D51E9C"/>
    <w:rPr>
      <w:rFonts w:ascii="Cambria" w:hAnsi="Cambria"/>
      <w:b/>
      <w:bCs/>
      <w:caps w:val="0"/>
      <w:smallCaps/>
      <w:color w:val="1F497D"/>
      <w:spacing w:val="10"/>
      <w:sz w:val="22"/>
    </w:rPr>
  </w:style>
  <w:style w:type="paragraph" w:styleId="Nadpisobsahu">
    <w:name w:val="TOC Heading"/>
    <w:basedOn w:val="Nadpis1"/>
    <w:next w:val="Normln"/>
    <w:uiPriority w:val="39"/>
    <w:semiHidden/>
    <w:unhideWhenUsed/>
    <w:qFormat/>
    <w:rsid w:val="00D51E9C"/>
    <w:pPr>
      <w:spacing w:before="480" w:line="264" w:lineRule="auto"/>
      <w:outlineLvl w:val="9"/>
    </w:pPr>
    <w:rPr>
      <w:b w:val="0"/>
    </w:rPr>
  </w:style>
  <w:style w:type="character" w:customStyle="1" w:styleId="datum">
    <w:name w:val="datum"/>
    <w:basedOn w:val="Standardnpsmoodstavce"/>
    <w:rsid w:val="000C5B78"/>
  </w:style>
  <w:style w:type="paragraph" w:customStyle="1" w:styleId="Popisky">
    <w:name w:val="Popisky"/>
    <w:basedOn w:val="Normln"/>
    <w:rsid w:val="00261750"/>
    <w:pPr>
      <w:spacing w:after="0"/>
    </w:pPr>
    <w:rPr>
      <w:rFonts w:ascii="Arial" w:hAnsi="Arial" w:cs="Arial"/>
      <w:sz w:val="20"/>
      <w:szCs w:val="20"/>
      <w:lang w:eastAsia="cs-CZ"/>
    </w:rPr>
  </w:style>
  <w:style w:type="paragraph" w:customStyle="1" w:styleId="popisky0">
    <w:name w:val="popisky"/>
    <w:basedOn w:val="Normln"/>
    <w:rsid w:val="007E170E"/>
    <w:pPr>
      <w:spacing w:after="0"/>
    </w:pPr>
    <w:rPr>
      <w:rFonts w:ascii="Times New Roman" w:eastAsia="Times New Roman" w:hAnsi="Times New Roman"/>
      <w:sz w:val="24"/>
      <w:szCs w:val="24"/>
      <w:lang w:eastAsia="cs-CZ"/>
    </w:rPr>
  </w:style>
  <w:style w:type="paragraph" w:styleId="Zkladntext">
    <w:name w:val="Body Text"/>
    <w:basedOn w:val="Normln"/>
    <w:link w:val="ZkladntextChar"/>
    <w:rsid w:val="0046301A"/>
    <w:pPr>
      <w:spacing w:after="0"/>
      <w:jc w:val="both"/>
    </w:pPr>
    <w:rPr>
      <w:rFonts w:ascii="Times New Roman" w:eastAsia="Times New Roman" w:hAnsi="Times New Roman"/>
      <w:sz w:val="24"/>
      <w:szCs w:val="24"/>
      <w:lang w:eastAsia="cs-CZ"/>
    </w:rPr>
  </w:style>
  <w:style w:type="character" w:customStyle="1" w:styleId="ZkladntextChar">
    <w:name w:val="Základní text Char"/>
    <w:link w:val="Zkladntext"/>
    <w:rsid w:val="0046301A"/>
    <w:rPr>
      <w:rFonts w:ascii="Times New Roman" w:eastAsia="Times New Roman" w:hAnsi="Times New Roman" w:cs="Times New Roman"/>
      <w:sz w:val="24"/>
      <w:szCs w:val="24"/>
      <w:lang w:eastAsia="cs-CZ"/>
    </w:rPr>
  </w:style>
  <w:style w:type="paragraph" w:customStyle="1" w:styleId="Bntextzprvy">
    <w:name w:val="Běžný text zprávy"/>
    <w:basedOn w:val="Normln"/>
    <w:link w:val="BntextzprvyChar"/>
    <w:qFormat/>
    <w:rsid w:val="007C0D46"/>
    <w:pPr>
      <w:spacing w:before="200"/>
      <w:jc w:val="both"/>
    </w:pPr>
    <w:rPr>
      <w:rFonts w:ascii="Arial" w:eastAsia="Times New Roman" w:hAnsi="Arial"/>
      <w:szCs w:val="24"/>
      <w:lang w:eastAsia="cs-CZ"/>
    </w:rPr>
  </w:style>
  <w:style w:type="character" w:customStyle="1" w:styleId="BntextzprvyChar">
    <w:name w:val="Běžný text zprávy Char"/>
    <w:link w:val="Bntextzprvy"/>
    <w:rsid w:val="007C0D46"/>
    <w:rPr>
      <w:rFonts w:ascii="Arial" w:eastAsia="Times New Roman" w:hAnsi="Arial"/>
      <w:sz w:val="22"/>
      <w:szCs w:val="24"/>
    </w:rPr>
  </w:style>
  <w:style w:type="paragraph" w:styleId="Obsah1">
    <w:name w:val="toc 1"/>
    <w:basedOn w:val="Normln"/>
    <w:next w:val="Normln"/>
    <w:autoRedefine/>
    <w:uiPriority w:val="39"/>
    <w:unhideWhenUsed/>
    <w:rsid w:val="004D59B5"/>
    <w:pPr>
      <w:tabs>
        <w:tab w:val="left" w:pos="9356"/>
      </w:tabs>
      <w:spacing w:before="60" w:after="60"/>
      <w:ind w:left="1276" w:right="566" w:hanging="1276"/>
      <w:jc w:val="both"/>
    </w:pPr>
    <w:rPr>
      <w:rFonts w:ascii="Arial" w:hAnsi="Arial" w:cs="Arial"/>
      <w:b/>
      <w:noProof/>
    </w:rPr>
  </w:style>
  <w:style w:type="paragraph" w:customStyle="1" w:styleId="Bnuvozovacodstavec">
    <w:name w:val="Běžný uvozovací odstavec"/>
    <w:basedOn w:val="Normln"/>
    <w:link w:val="BnuvozovacodstavecChar"/>
    <w:qFormat/>
    <w:rsid w:val="00F407AB"/>
    <w:pPr>
      <w:spacing w:before="200" w:after="0"/>
      <w:jc w:val="both"/>
    </w:pPr>
    <w:rPr>
      <w:rFonts w:ascii="Arial" w:eastAsia="Times New Roman" w:hAnsi="Arial"/>
      <w:bCs/>
      <w:szCs w:val="24"/>
      <w:lang w:eastAsia="cs-CZ"/>
    </w:rPr>
  </w:style>
  <w:style w:type="character" w:customStyle="1" w:styleId="BnuvozovacodstavecChar">
    <w:name w:val="Běžný uvozovací odstavec Char"/>
    <w:link w:val="Bnuvozovacodstavec"/>
    <w:rsid w:val="00F407AB"/>
    <w:rPr>
      <w:rFonts w:ascii="Arial" w:eastAsia="Times New Roman" w:hAnsi="Arial"/>
      <w:bCs/>
      <w:sz w:val="22"/>
      <w:szCs w:val="24"/>
    </w:rPr>
  </w:style>
  <w:style w:type="paragraph" w:customStyle="1" w:styleId="Mezinadpis">
    <w:name w:val="Mezinadpis"/>
    <w:basedOn w:val="Normln"/>
    <w:link w:val="MezinadpisChar"/>
    <w:qFormat/>
    <w:rsid w:val="0061460E"/>
    <w:pPr>
      <w:keepNext/>
      <w:spacing w:before="200"/>
      <w:jc w:val="both"/>
    </w:pPr>
    <w:rPr>
      <w:rFonts w:ascii="Times New Roman" w:hAnsi="Times New Roman"/>
      <w:b/>
      <w:i/>
      <w:sz w:val="24"/>
      <w:szCs w:val="24"/>
    </w:rPr>
  </w:style>
  <w:style w:type="character" w:customStyle="1" w:styleId="MezinadpisChar">
    <w:name w:val="Mezinadpis Char"/>
    <w:link w:val="Mezinadpis"/>
    <w:rsid w:val="0061460E"/>
    <w:rPr>
      <w:rFonts w:ascii="Times New Roman" w:hAnsi="Times New Roman"/>
      <w:b/>
      <w:i/>
      <w:sz w:val="24"/>
      <w:szCs w:val="24"/>
      <w:lang w:eastAsia="en-US"/>
    </w:rPr>
  </w:style>
  <w:style w:type="paragraph" w:styleId="Revize">
    <w:name w:val="Revision"/>
    <w:hidden/>
    <w:uiPriority w:val="99"/>
    <w:semiHidden/>
    <w:rsid w:val="00FD0686"/>
    <w:rPr>
      <w:sz w:val="22"/>
      <w:szCs w:val="22"/>
      <w:lang w:eastAsia="en-US"/>
    </w:rPr>
  </w:style>
  <w:style w:type="character" w:styleId="Sledovanodkaz">
    <w:name w:val="FollowedHyperlink"/>
    <w:uiPriority w:val="99"/>
    <w:semiHidden/>
    <w:unhideWhenUsed/>
    <w:rsid w:val="00B717CE"/>
    <w:rPr>
      <w:color w:val="800080"/>
      <w:u w:val="single"/>
    </w:rPr>
  </w:style>
  <w:style w:type="paragraph" w:customStyle="1" w:styleId="dekpodnadpisy">
    <w:name w:val="Řádek pod nadpisy"/>
    <w:basedOn w:val="Normln"/>
    <w:uiPriority w:val="99"/>
    <w:rsid w:val="00EB7CBB"/>
    <w:pPr>
      <w:keepNext/>
      <w:spacing w:after="0"/>
      <w:jc w:val="both"/>
    </w:pPr>
    <w:rPr>
      <w:rFonts w:ascii="Times New Roman" w:hAnsi="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3516">
      <w:bodyDiv w:val="1"/>
      <w:marLeft w:val="0"/>
      <w:marRight w:val="0"/>
      <w:marTop w:val="0"/>
      <w:marBottom w:val="0"/>
      <w:divBdr>
        <w:top w:val="none" w:sz="0" w:space="0" w:color="auto"/>
        <w:left w:val="none" w:sz="0" w:space="0" w:color="auto"/>
        <w:bottom w:val="none" w:sz="0" w:space="0" w:color="auto"/>
        <w:right w:val="none" w:sz="0" w:space="0" w:color="auto"/>
      </w:divBdr>
    </w:div>
    <w:div w:id="11733181">
      <w:bodyDiv w:val="1"/>
      <w:marLeft w:val="0"/>
      <w:marRight w:val="0"/>
      <w:marTop w:val="0"/>
      <w:marBottom w:val="0"/>
      <w:divBdr>
        <w:top w:val="none" w:sz="0" w:space="0" w:color="auto"/>
        <w:left w:val="none" w:sz="0" w:space="0" w:color="auto"/>
        <w:bottom w:val="none" w:sz="0" w:space="0" w:color="auto"/>
        <w:right w:val="none" w:sz="0" w:space="0" w:color="auto"/>
      </w:divBdr>
      <w:divsChild>
        <w:div w:id="304625097">
          <w:marLeft w:val="274"/>
          <w:marRight w:val="0"/>
          <w:marTop w:val="0"/>
          <w:marBottom w:val="0"/>
          <w:divBdr>
            <w:top w:val="none" w:sz="0" w:space="0" w:color="auto"/>
            <w:left w:val="none" w:sz="0" w:space="0" w:color="auto"/>
            <w:bottom w:val="none" w:sz="0" w:space="0" w:color="auto"/>
            <w:right w:val="none" w:sz="0" w:space="0" w:color="auto"/>
          </w:divBdr>
        </w:div>
        <w:div w:id="338309956">
          <w:marLeft w:val="274"/>
          <w:marRight w:val="0"/>
          <w:marTop w:val="0"/>
          <w:marBottom w:val="0"/>
          <w:divBdr>
            <w:top w:val="none" w:sz="0" w:space="0" w:color="auto"/>
            <w:left w:val="none" w:sz="0" w:space="0" w:color="auto"/>
            <w:bottom w:val="none" w:sz="0" w:space="0" w:color="auto"/>
            <w:right w:val="none" w:sz="0" w:space="0" w:color="auto"/>
          </w:divBdr>
        </w:div>
        <w:div w:id="369458607">
          <w:marLeft w:val="274"/>
          <w:marRight w:val="0"/>
          <w:marTop w:val="0"/>
          <w:marBottom w:val="0"/>
          <w:divBdr>
            <w:top w:val="none" w:sz="0" w:space="0" w:color="auto"/>
            <w:left w:val="none" w:sz="0" w:space="0" w:color="auto"/>
            <w:bottom w:val="none" w:sz="0" w:space="0" w:color="auto"/>
            <w:right w:val="none" w:sz="0" w:space="0" w:color="auto"/>
          </w:divBdr>
        </w:div>
        <w:div w:id="452331206">
          <w:marLeft w:val="274"/>
          <w:marRight w:val="0"/>
          <w:marTop w:val="0"/>
          <w:marBottom w:val="0"/>
          <w:divBdr>
            <w:top w:val="none" w:sz="0" w:space="0" w:color="auto"/>
            <w:left w:val="none" w:sz="0" w:space="0" w:color="auto"/>
            <w:bottom w:val="none" w:sz="0" w:space="0" w:color="auto"/>
            <w:right w:val="none" w:sz="0" w:space="0" w:color="auto"/>
          </w:divBdr>
        </w:div>
        <w:div w:id="489947161">
          <w:marLeft w:val="274"/>
          <w:marRight w:val="0"/>
          <w:marTop w:val="0"/>
          <w:marBottom w:val="0"/>
          <w:divBdr>
            <w:top w:val="none" w:sz="0" w:space="0" w:color="auto"/>
            <w:left w:val="none" w:sz="0" w:space="0" w:color="auto"/>
            <w:bottom w:val="none" w:sz="0" w:space="0" w:color="auto"/>
            <w:right w:val="none" w:sz="0" w:space="0" w:color="auto"/>
          </w:divBdr>
        </w:div>
        <w:div w:id="1326591774">
          <w:marLeft w:val="274"/>
          <w:marRight w:val="0"/>
          <w:marTop w:val="0"/>
          <w:marBottom w:val="0"/>
          <w:divBdr>
            <w:top w:val="none" w:sz="0" w:space="0" w:color="auto"/>
            <w:left w:val="none" w:sz="0" w:space="0" w:color="auto"/>
            <w:bottom w:val="none" w:sz="0" w:space="0" w:color="auto"/>
            <w:right w:val="none" w:sz="0" w:space="0" w:color="auto"/>
          </w:divBdr>
        </w:div>
        <w:div w:id="1626039690">
          <w:marLeft w:val="274"/>
          <w:marRight w:val="0"/>
          <w:marTop w:val="0"/>
          <w:marBottom w:val="0"/>
          <w:divBdr>
            <w:top w:val="none" w:sz="0" w:space="0" w:color="auto"/>
            <w:left w:val="none" w:sz="0" w:space="0" w:color="auto"/>
            <w:bottom w:val="none" w:sz="0" w:space="0" w:color="auto"/>
            <w:right w:val="none" w:sz="0" w:space="0" w:color="auto"/>
          </w:divBdr>
        </w:div>
        <w:div w:id="1629583978">
          <w:marLeft w:val="274"/>
          <w:marRight w:val="0"/>
          <w:marTop w:val="0"/>
          <w:marBottom w:val="0"/>
          <w:divBdr>
            <w:top w:val="none" w:sz="0" w:space="0" w:color="auto"/>
            <w:left w:val="none" w:sz="0" w:space="0" w:color="auto"/>
            <w:bottom w:val="none" w:sz="0" w:space="0" w:color="auto"/>
            <w:right w:val="none" w:sz="0" w:space="0" w:color="auto"/>
          </w:divBdr>
        </w:div>
      </w:divsChild>
    </w:div>
    <w:div w:id="17464002">
      <w:bodyDiv w:val="1"/>
      <w:marLeft w:val="0"/>
      <w:marRight w:val="0"/>
      <w:marTop w:val="0"/>
      <w:marBottom w:val="0"/>
      <w:divBdr>
        <w:top w:val="none" w:sz="0" w:space="0" w:color="auto"/>
        <w:left w:val="none" w:sz="0" w:space="0" w:color="auto"/>
        <w:bottom w:val="none" w:sz="0" w:space="0" w:color="auto"/>
        <w:right w:val="none" w:sz="0" w:space="0" w:color="auto"/>
      </w:divBdr>
      <w:divsChild>
        <w:div w:id="1371341547">
          <w:marLeft w:val="0"/>
          <w:marRight w:val="0"/>
          <w:marTop w:val="0"/>
          <w:marBottom w:val="0"/>
          <w:divBdr>
            <w:top w:val="none" w:sz="0" w:space="0" w:color="auto"/>
            <w:left w:val="none" w:sz="0" w:space="0" w:color="auto"/>
            <w:bottom w:val="none" w:sz="0" w:space="0" w:color="auto"/>
            <w:right w:val="none" w:sz="0" w:space="0" w:color="auto"/>
          </w:divBdr>
          <w:divsChild>
            <w:div w:id="1310675966">
              <w:marLeft w:val="0"/>
              <w:marRight w:val="0"/>
              <w:marTop w:val="0"/>
              <w:marBottom w:val="0"/>
              <w:divBdr>
                <w:top w:val="none" w:sz="0" w:space="0" w:color="auto"/>
                <w:left w:val="none" w:sz="0" w:space="0" w:color="auto"/>
                <w:bottom w:val="none" w:sz="0" w:space="0" w:color="auto"/>
                <w:right w:val="none" w:sz="0" w:space="0" w:color="auto"/>
              </w:divBdr>
              <w:divsChild>
                <w:div w:id="45445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10212">
      <w:bodyDiv w:val="1"/>
      <w:marLeft w:val="0"/>
      <w:marRight w:val="0"/>
      <w:marTop w:val="0"/>
      <w:marBottom w:val="0"/>
      <w:divBdr>
        <w:top w:val="none" w:sz="0" w:space="0" w:color="auto"/>
        <w:left w:val="none" w:sz="0" w:space="0" w:color="auto"/>
        <w:bottom w:val="none" w:sz="0" w:space="0" w:color="auto"/>
        <w:right w:val="none" w:sz="0" w:space="0" w:color="auto"/>
      </w:divBdr>
    </w:div>
    <w:div w:id="68771750">
      <w:bodyDiv w:val="1"/>
      <w:marLeft w:val="0"/>
      <w:marRight w:val="0"/>
      <w:marTop w:val="0"/>
      <w:marBottom w:val="0"/>
      <w:divBdr>
        <w:top w:val="none" w:sz="0" w:space="0" w:color="auto"/>
        <w:left w:val="none" w:sz="0" w:space="0" w:color="auto"/>
        <w:bottom w:val="none" w:sz="0" w:space="0" w:color="auto"/>
        <w:right w:val="none" w:sz="0" w:space="0" w:color="auto"/>
      </w:divBdr>
    </w:div>
    <w:div w:id="77485301">
      <w:bodyDiv w:val="1"/>
      <w:marLeft w:val="0"/>
      <w:marRight w:val="0"/>
      <w:marTop w:val="0"/>
      <w:marBottom w:val="0"/>
      <w:divBdr>
        <w:top w:val="none" w:sz="0" w:space="0" w:color="auto"/>
        <w:left w:val="none" w:sz="0" w:space="0" w:color="auto"/>
        <w:bottom w:val="none" w:sz="0" w:space="0" w:color="auto"/>
        <w:right w:val="none" w:sz="0" w:space="0" w:color="auto"/>
      </w:divBdr>
      <w:divsChild>
        <w:div w:id="1174875039">
          <w:marLeft w:val="0"/>
          <w:marRight w:val="0"/>
          <w:marTop w:val="0"/>
          <w:marBottom w:val="0"/>
          <w:divBdr>
            <w:top w:val="none" w:sz="0" w:space="0" w:color="auto"/>
            <w:left w:val="none" w:sz="0" w:space="0" w:color="auto"/>
            <w:bottom w:val="none" w:sz="0" w:space="0" w:color="auto"/>
            <w:right w:val="none" w:sz="0" w:space="0" w:color="auto"/>
          </w:divBdr>
          <w:divsChild>
            <w:div w:id="1718240459">
              <w:marLeft w:val="0"/>
              <w:marRight w:val="0"/>
              <w:marTop w:val="0"/>
              <w:marBottom w:val="0"/>
              <w:divBdr>
                <w:top w:val="none" w:sz="0" w:space="0" w:color="auto"/>
                <w:left w:val="none" w:sz="0" w:space="0" w:color="auto"/>
                <w:bottom w:val="none" w:sz="0" w:space="0" w:color="auto"/>
                <w:right w:val="none" w:sz="0" w:space="0" w:color="auto"/>
              </w:divBdr>
              <w:divsChild>
                <w:div w:id="89516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25665">
      <w:bodyDiv w:val="1"/>
      <w:marLeft w:val="0"/>
      <w:marRight w:val="0"/>
      <w:marTop w:val="0"/>
      <w:marBottom w:val="0"/>
      <w:divBdr>
        <w:top w:val="none" w:sz="0" w:space="0" w:color="auto"/>
        <w:left w:val="none" w:sz="0" w:space="0" w:color="auto"/>
        <w:bottom w:val="none" w:sz="0" w:space="0" w:color="auto"/>
        <w:right w:val="none" w:sz="0" w:space="0" w:color="auto"/>
      </w:divBdr>
    </w:div>
    <w:div w:id="82726561">
      <w:bodyDiv w:val="1"/>
      <w:marLeft w:val="0"/>
      <w:marRight w:val="0"/>
      <w:marTop w:val="0"/>
      <w:marBottom w:val="0"/>
      <w:divBdr>
        <w:top w:val="none" w:sz="0" w:space="0" w:color="auto"/>
        <w:left w:val="none" w:sz="0" w:space="0" w:color="auto"/>
        <w:bottom w:val="none" w:sz="0" w:space="0" w:color="auto"/>
        <w:right w:val="none" w:sz="0" w:space="0" w:color="auto"/>
      </w:divBdr>
    </w:div>
    <w:div w:id="95448240">
      <w:bodyDiv w:val="1"/>
      <w:marLeft w:val="0"/>
      <w:marRight w:val="0"/>
      <w:marTop w:val="0"/>
      <w:marBottom w:val="0"/>
      <w:divBdr>
        <w:top w:val="none" w:sz="0" w:space="0" w:color="auto"/>
        <w:left w:val="none" w:sz="0" w:space="0" w:color="auto"/>
        <w:bottom w:val="none" w:sz="0" w:space="0" w:color="auto"/>
        <w:right w:val="none" w:sz="0" w:space="0" w:color="auto"/>
      </w:divBdr>
    </w:div>
    <w:div w:id="99381476">
      <w:bodyDiv w:val="1"/>
      <w:marLeft w:val="0"/>
      <w:marRight w:val="0"/>
      <w:marTop w:val="0"/>
      <w:marBottom w:val="0"/>
      <w:divBdr>
        <w:top w:val="none" w:sz="0" w:space="0" w:color="auto"/>
        <w:left w:val="none" w:sz="0" w:space="0" w:color="auto"/>
        <w:bottom w:val="none" w:sz="0" w:space="0" w:color="auto"/>
        <w:right w:val="none" w:sz="0" w:space="0" w:color="auto"/>
      </w:divBdr>
    </w:div>
    <w:div w:id="106200047">
      <w:bodyDiv w:val="1"/>
      <w:marLeft w:val="0"/>
      <w:marRight w:val="0"/>
      <w:marTop w:val="0"/>
      <w:marBottom w:val="0"/>
      <w:divBdr>
        <w:top w:val="none" w:sz="0" w:space="0" w:color="auto"/>
        <w:left w:val="none" w:sz="0" w:space="0" w:color="auto"/>
        <w:bottom w:val="none" w:sz="0" w:space="0" w:color="auto"/>
        <w:right w:val="none" w:sz="0" w:space="0" w:color="auto"/>
      </w:divBdr>
    </w:div>
    <w:div w:id="128019909">
      <w:bodyDiv w:val="1"/>
      <w:marLeft w:val="0"/>
      <w:marRight w:val="0"/>
      <w:marTop w:val="0"/>
      <w:marBottom w:val="0"/>
      <w:divBdr>
        <w:top w:val="none" w:sz="0" w:space="0" w:color="auto"/>
        <w:left w:val="none" w:sz="0" w:space="0" w:color="auto"/>
        <w:bottom w:val="none" w:sz="0" w:space="0" w:color="auto"/>
        <w:right w:val="none" w:sz="0" w:space="0" w:color="auto"/>
      </w:divBdr>
    </w:div>
    <w:div w:id="131755343">
      <w:bodyDiv w:val="1"/>
      <w:marLeft w:val="0"/>
      <w:marRight w:val="0"/>
      <w:marTop w:val="0"/>
      <w:marBottom w:val="0"/>
      <w:divBdr>
        <w:top w:val="none" w:sz="0" w:space="0" w:color="auto"/>
        <w:left w:val="none" w:sz="0" w:space="0" w:color="auto"/>
        <w:bottom w:val="none" w:sz="0" w:space="0" w:color="auto"/>
        <w:right w:val="none" w:sz="0" w:space="0" w:color="auto"/>
      </w:divBdr>
    </w:div>
    <w:div w:id="140848299">
      <w:bodyDiv w:val="1"/>
      <w:marLeft w:val="0"/>
      <w:marRight w:val="0"/>
      <w:marTop w:val="0"/>
      <w:marBottom w:val="0"/>
      <w:divBdr>
        <w:top w:val="none" w:sz="0" w:space="0" w:color="auto"/>
        <w:left w:val="none" w:sz="0" w:space="0" w:color="auto"/>
        <w:bottom w:val="none" w:sz="0" w:space="0" w:color="auto"/>
        <w:right w:val="none" w:sz="0" w:space="0" w:color="auto"/>
      </w:divBdr>
      <w:divsChild>
        <w:div w:id="101265688">
          <w:marLeft w:val="0"/>
          <w:marRight w:val="0"/>
          <w:marTop w:val="0"/>
          <w:marBottom w:val="0"/>
          <w:divBdr>
            <w:top w:val="none" w:sz="0" w:space="0" w:color="auto"/>
            <w:left w:val="none" w:sz="0" w:space="0" w:color="auto"/>
            <w:bottom w:val="none" w:sz="0" w:space="0" w:color="auto"/>
            <w:right w:val="none" w:sz="0" w:space="0" w:color="auto"/>
          </w:divBdr>
          <w:divsChild>
            <w:div w:id="2036804191">
              <w:marLeft w:val="0"/>
              <w:marRight w:val="0"/>
              <w:marTop w:val="0"/>
              <w:marBottom w:val="0"/>
              <w:divBdr>
                <w:top w:val="none" w:sz="0" w:space="0" w:color="auto"/>
                <w:left w:val="none" w:sz="0" w:space="0" w:color="auto"/>
                <w:bottom w:val="none" w:sz="0" w:space="0" w:color="auto"/>
                <w:right w:val="none" w:sz="0" w:space="0" w:color="auto"/>
              </w:divBdr>
              <w:divsChild>
                <w:div w:id="46735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79061">
      <w:bodyDiv w:val="1"/>
      <w:marLeft w:val="0"/>
      <w:marRight w:val="0"/>
      <w:marTop w:val="0"/>
      <w:marBottom w:val="0"/>
      <w:divBdr>
        <w:top w:val="none" w:sz="0" w:space="0" w:color="auto"/>
        <w:left w:val="none" w:sz="0" w:space="0" w:color="auto"/>
        <w:bottom w:val="none" w:sz="0" w:space="0" w:color="auto"/>
        <w:right w:val="none" w:sz="0" w:space="0" w:color="auto"/>
      </w:divBdr>
      <w:divsChild>
        <w:div w:id="1063217490">
          <w:marLeft w:val="0"/>
          <w:marRight w:val="0"/>
          <w:marTop w:val="0"/>
          <w:marBottom w:val="0"/>
          <w:divBdr>
            <w:top w:val="none" w:sz="0" w:space="0" w:color="auto"/>
            <w:left w:val="none" w:sz="0" w:space="0" w:color="auto"/>
            <w:bottom w:val="none" w:sz="0" w:space="0" w:color="auto"/>
            <w:right w:val="none" w:sz="0" w:space="0" w:color="auto"/>
          </w:divBdr>
          <w:divsChild>
            <w:div w:id="2042896811">
              <w:marLeft w:val="0"/>
              <w:marRight w:val="0"/>
              <w:marTop w:val="0"/>
              <w:marBottom w:val="0"/>
              <w:divBdr>
                <w:top w:val="none" w:sz="0" w:space="0" w:color="auto"/>
                <w:left w:val="none" w:sz="0" w:space="0" w:color="auto"/>
                <w:bottom w:val="none" w:sz="0" w:space="0" w:color="auto"/>
                <w:right w:val="none" w:sz="0" w:space="0" w:color="auto"/>
              </w:divBdr>
              <w:divsChild>
                <w:div w:id="61984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199">
      <w:bodyDiv w:val="1"/>
      <w:marLeft w:val="0"/>
      <w:marRight w:val="0"/>
      <w:marTop w:val="0"/>
      <w:marBottom w:val="0"/>
      <w:divBdr>
        <w:top w:val="none" w:sz="0" w:space="0" w:color="auto"/>
        <w:left w:val="none" w:sz="0" w:space="0" w:color="auto"/>
        <w:bottom w:val="none" w:sz="0" w:space="0" w:color="auto"/>
        <w:right w:val="none" w:sz="0" w:space="0" w:color="auto"/>
      </w:divBdr>
    </w:div>
    <w:div w:id="191112913">
      <w:bodyDiv w:val="1"/>
      <w:marLeft w:val="0"/>
      <w:marRight w:val="0"/>
      <w:marTop w:val="0"/>
      <w:marBottom w:val="0"/>
      <w:divBdr>
        <w:top w:val="none" w:sz="0" w:space="0" w:color="auto"/>
        <w:left w:val="none" w:sz="0" w:space="0" w:color="auto"/>
        <w:bottom w:val="none" w:sz="0" w:space="0" w:color="auto"/>
        <w:right w:val="none" w:sz="0" w:space="0" w:color="auto"/>
      </w:divBdr>
    </w:div>
    <w:div w:id="210311768">
      <w:bodyDiv w:val="1"/>
      <w:marLeft w:val="0"/>
      <w:marRight w:val="0"/>
      <w:marTop w:val="0"/>
      <w:marBottom w:val="0"/>
      <w:divBdr>
        <w:top w:val="none" w:sz="0" w:space="0" w:color="auto"/>
        <w:left w:val="none" w:sz="0" w:space="0" w:color="auto"/>
        <w:bottom w:val="none" w:sz="0" w:space="0" w:color="auto"/>
        <w:right w:val="none" w:sz="0" w:space="0" w:color="auto"/>
      </w:divBdr>
      <w:divsChild>
        <w:div w:id="329018527">
          <w:marLeft w:val="274"/>
          <w:marRight w:val="0"/>
          <w:marTop w:val="0"/>
          <w:marBottom w:val="0"/>
          <w:divBdr>
            <w:top w:val="none" w:sz="0" w:space="0" w:color="auto"/>
            <w:left w:val="none" w:sz="0" w:space="0" w:color="auto"/>
            <w:bottom w:val="none" w:sz="0" w:space="0" w:color="auto"/>
            <w:right w:val="none" w:sz="0" w:space="0" w:color="auto"/>
          </w:divBdr>
        </w:div>
        <w:div w:id="530456274">
          <w:marLeft w:val="274"/>
          <w:marRight w:val="0"/>
          <w:marTop w:val="0"/>
          <w:marBottom w:val="0"/>
          <w:divBdr>
            <w:top w:val="none" w:sz="0" w:space="0" w:color="auto"/>
            <w:left w:val="none" w:sz="0" w:space="0" w:color="auto"/>
            <w:bottom w:val="none" w:sz="0" w:space="0" w:color="auto"/>
            <w:right w:val="none" w:sz="0" w:space="0" w:color="auto"/>
          </w:divBdr>
        </w:div>
        <w:div w:id="540358848">
          <w:marLeft w:val="274"/>
          <w:marRight w:val="0"/>
          <w:marTop w:val="0"/>
          <w:marBottom w:val="0"/>
          <w:divBdr>
            <w:top w:val="none" w:sz="0" w:space="0" w:color="auto"/>
            <w:left w:val="none" w:sz="0" w:space="0" w:color="auto"/>
            <w:bottom w:val="none" w:sz="0" w:space="0" w:color="auto"/>
            <w:right w:val="none" w:sz="0" w:space="0" w:color="auto"/>
          </w:divBdr>
        </w:div>
        <w:div w:id="552621615">
          <w:marLeft w:val="274"/>
          <w:marRight w:val="0"/>
          <w:marTop w:val="0"/>
          <w:marBottom w:val="0"/>
          <w:divBdr>
            <w:top w:val="none" w:sz="0" w:space="0" w:color="auto"/>
            <w:left w:val="none" w:sz="0" w:space="0" w:color="auto"/>
            <w:bottom w:val="none" w:sz="0" w:space="0" w:color="auto"/>
            <w:right w:val="none" w:sz="0" w:space="0" w:color="auto"/>
          </w:divBdr>
        </w:div>
        <w:div w:id="666978907">
          <w:marLeft w:val="274"/>
          <w:marRight w:val="0"/>
          <w:marTop w:val="0"/>
          <w:marBottom w:val="0"/>
          <w:divBdr>
            <w:top w:val="none" w:sz="0" w:space="0" w:color="auto"/>
            <w:left w:val="none" w:sz="0" w:space="0" w:color="auto"/>
            <w:bottom w:val="none" w:sz="0" w:space="0" w:color="auto"/>
            <w:right w:val="none" w:sz="0" w:space="0" w:color="auto"/>
          </w:divBdr>
        </w:div>
        <w:div w:id="710031468">
          <w:marLeft w:val="274"/>
          <w:marRight w:val="0"/>
          <w:marTop w:val="0"/>
          <w:marBottom w:val="0"/>
          <w:divBdr>
            <w:top w:val="none" w:sz="0" w:space="0" w:color="auto"/>
            <w:left w:val="none" w:sz="0" w:space="0" w:color="auto"/>
            <w:bottom w:val="none" w:sz="0" w:space="0" w:color="auto"/>
            <w:right w:val="none" w:sz="0" w:space="0" w:color="auto"/>
          </w:divBdr>
        </w:div>
        <w:div w:id="1247617033">
          <w:marLeft w:val="274"/>
          <w:marRight w:val="0"/>
          <w:marTop w:val="0"/>
          <w:marBottom w:val="0"/>
          <w:divBdr>
            <w:top w:val="none" w:sz="0" w:space="0" w:color="auto"/>
            <w:left w:val="none" w:sz="0" w:space="0" w:color="auto"/>
            <w:bottom w:val="none" w:sz="0" w:space="0" w:color="auto"/>
            <w:right w:val="none" w:sz="0" w:space="0" w:color="auto"/>
          </w:divBdr>
        </w:div>
        <w:div w:id="1375227968">
          <w:marLeft w:val="274"/>
          <w:marRight w:val="0"/>
          <w:marTop w:val="0"/>
          <w:marBottom w:val="0"/>
          <w:divBdr>
            <w:top w:val="none" w:sz="0" w:space="0" w:color="auto"/>
            <w:left w:val="none" w:sz="0" w:space="0" w:color="auto"/>
            <w:bottom w:val="none" w:sz="0" w:space="0" w:color="auto"/>
            <w:right w:val="none" w:sz="0" w:space="0" w:color="auto"/>
          </w:divBdr>
        </w:div>
        <w:div w:id="1531917031">
          <w:marLeft w:val="274"/>
          <w:marRight w:val="0"/>
          <w:marTop w:val="0"/>
          <w:marBottom w:val="0"/>
          <w:divBdr>
            <w:top w:val="none" w:sz="0" w:space="0" w:color="auto"/>
            <w:left w:val="none" w:sz="0" w:space="0" w:color="auto"/>
            <w:bottom w:val="none" w:sz="0" w:space="0" w:color="auto"/>
            <w:right w:val="none" w:sz="0" w:space="0" w:color="auto"/>
          </w:divBdr>
        </w:div>
        <w:div w:id="1546722920">
          <w:marLeft w:val="274"/>
          <w:marRight w:val="0"/>
          <w:marTop w:val="0"/>
          <w:marBottom w:val="0"/>
          <w:divBdr>
            <w:top w:val="none" w:sz="0" w:space="0" w:color="auto"/>
            <w:left w:val="none" w:sz="0" w:space="0" w:color="auto"/>
            <w:bottom w:val="none" w:sz="0" w:space="0" w:color="auto"/>
            <w:right w:val="none" w:sz="0" w:space="0" w:color="auto"/>
          </w:divBdr>
        </w:div>
        <w:div w:id="1607689228">
          <w:marLeft w:val="274"/>
          <w:marRight w:val="0"/>
          <w:marTop w:val="0"/>
          <w:marBottom w:val="0"/>
          <w:divBdr>
            <w:top w:val="none" w:sz="0" w:space="0" w:color="auto"/>
            <w:left w:val="none" w:sz="0" w:space="0" w:color="auto"/>
            <w:bottom w:val="none" w:sz="0" w:space="0" w:color="auto"/>
            <w:right w:val="none" w:sz="0" w:space="0" w:color="auto"/>
          </w:divBdr>
        </w:div>
        <w:div w:id="1630088825">
          <w:marLeft w:val="274"/>
          <w:marRight w:val="0"/>
          <w:marTop w:val="0"/>
          <w:marBottom w:val="0"/>
          <w:divBdr>
            <w:top w:val="none" w:sz="0" w:space="0" w:color="auto"/>
            <w:left w:val="none" w:sz="0" w:space="0" w:color="auto"/>
            <w:bottom w:val="none" w:sz="0" w:space="0" w:color="auto"/>
            <w:right w:val="none" w:sz="0" w:space="0" w:color="auto"/>
          </w:divBdr>
        </w:div>
        <w:div w:id="2082829305">
          <w:marLeft w:val="274"/>
          <w:marRight w:val="0"/>
          <w:marTop w:val="0"/>
          <w:marBottom w:val="0"/>
          <w:divBdr>
            <w:top w:val="none" w:sz="0" w:space="0" w:color="auto"/>
            <w:left w:val="none" w:sz="0" w:space="0" w:color="auto"/>
            <w:bottom w:val="none" w:sz="0" w:space="0" w:color="auto"/>
            <w:right w:val="none" w:sz="0" w:space="0" w:color="auto"/>
          </w:divBdr>
        </w:div>
      </w:divsChild>
    </w:div>
    <w:div w:id="233979762">
      <w:bodyDiv w:val="1"/>
      <w:marLeft w:val="0"/>
      <w:marRight w:val="0"/>
      <w:marTop w:val="0"/>
      <w:marBottom w:val="0"/>
      <w:divBdr>
        <w:top w:val="none" w:sz="0" w:space="0" w:color="auto"/>
        <w:left w:val="none" w:sz="0" w:space="0" w:color="auto"/>
        <w:bottom w:val="none" w:sz="0" w:space="0" w:color="auto"/>
        <w:right w:val="none" w:sz="0" w:space="0" w:color="auto"/>
      </w:divBdr>
      <w:divsChild>
        <w:div w:id="1598095630">
          <w:marLeft w:val="0"/>
          <w:marRight w:val="0"/>
          <w:marTop w:val="0"/>
          <w:marBottom w:val="0"/>
          <w:divBdr>
            <w:top w:val="none" w:sz="0" w:space="0" w:color="auto"/>
            <w:left w:val="none" w:sz="0" w:space="0" w:color="auto"/>
            <w:bottom w:val="none" w:sz="0" w:space="0" w:color="auto"/>
            <w:right w:val="none" w:sz="0" w:space="0" w:color="auto"/>
          </w:divBdr>
          <w:divsChild>
            <w:div w:id="421873091">
              <w:marLeft w:val="0"/>
              <w:marRight w:val="0"/>
              <w:marTop w:val="0"/>
              <w:marBottom w:val="0"/>
              <w:divBdr>
                <w:top w:val="none" w:sz="0" w:space="0" w:color="auto"/>
                <w:left w:val="none" w:sz="0" w:space="0" w:color="auto"/>
                <w:bottom w:val="none" w:sz="0" w:space="0" w:color="auto"/>
                <w:right w:val="none" w:sz="0" w:space="0" w:color="auto"/>
              </w:divBdr>
              <w:divsChild>
                <w:div w:id="110206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563719">
      <w:bodyDiv w:val="1"/>
      <w:marLeft w:val="0"/>
      <w:marRight w:val="0"/>
      <w:marTop w:val="0"/>
      <w:marBottom w:val="0"/>
      <w:divBdr>
        <w:top w:val="none" w:sz="0" w:space="0" w:color="auto"/>
        <w:left w:val="none" w:sz="0" w:space="0" w:color="auto"/>
        <w:bottom w:val="none" w:sz="0" w:space="0" w:color="auto"/>
        <w:right w:val="none" w:sz="0" w:space="0" w:color="auto"/>
      </w:divBdr>
    </w:div>
    <w:div w:id="254367703">
      <w:bodyDiv w:val="1"/>
      <w:marLeft w:val="0"/>
      <w:marRight w:val="0"/>
      <w:marTop w:val="0"/>
      <w:marBottom w:val="0"/>
      <w:divBdr>
        <w:top w:val="none" w:sz="0" w:space="0" w:color="auto"/>
        <w:left w:val="none" w:sz="0" w:space="0" w:color="auto"/>
        <w:bottom w:val="none" w:sz="0" w:space="0" w:color="auto"/>
        <w:right w:val="none" w:sz="0" w:space="0" w:color="auto"/>
      </w:divBdr>
    </w:div>
    <w:div w:id="256259408">
      <w:bodyDiv w:val="1"/>
      <w:marLeft w:val="0"/>
      <w:marRight w:val="0"/>
      <w:marTop w:val="0"/>
      <w:marBottom w:val="0"/>
      <w:divBdr>
        <w:top w:val="none" w:sz="0" w:space="0" w:color="auto"/>
        <w:left w:val="none" w:sz="0" w:space="0" w:color="auto"/>
        <w:bottom w:val="none" w:sz="0" w:space="0" w:color="auto"/>
        <w:right w:val="none" w:sz="0" w:space="0" w:color="auto"/>
      </w:divBdr>
      <w:divsChild>
        <w:div w:id="816335951">
          <w:marLeft w:val="0"/>
          <w:marRight w:val="0"/>
          <w:marTop w:val="0"/>
          <w:marBottom w:val="0"/>
          <w:divBdr>
            <w:top w:val="none" w:sz="0" w:space="0" w:color="auto"/>
            <w:left w:val="none" w:sz="0" w:space="0" w:color="auto"/>
            <w:bottom w:val="none" w:sz="0" w:space="0" w:color="auto"/>
            <w:right w:val="none" w:sz="0" w:space="0" w:color="auto"/>
          </w:divBdr>
          <w:divsChild>
            <w:div w:id="1703819086">
              <w:marLeft w:val="0"/>
              <w:marRight w:val="0"/>
              <w:marTop w:val="0"/>
              <w:marBottom w:val="0"/>
              <w:divBdr>
                <w:top w:val="none" w:sz="0" w:space="0" w:color="auto"/>
                <w:left w:val="none" w:sz="0" w:space="0" w:color="auto"/>
                <w:bottom w:val="none" w:sz="0" w:space="0" w:color="auto"/>
                <w:right w:val="none" w:sz="0" w:space="0" w:color="auto"/>
              </w:divBdr>
              <w:divsChild>
                <w:div w:id="85815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742570">
      <w:bodyDiv w:val="1"/>
      <w:marLeft w:val="0"/>
      <w:marRight w:val="0"/>
      <w:marTop w:val="0"/>
      <w:marBottom w:val="0"/>
      <w:divBdr>
        <w:top w:val="none" w:sz="0" w:space="0" w:color="auto"/>
        <w:left w:val="none" w:sz="0" w:space="0" w:color="auto"/>
        <w:bottom w:val="none" w:sz="0" w:space="0" w:color="auto"/>
        <w:right w:val="none" w:sz="0" w:space="0" w:color="auto"/>
      </w:divBdr>
      <w:divsChild>
        <w:div w:id="462423895">
          <w:marLeft w:val="547"/>
          <w:marRight w:val="0"/>
          <w:marTop w:val="0"/>
          <w:marBottom w:val="0"/>
          <w:divBdr>
            <w:top w:val="none" w:sz="0" w:space="0" w:color="auto"/>
            <w:left w:val="none" w:sz="0" w:space="0" w:color="auto"/>
            <w:bottom w:val="none" w:sz="0" w:space="0" w:color="auto"/>
            <w:right w:val="none" w:sz="0" w:space="0" w:color="auto"/>
          </w:divBdr>
        </w:div>
        <w:div w:id="488329957">
          <w:marLeft w:val="547"/>
          <w:marRight w:val="0"/>
          <w:marTop w:val="0"/>
          <w:marBottom w:val="0"/>
          <w:divBdr>
            <w:top w:val="none" w:sz="0" w:space="0" w:color="auto"/>
            <w:left w:val="none" w:sz="0" w:space="0" w:color="auto"/>
            <w:bottom w:val="none" w:sz="0" w:space="0" w:color="auto"/>
            <w:right w:val="none" w:sz="0" w:space="0" w:color="auto"/>
          </w:divBdr>
        </w:div>
        <w:div w:id="617490324">
          <w:marLeft w:val="547"/>
          <w:marRight w:val="0"/>
          <w:marTop w:val="0"/>
          <w:marBottom w:val="0"/>
          <w:divBdr>
            <w:top w:val="none" w:sz="0" w:space="0" w:color="auto"/>
            <w:left w:val="none" w:sz="0" w:space="0" w:color="auto"/>
            <w:bottom w:val="none" w:sz="0" w:space="0" w:color="auto"/>
            <w:right w:val="none" w:sz="0" w:space="0" w:color="auto"/>
          </w:divBdr>
        </w:div>
        <w:div w:id="726607341">
          <w:marLeft w:val="547"/>
          <w:marRight w:val="0"/>
          <w:marTop w:val="0"/>
          <w:marBottom w:val="0"/>
          <w:divBdr>
            <w:top w:val="none" w:sz="0" w:space="0" w:color="auto"/>
            <w:left w:val="none" w:sz="0" w:space="0" w:color="auto"/>
            <w:bottom w:val="none" w:sz="0" w:space="0" w:color="auto"/>
            <w:right w:val="none" w:sz="0" w:space="0" w:color="auto"/>
          </w:divBdr>
        </w:div>
        <w:div w:id="1697344300">
          <w:marLeft w:val="547"/>
          <w:marRight w:val="0"/>
          <w:marTop w:val="0"/>
          <w:marBottom w:val="0"/>
          <w:divBdr>
            <w:top w:val="none" w:sz="0" w:space="0" w:color="auto"/>
            <w:left w:val="none" w:sz="0" w:space="0" w:color="auto"/>
            <w:bottom w:val="none" w:sz="0" w:space="0" w:color="auto"/>
            <w:right w:val="none" w:sz="0" w:space="0" w:color="auto"/>
          </w:divBdr>
        </w:div>
        <w:div w:id="1854762320">
          <w:marLeft w:val="547"/>
          <w:marRight w:val="0"/>
          <w:marTop w:val="0"/>
          <w:marBottom w:val="0"/>
          <w:divBdr>
            <w:top w:val="none" w:sz="0" w:space="0" w:color="auto"/>
            <w:left w:val="none" w:sz="0" w:space="0" w:color="auto"/>
            <w:bottom w:val="none" w:sz="0" w:space="0" w:color="auto"/>
            <w:right w:val="none" w:sz="0" w:space="0" w:color="auto"/>
          </w:divBdr>
        </w:div>
      </w:divsChild>
    </w:div>
    <w:div w:id="299504754">
      <w:bodyDiv w:val="1"/>
      <w:marLeft w:val="0"/>
      <w:marRight w:val="0"/>
      <w:marTop w:val="0"/>
      <w:marBottom w:val="0"/>
      <w:divBdr>
        <w:top w:val="none" w:sz="0" w:space="0" w:color="auto"/>
        <w:left w:val="none" w:sz="0" w:space="0" w:color="auto"/>
        <w:bottom w:val="none" w:sz="0" w:space="0" w:color="auto"/>
        <w:right w:val="none" w:sz="0" w:space="0" w:color="auto"/>
      </w:divBdr>
      <w:divsChild>
        <w:div w:id="54477889">
          <w:marLeft w:val="0"/>
          <w:marRight w:val="0"/>
          <w:marTop w:val="0"/>
          <w:marBottom w:val="0"/>
          <w:divBdr>
            <w:top w:val="none" w:sz="0" w:space="0" w:color="auto"/>
            <w:left w:val="none" w:sz="0" w:space="0" w:color="auto"/>
            <w:bottom w:val="none" w:sz="0" w:space="0" w:color="auto"/>
            <w:right w:val="none" w:sz="0" w:space="0" w:color="auto"/>
          </w:divBdr>
          <w:divsChild>
            <w:div w:id="1017461834">
              <w:marLeft w:val="0"/>
              <w:marRight w:val="0"/>
              <w:marTop w:val="0"/>
              <w:marBottom w:val="0"/>
              <w:divBdr>
                <w:top w:val="none" w:sz="0" w:space="0" w:color="auto"/>
                <w:left w:val="none" w:sz="0" w:space="0" w:color="auto"/>
                <w:bottom w:val="none" w:sz="0" w:space="0" w:color="auto"/>
                <w:right w:val="none" w:sz="0" w:space="0" w:color="auto"/>
              </w:divBdr>
              <w:divsChild>
                <w:div w:id="849030442">
                  <w:marLeft w:val="0"/>
                  <w:marRight w:val="0"/>
                  <w:marTop w:val="0"/>
                  <w:marBottom w:val="0"/>
                  <w:divBdr>
                    <w:top w:val="none" w:sz="0" w:space="0" w:color="auto"/>
                    <w:left w:val="none" w:sz="0" w:space="0" w:color="auto"/>
                    <w:bottom w:val="none" w:sz="0" w:space="0" w:color="auto"/>
                    <w:right w:val="none" w:sz="0" w:space="0" w:color="auto"/>
                  </w:divBdr>
                  <w:divsChild>
                    <w:div w:id="174044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706610">
      <w:bodyDiv w:val="1"/>
      <w:marLeft w:val="0"/>
      <w:marRight w:val="0"/>
      <w:marTop w:val="0"/>
      <w:marBottom w:val="0"/>
      <w:divBdr>
        <w:top w:val="none" w:sz="0" w:space="0" w:color="auto"/>
        <w:left w:val="none" w:sz="0" w:space="0" w:color="auto"/>
        <w:bottom w:val="none" w:sz="0" w:space="0" w:color="auto"/>
        <w:right w:val="none" w:sz="0" w:space="0" w:color="auto"/>
      </w:divBdr>
    </w:div>
    <w:div w:id="322515486">
      <w:bodyDiv w:val="1"/>
      <w:marLeft w:val="0"/>
      <w:marRight w:val="0"/>
      <w:marTop w:val="0"/>
      <w:marBottom w:val="0"/>
      <w:divBdr>
        <w:top w:val="none" w:sz="0" w:space="0" w:color="auto"/>
        <w:left w:val="none" w:sz="0" w:space="0" w:color="auto"/>
        <w:bottom w:val="none" w:sz="0" w:space="0" w:color="auto"/>
        <w:right w:val="none" w:sz="0" w:space="0" w:color="auto"/>
      </w:divBdr>
    </w:div>
    <w:div w:id="327103155">
      <w:bodyDiv w:val="1"/>
      <w:marLeft w:val="0"/>
      <w:marRight w:val="0"/>
      <w:marTop w:val="0"/>
      <w:marBottom w:val="0"/>
      <w:divBdr>
        <w:top w:val="none" w:sz="0" w:space="0" w:color="auto"/>
        <w:left w:val="none" w:sz="0" w:space="0" w:color="auto"/>
        <w:bottom w:val="none" w:sz="0" w:space="0" w:color="auto"/>
        <w:right w:val="none" w:sz="0" w:space="0" w:color="auto"/>
      </w:divBdr>
    </w:div>
    <w:div w:id="358631961">
      <w:bodyDiv w:val="1"/>
      <w:marLeft w:val="0"/>
      <w:marRight w:val="0"/>
      <w:marTop w:val="0"/>
      <w:marBottom w:val="0"/>
      <w:divBdr>
        <w:top w:val="none" w:sz="0" w:space="0" w:color="auto"/>
        <w:left w:val="none" w:sz="0" w:space="0" w:color="auto"/>
        <w:bottom w:val="none" w:sz="0" w:space="0" w:color="auto"/>
        <w:right w:val="none" w:sz="0" w:space="0" w:color="auto"/>
      </w:divBdr>
    </w:div>
    <w:div w:id="373581504">
      <w:bodyDiv w:val="1"/>
      <w:marLeft w:val="0"/>
      <w:marRight w:val="0"/>
      <w:marTop w:val="0"/>
      <w:marBottom w:val="0"/>
      <w:divBdr>
        <w:top w:val="none" w:sz="0" w:space="0" w:color="auto"/>
        <w:left w:val="none" w:sz="0" w:space="0" w:color="auto"/>
        <w:bottom w:val="none" w:sz="0" w:space="0" w:color="auto"/>
        <w:right w:val="none" w:sz="0" w:space="0" w:color="auto"/>
      </w:divBdr>
    </w:div>
    <w:div w:id="394202248">
      <w:bodyDiv w:val="1"/>
      <w:marLeft w:val="0"/>
      <w:marRight w:val="0"/>
      <w:marTop w:val="0"/>
      <w:marBottom w:val="0"/>
      <w:divBdr>
        <w:top w:val="none" w:sz="0" w:space="0" w:color="auto"/>
        <w:left w:val="none" w:sz="0" w:space="0" w:color="auto"/>
        <w:bottom w:val="none" w:sz="0" w:space="0" w:color="auto"/>
        <w:right w:val="none" w:sz="0" w:space="0" w:color="auto"/>
      </w:divBdr>
    </w:div>
    <w:div w:id="398939910">
      <w:bodyDiv w:val="1"/>
      <w:marLeft w:val="0"/>
      <w:marRight w:val="0"/>
      <w:marTop w:val="0"/>
      <w:marBottom w:val="0"/>
      <w:divBdr>
        <w:top w:val="none" w:sz="0" w:space="0" w:color="auto"/>
        <w:left w:val="none" w:sz="0" w:space="0" w:color="auto"/>
        <w:bottom w:val="none" w:sz="0" w:space="0" w:color="auto"/>
        <w:right w:val="none" w:sz="0" w:space="0" w:color="auto"/>
      </w:divBdr>
    </w:div>
    <w:div w:id="414279247">
      <w:bodyDiv w:val="1"/>
      <w:marLeft w:val="0"/>
      <w:marRight w:val="0"/>
      <w:marTop w:val="0"/>
      <w:marBottom w:val="0"/>
      <w:divBdr>
        <w:top w:val="none" w:sz="0" w:space="0" w:color="auto"/>
        <w:left w:val="none" w:sz="0" w:space="0" w:color="auto"/>
        <w:bottom w:val="none" w:sz="0" w:space="0" w:color="auto"/>
        <w:right w:val="none" w:sz="0" w:space="0" w:color="auto"/>
      </w:divBdr>
    </w:div>
    <w:div w:id="447699629">
      <w:bodyDiv w:val="1"/>
      <w:marLeft w:val="0"/>
      <w:marRight w:val="0"/>
      <w:marTop w:val="0"/>
      <w:marBottom w:val="0"/>
      <w:divBdr>
        <w:top w:val="none" w:sz="0" w:space="0" w:color="auto"/>
        <w:left w:val="none" w:sz="0" w:space="0" w:color="auto"/>
        <w:bottom w:val="none" w:sz="0" w:space="0" w:color="auto"/>
        <w:right w:val="none" w:sz="0" w:space="0" w:color="auto"/>
      </w:divBdr>
    </w:div>
    <w:div w:id="449783293">
      <w:bodyDiv w:val="1"/>
      <w:marLeft w:val="0"/>
      <w:marRight w:val="0"/>
      <w:marTop w:val="0"/>
      <w:marBottom w:val="0"/>
      <w:divBdr>
        <w:top w:val="none" w:sz="0" w:space="0" w:color="auto"/>
        <w:left w:val="none" w:sz="0" w:space="0" w:color="auto"/>
        <w:bottom w:val="none" w:sz="0" w:space="0" w:color="auto"/>
        <w:right w:val="none" w:sz="0" w:space="0" w:color="auto"/>
      </w:divBdr>
    </w:div>
    <w:div w:id="449786911">
      <w:bodyDiv w:val="1"/>
      <w:marLeft w:val="0"/>
      <w:marRight w:val="0"/>
      <w:marTop w:val="0"/>
      <w:marBottom w:val="0"/>
      <w:divBdr>
        <w:top w:val="none" w:sz="0" w:space="0" w:color="auto"/>
        <w:left w:val="none" w:sz="0" w:space="0" w:color="auto"/>
        <w:bottom w:val="none" w:sz="0" w:space="0" w:color="auto"/>
        <w:right w:val="none" w:sz="0" w:space="0" w:color="auto"/>
      </w:divBdr>
    </w:div>
    <w:div w:id="458037937">
      <w:bodyDiv w:val="1"/>
      <w:marLeft w:val="0"/>
      <w:marRight w:val="0"/>
      <w:marTop w:val="0"/>
      <w:marBottom w:val="0"/>
      <w:divBdr>
        <w:top w:val="none" w:sz="0" w:space="0" w:color="auto"/>
        <w:left w:val="none" w:sz="0" w:space="0" w:color="auto"/>
        <w:bottom w:val="none" w:sz="0" w:space="0" w:color="auto"/>
        <w:right w:val="none" w:sz="0" w:space="0" w:color="auto"/>
      </w:divBdr>
    </w:div>
    <w:div w:id="474572154">
      <w:bodyDiv w:val="1"/>
      <w:marLeft w:val="0"/>
      <w:marRight w:val="0"/>
      <w:marTop w:val="0"/>
      <w:marBottom w:val="0"/>
      <w:divBdr>
        <w:top w:val="none" w:sz="0" w:space="0" w:color="auto"/>
        <w:left w:val="none" w:sz="0" w:space="0" w:color="auto"/>
        <w:bottom w:val="none" w:sz="0" w:space="0" w:color="auto"/>
        <w:right w:val="none" w:sz="0" w:space="0" w:color="auto"/>
      </w:divBdr>
      <w:divsChild>
        <w:div w:id="110521125">
          <w:marLeft w:val="0"/>
          <w:marRight w:val="0"/>
          <w:marTop w:val="0"/>
          <w:marBottom w:val="0"/>
          <w:divBdr>
            <w:top w:val="none" w:sz="0" w:space="0" w:color="auto"/>
            <w:left w:val="none" w:sz="0" w:space="0" w:color="auto"/>
            <w:bottom w:val="none" w:sz="0" w:space="0" w:color="auto"/>
            <w:right w:val="none" w:sz="0" w:space="0" w:color="auto"/>
          </w:divBdr>
          <w:divsChild>
            <w:div w:id="1770349325">
              <w:marLeft w:val="0"/>
              <w:marRight w:val="0"/>
              <w:marTop w:val="0"/>
              <w:marBottom w:val="0"/>
              <w:divBdr>
                <w:top w:val="none" w:sz="0" w:space="0" w:color="auto"/>
                <w:left w:val="none" w:sz="0" w:space="0" w:color="auto"/>
                <w:bottom w:val="none" w:sz="0" w:space="0" w:color="auto"/>
                <w:right w:val="none" w:sz="0" w:space="0" w:color="auto"/>
              </w:divBdr>
              <w:divsChild>
                <w:div w:id="5743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881973">
      <w:bodyDiv w:val="1"/>
      <w:marLeft w:val="0"/>
      <w:marRight w:val="0"/>
      <w:marTop w:val="0"/>
      <w:marBottom w:val="0"/>
      <w:divBdr>
        <w:top w:val="none" w:sz="0" w:space="0" w:color="auto"/>
        <w:left w:val="none" w:sz="0" w:space="0" w:color="auto"/>
        <w:bottom w:val="none" w:sz="0" w:space="0" w:color="auto"/>
        <w:right w:val="none" w:sz="0" w:space="0" w:color="auto"/>
      </w:divBdr>
    </w:div>
    <w:div w:id="497619583">
      <w:bodyDiv w:val="1"/>
      <w:marLeft w:val="0"/>
      <w:marRight w:val="0"/>
      <w:marTop w:val="0"/>
      <w:marBottom w:val="0"/>
      <w:divBdr>
        <w:top w:val="none" w:sz="0" w:space="0" w:color="auto"/>
        <w:left w:val="none" w:sz="0" w:space="0" w:color="auto"/>
        <w:bottom w:val="none" w:sz="0" w:space="0" w:color="auto"/>
        <w:right w:val="none" w:sz="0" w:space="0" w:color="auto"/>
      </w:divBdr>
      <w:divsChild>
        <w:div w:id="100956903">
          <w:marLeft w:val="0"/>
          <w:marRight w:val="0"/>
          <w:marTop w:val="0"/>
          <w:marBottom w:val="0"/>
          <w:divBdr>
            <w:top w:val="none" w:sz="0" w:space="0" w:color="auto"/>
            <w:left w:val="none" w:sz="0" w:space="0" w:color="auto"/>
            <w:bottom w:val="none" w:sz="0" w:space="0" w:color="auto"/>
            <w:right w:val="none" w:sz="0" w:space="0" w:color="auto"/>
          </w:divBdr>
          <w:divsChild>
            <w:div w:id="2125492025">
              <w:marLeft w:val="0"/>
              <w:marRight w:val="0"/>
              <w:marTop w:val="0"/>
              <w:marBottom w:val="0"/>
              <w:divBdr>
                <w:top w:val="none" w:sz="0" w:space="0" w:color="auto"/>
                <w:left w:val="none" w:sz="0" w:space="0" w:color="auto"/>
                <w:bottom w:val="none" w:sz="0" w:space="0" w:color="auto"/>
                <w:right w:val="none" w:sz="0" w:space="0" w:color="auto"/>
              </w:divBdr>
              <w:divsChild>
                <w:div w:id="173291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623328">
      <w:bodyDiv w:val="1"/>
      <w:marLeft w:val="0"/>
      <w:marRight w:val="0"/>
      <w:marTop w:val="0"/>
      <w:marBottom w:val="0"/>
      <w:divBdr>
        <w:top w:val="none" w:sz="0" w:space="0" w:color="auto"/>
        <w:left w:val="none" w:sz="0" w:space="0" w:color="auto"/>
        <w:bottom w:val="none" w:sz="0" w:space="0" w:color="auto"/>
        <w:right w:val="none" w:sz="0" w:space="0" w:color="auto"/>
      </w:divBdr>
      <w:divsChild>
        <w:div w:id="1252471562">
          <w:marLeft w:val="0"/>
          <w:marRight w:val="0"/>
          <w:marTop w:val="0"/>
          <w:marBottom w:val="0"/>
          <w:divBdr>
            <w:top w:val="none" w:sz="0" w:space="0" w:color="auto"/>
            <w:left w:val="none" w:sz="0" w:space="0" w:color="auto"/>
            <w:bottom w:val="none" w:sz="0" w:space="0" w:color="auto"/>
            <w:right w:val="none" w:sz="0" w:space="0" w:color="auto"/>
          </w:divBdr>
          <w:divsChild>
            <w:div w:id="1577593367">
              <w:marLeft w:val="0"/>
              <w:marRight w:val="0"/>
              <w:marTop w:val="0"/>
              <w:marBottom w:val="0"/>
              <w:divBdr>
                <w:top w:val="none" w:sz="0" w:space="0" w:color="auto"/>
                <w:left w:val="none" w:sz="0" w:space="0" w:color="auto"/>
                <w:bottom w:val="none" w:sz="0" w:space="0" w:color="auto"/>
                <w:right w:val="none" w:sz="0" w:space="0" w:color="auto"/>
              </w:divBdr>
              <w:divsChild>
                <w:div w:id="111990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698087">
      <w:bodyDiv w:val="1"/>
      <w:marLeft w:val="0"/>
      <w:marRight w:val="0"/>
      <w:marTop w:val="0"/>
      <w:marBottom w:val="0"/>
      <w:divBdr>
        <w:top w:val="none" w:sz="0" w:space="0" w:color="auto"/>
        <w:left w:val="none" w:sz="0" w:space="0" w:color="auto"/>
        <w:bottom w:val="none" w:sz="0" w:space="0" w:color="auto"/>
        <w:right w:val="none" w:sz="0" w:space="0" w:color="auto"/>
      </w:divBdr>
      <w:divsChild>
        <w:div w:id="1375688697">
          <w:marLeft w:val="0"/>
          <w:marRight w:val="0"/>
          <w:marTop w:val="0"/>
          <w:marBottom w:val="0"/>
          <w:divBdr>
            <w:top w:val="none" w:sz="0" w:space="0" w:color="auto"/>
            <w:left w:val="none" w:sz="0" w:space="0" w:color="auto"/>
            <w:bottom w:val="none" w:sz="0" w:space="0" w:color="auto"/>
            <w:right w:val="none" w:sz="0" w:space="0" w:color="auto"/>
          </w:divBdr>
          <w:divsChild>
            <w:div w:id="328797587">
              <w:marLeft w:val="0"/>
              <w:marRight w:val="0"/>
              <w:marTop w:val="0"/>
              <w:marBottom w:val="0"/>
              <w:divBdr>
                <w:top w:val="none" w:sz="0" w:space="0" w:color="auto"/>
                <w:left w:val="none" w:sz="0" w:space="0" w:color="auto"/>
                <w:bottom w:val="none" w:sz="0" w:space="0" w:color="auto"/>
                <w:right w:val="none" w:sz="0" w:space="0" w:color="auto"/>
              </w:divBdr>
              <w:divsChild>
                <w:div w:id="1686133063">
                  <w:marLeft w:val="0"/>
                  <w:marRight w:val="0"/>
                  <w:marTop w:val="0"/>
                  <w:marBottom w:val="0"/>
                  <w:divBdr>
                    <w:top w:val="none" w:sz="0" w:space="0" w:color="auto"/>
                    <w:left w:val="none" w:sz="0" w:space="0" w:color="auto"/>
                    <w:bottom w:val="none" w:sz="0" w:space="0" w:color="auto"/>
                    <w:right w:val="none" w:sz="0" w:space="0" w:color="auto"/>
                  </w:divBdr>
                  <w:divsChild>
                    <w:div w:id="14685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630249">
      <w:bodyDiv w:val="1"/>
      <w:marLeft w:val="0"/>
      <w:marRight w:val="0"/>
      <w:marTop w:val="0"/>
      <w:marBottom w:val="0"/>
      <w:divBdr>
        <w:top w:val="none" w:sz="0" w:space="0" w:color="auto"/>
        <w:left w:val="none" w:sz="0" w:space="0" w:color="auto"/>
        <w:bottom w:val="none" w:sz="0" w:space="0" w:color="auto"/>
        <w:right w:val="none" w:sz="0" w:space="0" w:color="auto"/>
      </w:divBdr>
    </w:div>
    <w:div w:id="566064377">
      <w:bodyDiv w:val="1"/>
      <w:marLeft w:val="0"/>
      <w:marRight w:val="0"/>
      <w:marTop w:val="0"/>
      <w:marBottom w:val="0"/>
      <w:divBdr>
        <w:top w:val="none" w:sz="0" w:space="0" w:color="auto"/>
        <w:left w:val="none" w:sz="0" w:space="0" w:color="auto"/>
        <w:bottom w:val="none" w:sz="0" w:space="0" w:color="auto"/>
        <w:right w:val="none" w:sz="0" w:space="0" w:color="auto"/>
      </w:divBdr>
    </w:div>
    <w:div w:id="567738379">
      <w:bodyDiv w:val="1"/>
      <w:marLeft w:val="0"/>
      <w:marRight w:val="0"/>
      <w:marTop w:val="0"/>
      <w:marBottom w:val="0"/>
      <w:divBdr>
        <w:top w:val="none" w:sz="0" w:space="0" w:color="auto"/>
        <w:left w:val="none" w:sz="0" w:space="0" w:color="auto"/>
        <w:bottom w:val="none" w:sz="0" w:space="0" w:color="auto"/>
        <w:right w:val="none" w:sz="0" w:space="0" w:color="auto"/>
      </w:divBdr>
      <w:divsChild>
        <w:div w:id="133644714">
          <w:marLeft w:val="274"/>
          <w:marRight w:val="0"/>
          <w:marTop w:val="0"/>
          <w:marBottom w:val="0"/>
          <w:divBdr>
            <w:top w:val="none" w:sz="0" w:space="0" w:color="auto"/>
            <w:left w:val="none" w:sz="0" w:space="0" w:color="auto"/>
            <w:bottom w:val="none" w:sz="0" w:space="0" w:color="auto"/>
            <w:right w:val="none" w:sz="0" w:space="0" w:color="auto"/>
          </w:divBdr>
        </w:div>
        <w:div w:id="172188773">
          <w:marLeft w:val="274"/>
          <w:marRight w:val="0"/>
          <w:marTop w:val="0"/>
          <w:marBottom w:val="0"/>
          <w:divBdr>
            <w:top w:val="none" w:sz="0" w:space="0" w:color="auto"/>
            <w:left w:val="none" w:sz="0" w:space="0" w:color="auto"/>
            <w:bottom w:val="none" w:sz="0" w:space="0" w:color="auto"/>
            <w:right w:val="none" w:sz="0" w:space="0" w:color="auto"/>
          </w:divBdr>
        </w:div>
        <w:div w:id="422267948">
          <w:marLeft w:val="274"/>
          <w:marRight w:val="0"/>
          <w:marTop w:val="0"/>
          <w:marBottom w:val="0"/>
          <w:divBdr>
            <w:top w:val="none" w:sz="0" w:space="0" w:color="auto"/>
            <w:left w:val="none" w:sz="0" w:space="0" w:color="auto"/>
            <w:bottom w:val="none" w:sz="0" w:space="0" w:color="auto"/>
            <w:right w:val="none" w:sz="0" w:space="0" w:color="auto"/>
          </w:divBdr>
        </w:div>
        <w:div w:id="667247133">
          <w:marLeft w:val="274"/>
          <w:marRight w:val="0"/>
          <w:marTop w:val="0"/>
          <w:marBottom w:val="0"/>
          <w:divBdr>
            <w:top w:val="none" w:sz="0" w:space="0" w:color="auto"/>
            <w:left w:val="none" w:sz="0" w:space="0" w:color="auto"/>
            <w:bottom w:val="none" w:sz="0" w:space="0" w:color="auto"/>
            <w:right w:val="none" w:sz="0" w:space="0" w:color="auto"/>
          </w:divBdr>
        </w:div>
        <w:div w:id="869032011">
          <w:marLeft w:val="274"/>
          <w:marRight w:val="0"/>
          <w:marTop w:val="0"/>
          <w:marBottom w:val="0"/>
          <w:divBdr>
            <w:top w:val="none" w:sz="0" w:space="0" w:color="auto"/>
            <w:left w:val="none" w:sz="0" w:space="0" w:color="auto"/>
            <w:bottom w:val="none" w:sz="0" w:space="0" w:color="auto"/>
            <w:right w:val="none" w:sz="0" w:space="0" w:color="auto"/>
          </w:divBdr>
        </w:div>
        <w:div w:id="1036007177">
          <w:marLeft w:val="274"/>
          <w:marRight w:val="0"/>
          <w:marTop w:val="0"/>
          <w:marBottom w:val="0"/>
          <w:divBdr>
            <w:top w:val="none" w:sz="0" w:space="0" w:color="auto"/>
            <w:left w:val="none" w:sz="0" w:space="0" w:color="auto"/>
            <w:bottom w:val="none" w:sz="0" w:space="0" w:color="auto"/>
            <w:right w:val="none" w:sz="0" w:space="0" w:color="auto"/>
          </w:divBdr>
        </w:div>
        <w:div w:id="1127814952">
          <w:marLeft w:val="274"/>
          <w:marRight w:val="0"/>
          <w:marTop w:val="0"/>
          <w:marBottom w:val="0"/>
          <w:divBdr>
            <w:top w:val="none" w:sz="0" w:space="0" w:color="auto"/>
            <w:left w:val="none" w:sz="0" w:space="0" w:color="auto"/>
            <w:bottom w:val="none" w:sz="0" w:space="0" w:color="auto"/>
            <w:right w:val="none" w:sz="0" w:space="0" w:color="auto"/>
          </w:divBdr>
        </w:div>
        <w:div w:id="1337271055">
          <w:marLeft w:val="274"/>
          <w:marRight w:val="0"/>
          <w:marTop w:val="0"/>
          <w:marBottom w:val="0"/>
          <w:divBdr>
            <w:top w:val="none" w:sz="0" w:space="0" w:color="auto"/>
            <w:left w:val="none" w:sz="0" w:space="0" w:color="auto"/>
            <w:bottom w:val="none" w:sz="0" w:space="0" w:color="auto"/>
            <w:right w:val="none" w:sz="0" w:space="0" w:color="auto"/>
          </w:divBdr>
        </w:div>
        <w:div w:id="1393574156">
          <w:marLeft w:val="274"/>
          <w:marRight w:val="0"/>
          <w:marTop w:val="0"/>
          <w:marBottom w:val="0"/>
          <w:divBdr>
            <w:top w:val="none" w:sz="0" w:space="0" w:color="auto"/>
            <w:left w:val="none" w:sz="0" w:space="0" w:color="auto"/>
            <w:bottom w:val="none" w:sz="0" w:space="0" w:color="auto"/>
            <w:right w:val="none" w:sz="0" w:space="0" w:color="auto"/>
          </w:divBdr>
        </w:div>
        <w:div w:id="1501920806">
          <w:marLeft w:val="274"/>
          <w:marRight w:val="0"/>
          <w:marTop w:val="0"/>
          <w:marBottom w:val="0"/>
          <w:divBdr>
            <w:top w:val="none" w:sz="0" w:space="0" w:color="auto"/>
            <w:left w:val="none" w:sz="0" w:space="0" w:color="auto"/>
            <w:bottom w:val="none" w:sz="0" w:space="0" w:color="auto"/>
            <w:right w:val="none" w:sz="0" w:space="0" w:color="auto"/>
          </w:divBdr>
        </w:div>
        <w:div w:id="1840273923">
          <w:marLeft w:val="274"/>
          <w:marRight w:val="0"/>
          <w:marTop w:val="0"/>
          <w:marBottom w:val="0"/>
          <w:divBdr>
            <w:top w:val="none" w:sz="0" w:space="0" w:color="auto"/>
            <w:left w:val="none" w:sz="0" w:space="0" w:color="auto"/>
            <w:bottom w:val="none" w:sz="0" w:space="0" w:color="auto"/>
            <w:right w:val="none" w:sz="0" w:space="0" w:color="auto"/>
          </w:divBdr>
        </w:div>
        <w:div w:id="1893809223">
          <w:marLeft w:val="274"/>
          <w:marRight w:val="0"/>
          <w:marTop w:val="0"/>
          <w:marBottom w:val="0"/>
          <w:divBdr>
            <w:top w:val="none" w:sz="0" w:space="0" w:color="auto"/>
            <w:left w:val="none" w:sz="0" w:space="0" w:color="auto"/>
            <w:bottom w:val="none" w:sz="0" w:space="0" w:color="auto"/>
            <w:right w:val="none" w:sz="0" w:space="0" w:color="auto"/>
          </w:divBdr>
        </w:div>
        <w:div w:id="1946109121">
          <w:marLeft w:val="274"/>
          <w:marRight w:val="0"/>
          <w:marTop w:val="0"/>
          <w:marBottom w:val="0"/>
          <w:divBdr>
            <w:top w:val="none" w:sz="0" w:space="0" w:color="auto"/>
            <w:left w:val="none" w:sz="0" w:space="0" w:color="auto"/>
            <w:bottom w:val="none" w:sz="0" w:space="0" w:color="auto"/>
            <w:right w:val="none" w:sz="0" w:space="0" w:color="auto"/>
          </w:divBdr>
        </w:div>
      </w:divsChild>
    </w:div>
    <w:div w:id="571428179">
      <w:bodyDiv w:val="1"/>
      <w:marLeft w:val="0"/>
      <w:marRight w:val="0"/>
      <w:marTop w:val="0"/>
      <w:marBottom w:val="0"/>
      <w:divBdr>
        <w:top w:val="none" w:sz="0" w:space="0" w:color="auto"/>
        <w:left w:val="none" w:sz="0" w:space="0" w:color="auto"/>
        <w:bottom w:val="none" w:sz="0" w:space="0" w:color="auto"/>
        <w:right w:val="none" w:sz="0" w:space="0" w:color="auto"/>
      </w:divBdr>
      <w:divsChild>
        <w:div w:id="1139152715">
          <w:marLeft w:val="0"/>
          <w:marRight w:val="0"/>
          <w:marTop w:val="0"/>
          <w:marBottom w:val="0"/>
          <w:divBdr>
            <w:top w:val="none" w:sz="0" w:space="0" w:color="auto"/>
            <w:left w:val="none" w:sz="0" w:space="0" w:color="auto"/>
            <w:bottom w:val="none" w:sz="0" w:space="0" w:color="auto"/>
            <w:right w:val="none" w:sz="0" w:space="0" w:color="auto"/>
          </w:divBdr>
          <w:divsChild>
            <w:div w:id="333803176">
              <w:marLeft w:val="0"/>
              <w:marRight w:val="0"/>
              <w:marTop w:val="0"/>
              <w:marBottom w:val="0"/>
              <w:divBdr>
                <w:top w:val="none" w:sz="0" w:space="0" w:color="auto"/>
                <w:left w:val="none" w:sz="0" w:space="0" w:color="auto"/>
                <w:bottom w:val="none" w:sz="0" w:space="0" w:color="auto"/>
                <w:right w:val="none" w:sz="0" w:space="0" w:color="auto"/>
              </w:divBdr>
              <w:divsChild>
                <w:div w:id="47815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74258">
      <w:bodyDiv w:val="1"/>
      <w:marLeft w:val="0"/>
      <w:marRight w:val="0"/>
      <w:marTop w:val="0"/>
      <w:marBottom w:val="0"/>
      <w:divBdr>
        <w:top w:val="none" w:sz="0" w:space="0" w:color="auto"/>
        <w:left w:val="none" w:sz="0" w:space="0" w:color="auto"/>
        <w:bottom w:val="none" w:sz="0" w:space="0" w:color="auto"/>
        <w:right w:val="none" w:sz="0" w:space="0" w:color="auto"/>
      </w:divBdr>
    </w:div>
    <w:div w:id="576597965">
      <w:bodyDiv w:val="1"/>
      <w:marLeft w:val="0"/>
      <w:marRight w:val="0"/>
      <w:marTop w:val="0"/>
      <w:marBottom w:val="0"/>
      <w:divBdr>
        <w:top w:val="none" w:sz="0" w:space="0" w:color="auto"/>
        <w:left w:val="none" w:sz="0" w:space="0" w:color="auto"/>
        <w:bottom w:val="none" w:sz="0" w:space="0" w:color="auto"/>
        <w:right w:val="none" w:sz="0" w:space="0" w:color="auto"/>
      </w:divBdr>
      <w:divsChild>
        <w:div w:id="68384397">
          <w:marLeft w:val="0"/>
          <w:marRight w:val="0"/>
          <w:marTop w:val="0"/>
          <w:marBottom w:val="0"/>
          <w:divBdr>
            <w:top w:val="none" w:sz="0" w:space="0" w:color="auto"/>
            <w:left w:val="none" w:sz="0" w:space="0" w:color="auto"/>
            <w:bottom w:val="none" w:sz="0" w:space="0" w:color="auto"/>
            <w:right w:val="none" w:sz="0" w:space="0" w:color="auto"/>
          </w:divBdr>
          <w:divsChild>
            <w:div w:id="317272845">
              <w:marLeft w:val="0"/>
              <w:marRight w:val="0"/>
              <w:marTop w:val="0"/>
              <w:marBottom w:val="0"/>
              <w:divBdr>
                <w:top w:val="none" w:sz="0" w:space="0" w:color="auto"/>
                <w:left w:val="none" w:sz="0" w:space="0" w:color="auto"/>
                <w:bottom w:val="none" w:sz="0" w:space="0" w:color="auto"/>
                <w:right w:val="none" w:sz="0" w:space="0" w:color="auto"/>
              </w:divBdr>
              <w:divsChild>
                <w:div w:id="85742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256483">
      <w:bodyDiv w:val="1"/>
      <w:marLeft w:val="0"/>
      <w:marRight w:val="0"/>
      <w:marTop w:val="0"/>
      <w:marBottom w:val="0"/>
      <w:divBdr>
        <w:top w:val="none" w:sz="0" w:space="0" w:color="auto"/>
        <w:left w:val="none" w:sz="0" w:space="0" w:color="auto"/>
        <w:bottom w:val="none" w:sz="0" w:space="0" w:color="auto"/>
        <w:right w:val="none" w:sz="0" w:space="0" w:color="auto"/>
      </w:divBdr>
    </w:div>
    <w:div w:id="628895923">
      <w:bodyDiv w:val="1"/>
      <w:marLeft w:val="0"/>
      <w:marRight w:val="0"/>
      <w:marTop w:val="0"/>
      <w:marBottom w:val="0"/>
      <w:divBdr>
        <w:top w:val="none" w:sz="0" w:space="0" w:color="auto"/>
        <w:left w:val="none" w:sz="0" w:space="0" w:color="auto"/>
        <w:bottom w:val="none" w:sz="0" w:space="0" w:color="auto"/>
        <w:right w:val="none" w:sz="0" w:space="0" w:color="auto"/>
      </w:divBdr>
      <w:divsChild>
        <w:div w:id="830216315">
          <w:marLeft w:val="0"/>
          <w:marRight w:val="0"/>
          <w:marTop w:val="0"/>
          <w:marBottom w:val="0"/>
          <w:divBdr>
            <w:top w:val="none" w:sz="0" w:space="0" w:color="auto"/>
            <w:left w:val="none" w:sz="0" w:space="0" w:color="auto"/>
            <w:bottom w:val="none" w:sz="0" w:space="0" w:color="auto"/>
            <w:right w:val="none" w:sz="0" w:space="0" w:color="auto"/>
          </w:divBdr>
          <w:divsChild>
            <w:div w:id="1138105013">
              <w:marLeft w:val="0"/>
              <w:marRight w:val="0"/>
              <w:marTop w:val="0"/>
              <w:marBottom w:val="0"/>
              <w:divBdr>
                <w:top w:val="none" w:sz="0" w:space="0" w:color="auto"/>
                <w:left w:val="none" w:sz="0" w:space="0" w:color="auto"/>
                <w:bottom w:val="none" w:sz="0" w:space="0" w:color="auto"/>
                <w:right w:val="none" w:sz="0" w:space="0" w:color="auto"/>
              </w:divBdr>
              <w:divsChild>
                <w:div w:id="31353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874476">
      <w:bodyDiv w:val="1"/>
      <w:marLeft w:val="0"/>
      <w:marRight w:val="0"/>
      <w:marTop w:val="0"/>
      <w:marBottom w:val="0"/>
      <w:divBdr>
        <w:top w:val="none" w:sz="0" w:space="0" w:color="auto"/>
        <w:left w:val="none" w:sz="0" w:space="0" w:color="auto"/>
        <w:bottom w:val="none" w:sz="0" w:space="0" w:color="auto"/>
        <w:right w:val="none" w:sz="0" w:space="0" w:color="auto"/>
      </w:divBdr>
    </w:div>
    <w:div w:id="695695293">
      <w:bodyDiv w:val="1"/>
      <w:marLeft w:val="0"/>
      <w:marRight w:val="0"/>
      <w:marTop w:val="0"/>
      <w:marBottom w:val="0"/>
      <w:divBdr>
        <w:top w:val="none" w:sz="0" w:space="0" w:color="auto"/>
        <w:left w:val="none" w:sz="0" w:space="0" w:color="auto"/>
        <w:bottom w:val="none" w:sz="0" w:space="0" w:color="auto"/>
        <w:right w:val="none" w:sz="0" w:space="0" w:color="auto"/>
      </w:divBdr>
      <w:divsChild>
        <w:div w:id="414480363">
          <w:marLeft w:val="994"/>
          <w:marRight w:val="0"/>
          <w:marTop w:val="0"/>
          <w:marBottom w:val="0"/>
          <w:divBdr>
            <w:top w:val="none" w:sz="0" w:space="0" w:color="auto"/>
            <w:left w:val="none" w:sz="0" w:space="0" w:color="auto"/>
            <w:bottom w:val="none" w:sz="0" w:space="0" w:color="auto"/>
            <w:right w:val="none" w:sz="0" w:space="0" w:color="auto"/>
          </w:divBdr>
        </w:div>
        <w:div w:id="458109703">
          <w:marLeft w:val="994"/>
          <w:marRight w:val="0"/>
          <w:marTop w:val="0"/>
          <w:marBottom w:val="0"/>
          <w:divBdr>
            <w:top w:val="none" w:sz="0" w:space="0" w:color="auto"/>
            <w:left w:val="none" w:sz="0" w:space="0" w:color="auto"/>
            <w:bottom w:val="none" w:sz="0" w:space="0" w:color="auto"/>
            <w:right w:val="none" w:sz="0" w:space="0" w:color="auto"/>
          </w:divBdr>
        </w:div>
        <w:div w:id="2138719305">
          <w:marLeft w:val="994"/>
          <w:marRight w:val="0"/>
          <w:marTop w:val="0"/>
          <w:marBottom w:val="0"/>
          <w:divBdr>
            <w:top w:val="none" w:sz="0" w:space="0" w:color="auto"/>
            <w:left w:val="none" w:sz="0" w:space="0" w:color="auto"/>
            <w:bottom w:val="none" w:sz="0" w:space="0" w:color="auto"/>
            <w:right w:val="none" w:sz="0" w:space="0" w:color="auto"/>
          </w:divBdr>
        </w:div>
      </w:divsChild>
    </w:div>
    <w:div w:id="728727191">
      <w:bodyDiv w:val="1"/>
      <w:marLeft w:val="0"/>
      <w:marRight w:val="0"/>
      <w:marTop w:val="0"/>
      <w:marBottom w:val="0"/>
      <w:divBdr>
        <w:top w:val="none" w:sz="0" w:space="0" w:color="auto"/>
        <w:left w:val="none" w:sz="0" w:space="0" w:color="auto"/>
        <w:bottom w:val="none" w:sz="0" w:space="0" w:color="auto"/>
        <w:right w:val="none" w:sz="0" w:space="0" w:color="auto"/>
      </w:divBdr>
    </w:div>
    <w:div w:id="739597878">
      <w:bodyDiv w:val="1"/>
      <w:marLeft w:val="0"/>
      <w:marRight w:val="0"/>
      <w:marTop w:val="0"/>
      <w:marBottom w:val="0"/>
      <w:divBdr>
        <w:top w:val="none" w:sz="0" w:space="0" w:color="auto"/>
        <w:left w:val="none" w:sz="0" w:space="0" w:color="auto"/>
        <w:bottom w:val="none" w:sz="0" w:space="0" w:color="auto"/>
        <w:right w:val="none" w:sz="0" w:space="0" w:color="auto"/>
      </w:divBdr>
    </w:div>
    <w:div w:id="752893410">
      <w:bodyDiv w:val="1"/>
      <w:marLeft w:val="0"/>
      <w:marRight w:val="0"/>
      <w:marTop w:val="0"/>
      <w:marBottom w:val="0"/>
      <w:divBdr>
        <w:top w:val="none" w:sz="0" w:space="0" w:color="auto"/>
        <w:left w:val="none" w:sz="0" w:space="0" w:color="auto"/>
        <w:bottom w:val="none" w:sz="0" w:space="0" w:color="auto"/>
        <w:right w:val="none" w:sz="0" w:space="0" w:color="auto"/>
      </w:divBdr>
      <w:divsChild>
        <w:div w:id="598295024">
          <w:marLeft w:val="274"/>
          <w:marRight w:val="0"/>
          <w:marTop w:val="0"/>
          <w:marBottom w:val="0"/>
          <w:divBdr>
            <w:top w:val="none" w:sz="0" w:space="0" w:color="auto"/>
            <w:left w:val="none" w:sz="0" w:space="0" w:color="auto"/>
            <w:bottom w:val="none" w:sz="0" w:space="0" w:color="auto"/>
            <w:right w:val="none" w:sz="0" w:space="0" w:color="auto"/>
          </w:divBdr>
        </w:div>
        <w:div w:id="1055468903">
          <w:marLeft w:val="274"/>
          <w:marRight w:val="0"/>
          <w:marTop w:val="0"/>
          <w:marBottom w:val="0"/>
          <w:divBdr>
            <w:top w:val="none" w:sz="0" w:space="0" w:color="auto"/>
            <w:left w:val="none" w:sz="0" w:space="0" w:color="auto"/>
            <w:bottom w:val="none" w:sz="0" w:space="0" w:color="auto"/>
            <w:right w:val="none" w:sz="0" w:space="0" w:color="auto"/>
          </w:divBdr>
        </w:div>
        <w:div w:id="1886217361">
          <w:marLeft w:val="274"/>
          <w:marRight w:val="0"/>
          <w:marTop w:val="0"/>
          <w:marBottom w:val="0"/>
          <w:divBdr>
            <w:top w:val="none" w:sz="0" w:space="0" w:color="auto"/>
            <w:left w:val="none" w:sz="0" w:space="0" w:color="auto"/>
            <w:bottom w:val="none" w:sz="0" w:space="0" w:color="auto"/>
            <w:right w:val="none" w:sz="0" w:space="0" w:color="auto"/>
          </w:divBdr>
        </w:div>
      </w:divsChild>
    </w:div>
    <w:div w:id="774710319">
      <w:bodyDiv w:val="1"/>
      <w:marLeft w:val="0"/>
      <w:marRight w:val="0"/>
      <w:marTop w:val="0"/>
      <w:marBottom w:val="0"/>
      <w:divBdr>
        <w:top w:val="none" w:sz="0" w:space="0" w:color="auto"/>
        <w:left w:val="none" w:sz="0" w:space="0" w:color="auto"/>
        <w:bottom w:val="none" w:sz="0" w:space="0" w:color="auto"/>
        <w:right w:val="none" w:sz="0" w:space="0" w:color="auto"/>
      </w:divBdr>
    </w:div>
    <w:div w:id="777019054">
      <w:bodyDiv w:val="1"/>
      <w:marLeft w:val="0"/>
      <w:marRight w:val="0"/>
      <w:marTop w:val="0"/>
      <w:marBottom w:val="0"/>
      <w:divBdr>
        <w:top w:val="none" w:sz="0" w:space="0" w:color="auto"/>
        <w:left w:val="none" w:sz="0" w:space="0" w:color="auto"/>
        <w:bottom w:val="none" w:sz="0" w:space="0" w:color="auto"/>
        <w:right w:val="none" w:sz="0" w:space="0" w:color="auto"/>
      </w:divBdr>
    </w:div>
    <w:div w:id="793907041">
      <w:bodyDiv w:val="1"/>
      <w:marLeft w:val="0"/>
      <w:marRight w:val="0"/>
      <w:marTop w:val="0"/>
      <w:marBottom w:val="0"/>
      <w:divBdr>
        <w:top w:val="none" w:sz="0" w:space="0" w:color="auto"/>
        <w:left w:val="none" w:sz="0" w:space="0" w:color="auto"/>
        <w:bottom w:val="none" w:sz="0" w:space="0" w:color="auto"/>
        <w:right w:val="none" w:sz="0" w:space="0" w:color="auto"/>
      </w:divBdr>
    </w:div>
    <w:div w:id="800612857">
      <w:bodyDiv w:val="1"/>
      <w:marLeft w:val="0"/>
      <w:marRight w:val="0"/>
      <w:marTop w:val="0"/>
      <w:marBottom w:val="0"/>
      <w:divBdr>
        <w:top w:val="none" w:sz="0" w:space="0" w:color="auto"/>
        <w:left w:val="none" w:sz="0" w:space="0" w:color="auto"/>
        <w:bottom w:val="none" w:sz="0" w:space="0" w:color="auto"/>
        <w:right w:val="none" w:sz="0" w:space="0" w:color="auto"/>
      </w:divBdr>
    </w:div>
    <w:div w:id="800684007">
      <w:bodyDiv w:val="1"/>
      <w:marLeft w:val="0"/>
      <w:marRight w:val="0"/>
      <w:marTop w:val="0"/>
      <w:marBottom w:val="0"/>
      <w:divBdr>
        <w:top w:val="none" w:sz="0" w:space="0" w:color="auto"/>
        <w:left w:val="none" w:sz="0" w:space="0" w:color="auto"/>
        <w:bottom w:val="none" w:sz="0" w:space="0" w:color="auto"/>
        <w:right w:val="none" w:sz="0" w:space="0" w:color="auto"/>
      </w:divBdr>
    </w:div>
    <w:div w:id="845678720">
      <w:bodyDiv w:val="1"/>
      <w:marLeft w:val="0"/>
      <w:marRight w:val="0"/>
      <w:marTop w:val="0"/>
      <w:marBottom w:val="0"/>
      <w:divBdr>
        <w:top w:val="none" w:sz="0" w:space="0" w:color="auto"/>
        <w:left w:val="none" w:sz="0" w:space="0" w:color="auto"/>
        <w:bottom w:val="none" w:sz="0" w:space="0" w:color="auto"/>
        <w:right w:val="none" w:sz="0" w:space="0" w:color="auto"/>
      </w:divBdr>
      <w:divsChild>
        <w:div w:id="1938559562">
          <w:marLeft w:val="0"/>
          <w:marRight w:val="0"/>
          <w:marTop w:val="0"/>
          <w:marBottom w:val="0"/>
          <w:divBdr>
            <w:top w:val="none" w:sz="0" w:space="0" w:color="auto"/>
            <w:left w:val="none" w:sz="0" w:space="0" w:color="auto"/>
            <w:bottom w:val="none" w:sz="0" w:space="0" w:color="auto"/>
            <w:right w:val="none" w:sz="0" w:space="0" w:color="auto"/>
          </w:divBdr>
          <w:divsChild>
            <w:div w:id="1436630534">
              <w:marLeft w:val="0"/>
              <w:marRight w:val="0"/>
              <w:marTop w:val="0"/>
              <w:marBottom w:val="0"/>
              <w:divBdr>
                <w:top w:val="none" w:sz="0" w:space="0" w:color="auto"/>
                <w:left w:val="none" w:sz="0" w:space="0" w:color="auto"/>
                <w:bottom w:val="none" w:sz="0" w:space="0" w:color="auto"/>
                <w:right w:val="none" w:sz="0" w:space="0" w:color="auto"/>
              </w:divBdr>
              <w:divsChild>
                <w:div w:id="152871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416958">
      <w:bodyDiv w:val="1"/>
      <w:marLeft w:val="0"/>
      <w:marRight w:val="0"/>
      <w:marTop w:val="0"/>
      <w:marBottom w:val="0"/>
      <w:divBdr>
        <w:top w:val="none" w:sz="0" w:space="0" w:color="auto"/>
        <w:left w:val="none" w:sz="0" w:space="0" w:color="auto"/>
        <w:bottom w:val="none" w:sz="0" w:space="0" w:color="auto"/>
        <w:right w:val="none" w:sz="0" w:space="0" w:color="auto"/>
      </w:divBdr>
    </w:div>
    <w:div w:id="862591825">
      <w:bodyDiv w:val="1"/>
      <w:marLeft w:val="0"/>
      <w:marRight w:val="0"/>
      <w:marTop w:val="0"/>
      <w:marBottom w:val="0"/>
      <w:divBdr>
        <w:top w:val="none" w:sz="0" w:space="0" w:color="auto"/>
        <w:left w:val="none" w:sz="0" w:space="0" w:color="auto"/>
        <w:bottom w:val="none" w:sz="0" w:space="0" w:color="auto"/>
        <w:right w:val="none" w:sz="0" w:space="0" w:color="auto"/>
      </w:divBdr>
    </w:div>
    <w:div w:id="878126626">
      <w:bodyDiv w:val="1"/>
      <w:marLeft w:val="0"/>
      <w:marRight w:val="0"/>
      <w:marTop w:val="0"/>
      <w:marBottom w:val="0"/>
      <w:divBdr>
        <w:top w:val="none" w:sz="0" w:space="0" w:color="auto"/>
        <w:left w:val="none" w:sz="0" w:space="0" w:color="auto"/>
        <w:bottom w:val="none" w:sz="0" w:space="0" w:color="auto"/>
        <w:right w:val="none" w:sz="0" w:space="0" w:color="auto"/>
      </w:divBdr>
    </w:div>
    <w:div w:id="884372703">
      <w:bodyDiv w:val="1"/>
      <w:marLeft w:val="0"/>
      <w:marRight w:val="0"/>
      <w:marTop w:val="0"/>
      <w:marBottom w:val="0"/>
      <w:divBdr>
        <w:top w:val="none" w:sz="0" w:space="0" w:color="auto"/>
        <w:left w:val="none" w:sz="0" w:space="0" w:color="auto"/>
        <w:bottom w:val="none" w:sz="0" w:space="0" w:color="auto"/>
        <w:right w:val="none" w:sz="0" w:space="0" w:color="auto"/>
      </w:divBdr>
      <w:divsChild>
        <w:div w:id="1296251039">
          <w:marLeft w:val="0"/>
          <w:marRight w:val="0"/>
          <w:marTop w:val="0"/>
          <w:marBottom w:val="0"/>
          <w:divBdr>
            <w:top w:val="none" w:sz="0" w:space="0" w:color="auto"/>
            <w:left w:val="none" w:sz="0" w:space="0" w:color="auto"/>
            <w:bottom w:val="none" w:sz="0" w:space="0" w:color="auto"/>
            <w:right w:val="none" w:sz="0" w:space="0" w:color="auto"/>
          </w:divBdr>
          <w:divsChild>
            <w:div w:id="338703839">
              <w:marLeft w:val="0"/>
              <w:marRight w:val="0"/>
              <w:marTop w:val="0"/>
              <w:marBottom w:val="0"/>
              <w:divBdr>
                <w:top w:val="none" w:sz="0" w:space="0" w:color="auto"/>
                <w:left w:val="none" w:sz="0" w:space="0" w:color="auto"/>
                <w:bottom w:val="none" w:sz="0" w:space="0" w:color="auto"/>
                <w:right w:val="none" w:sz="0" w:space="0" w:color="auto"/>
              </w:divBdr>
              <w:divsChild>
                <w:div w:id="206097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992738">
      <w:bodyDiv w:val="1"/>
      <w:marLeft w:val="0"/>
      <w:marRight w:val="0"/>
      <w:marTop w:val="0"/>
      <w:marBottom w:val="0"/>
      <w:divBdr>
        <w:top w:val="none" w:sz="0" w:space="0" w:color="auto"/>
        <w:left w:val="none" w:sz="0" w:space="0" w:color="auto"/>
        <w:bottom w:val="none" w:sz="0" w:space="0" w:color="auto"/>
        <w:right w:val="none" w:sz="0" w:space="0" w:color="auto"/>
      </w:divBdr>
    </w:div>
    <w:div w:id="894898244">
      <w:bodyDiv w:val="1"/>
      <w:marLeft w:val="0"/>
      <w:marRight w:val="0"/>
      <w:marTop w:val="0"/>
      <w:marBottom w:val="0"/>
      <w:divBdr>
        <w:top w:val="none" w:sz="0" w:space="0" w:color="auto"/>
        <w:left w:val="none" w:sz="0" w:space="0" w:color="auto"/>
        <w:bottom w:val="none" w:sz="0" w:space="0" w:color="auto"/>
        <w:right w:val="none" w:sz="0" w:space="0" w:color="auto"/>
      </w:divBdr>
      <w:divsChild>
        <w:div w:id="18704786">
          <w:marLeft w:val="0"/>
          <w:marRight w:val="0"/>
          <w:marTop w:val="0"/>
          <w:marBottom w:val="0"/>
          <w:divBdr>
            <w:top w:val="none" w:sz="0" w:space="0" w:color="auto"/>
            <w:left w:val="none" w:sz="0" w:space="0" w:color="auto"/>
            <w:bottom w:val="none" w:sz="0" w:space="0" w:color="auto"/>
            <w:right w:val="none" w:sz="0" w:space="0" w:color="auto"/>
          </w:divBdr>
          <w:divsChild>
            <w:div w:id="2141914793">
              <w:marLeft w:val="0"/>
              <w:marRight w:val="0"/>
              <w:marTop w:val="0"/>
              <w:marBottom w:val="0"/>
              <w:divBdr>
                <w:top w:val="none" w:sz="0" w:space="0" w:color="auto"/>
                <w:left w:val="none" w:sz="0" w:space="0" w:color="auto"/>
                <w:bottom w:val="none" w:sz="0" w:space="0" w:color="auto"/>
                <w:right w:val="none" w:sz="0" w:space="0" w:color="auto"/>
              </w:divBdr>
              <w:divsChild>
                <w:div w:id="149784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84763">
      <w:bodyDiv w:val="1"/>
      <w:marLeft w:val="0"/>
      <w:marRight w:val="0"/>
      <w:marTop w:val="0"/>
      <w:marBottom w:val="0"/>
      <w:divBdr>
        <w:top w:val="none" w:sz="0" w:space="0" w:color="auto"/>
        <w:left w:val="none" w:sz="0" w:space="0" w:color="auto"/>
        <w:bottom w:val="none" w:sz="0" w:space="0" w:color="auto"/>
        <w:right w:val="none" w:sz="0" w:space="0" w:color="auto"/>
      </w:divBdr>
      <w:divsChild>
        <w:div w:id="974454935">
          <w:marLeft w:val="0"/>
          <w:marRight w:val="0"/>
          <w:marTop w:val="0"/>
          <w:marBottom w:val="0"/>
          <w:divBdr>
            <w:top w:val="none" w:sz="0" w:space="0" w:color="auto"/>
            <w:left w:val="none" w:sz="0" w:space="0" w:color="auto"/>
            <w:bottom w:val="none" w:sz="0" w:space="0" w:color="auto"/>
            <w:right w:val="none" w:sz="0" w:space="0" w:color="auto"/>
          </w:divBdr>
          <w:divsChild>
            <w:div w:id="1910655169">
              <w:marLeft w:val="0"/>
              <w:marRight w:val="0"/>
              <w:marTop w:val="0"/>
              <w:marBottom w:val="0"/>
              <w:divBdr>
                <w:top w:val="none" w:sz="0" w:space="0" w:color="auto"/>
                <w:left w:val="none" w:sz="0" w:space="0" w:color="auto"/>
                <w:bottom w:val="none" w:sz="0" w:space="0" w:color="auto"/>
                <w:right w:val="none" w:sz="0" w:space="0" w:color="auto"/>
              </w:divBdr>
              <w:divsChild>
                <w:div w:id="82051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66913">
      <w:bodyDiv w:val="1"/>
      <w:marLeft w:val="0"/>
      <w:marRight w:val="0"/>
      <w:marTop w:val="0"/>
      <w:marBottom w:val="0"/>
      <w:divBdr>
        <w:top w:val="none" w:sz="0" w:space="0" w:color="auto"/>
        <w:left w:val="none" w:sz="0" w:space="0" w:color="auto"/>
        <w:bottom w:val="none" w:sz="0" w:space="0" w:color="auto"/>
        <w:right w:val="none" w:sz="0" w:space="0" w:color="auto"/>
      </w:divBdr>
    </w:div>
    <w:div w:id="971206389">
      <w:bodyDiv w:val="1"/>
      <w:marLeft w:val="0"/>
      <w:marRight w:val="0"/>
      <w:marTop w:val="0"/>
      <w:marBottom w:val="0"/>
      <w:divBdr>
        <w:top w:val="none" w:sz="0" w:space="0" w:color="auto"/>
        <w:left w:val="none" w:sz="0" w:space="0" w:color="auto"/>
        <w:bottom w:val="none" w:sz="0" w:space="0" w:color="auto"/>
        <w:right w:val="none" w:sz="0" w:space="0" w:color="auto"/>
      </w:divBdr>
      <w:divsChild>
        <w:div w:id="1592205069">
          <w:marLeft w:val="0"/>
          <w:marRight w:val="0"/>
          <w:marTop w:val="0"/>
          <w:marBottom w:val="0"/>
          <w:divBdr>
            <w:top w:val="none" w:sz="0" w:space="0" w:color="auto"/>
            <w:left w:val="none" w:sz="0" w:space="0" w:color="auto"/>
            <w:bottom w:val="none" w:sz="0" w:space="0" w:color="auto"/>
            <w:right w:val="none" w:sz="0" w:space="0" w:color="auto"/>
          </w:divBdr>
          <w:divsChild>
            <w:div w:id="1707291037">
              <w:marLeft w:val="0"/>
              <w:marRight w:val="0"/>
              <w:marTop w:val="0"/>
              <w:marBottom w:val="0"/>
              <w:divBdr>
                <w:top w:val="none" w:sz="0" w:space="0" w:color="auto"/>
                <w:left w:val="none" w:sz="0" w:space="0" w:color="auto"/>
                <w:bottom w:val="none" w:sz="0" w:space="0" w:color="auto"/>
                <w:right w:val="none" w:sz="0" w:space="0" w:color="auto"/>
              </w:divBdr>
              <w:divsChild>
                <w:div w:id="135477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163400">
      <w:bodyDiv w:val="1"/>
      <w:marLeft w:val="0"/>
      <w:marRight w:val="0"/>
      <w:marTop w:val="0"/>
      <w:marBottom w:val="0"/>
      <w:divBdr>
        <w:top w:val="none" w:sz="0" w:space="0" w:color="auto"/>
        <w:left w:val="none" w:sz="0" w:space="0" w:color="auto"/>
        <w:bottom w:val="none" w:sz="0" w:space="0" w:color="auto"/>
        <w:right w:val="none" w:sz="0" w:space="0" w:color="auto"/>
      </w:divBdr>
    </w:div>
    <w:div w:id="1035931707">
      <w:bodyDiv w:val="1"/>
      <w:marLeft w:val="0"/>
      <w:marRight w:val="0"/>
      <w:marTop w:val="0"/>
      <w:marBottom w:val="0"/>
      <w:divBdr>
        <w:top w:val="none" w:sz="0" w:space="0" w:color="auto"/>
        <w:left w:val="none" w:sz="0" w:space="0" w:color="auto"/>
        <w:bottom w:val="none" w:sz="0" w:space="0" w:color="auto"/>
        <w:right w:val="none" w:sz="0" w:space="0" w:color="auto"/>
      </w:divBdr>
      <w:divsChild>
        <w:div w:id="2071689119">
          <w:marLeft w:val="0"/>
          <w:marRight w:val="0"/>
          <w:marTop w:val="0"/>
          <w:marBottom w:val="0"/>
          <w:divBdr>
            <w:top w:val="none" w:sz="0" w:space="0" w:color="auto"/>
            <w:left w:val="none" w:sz="0" w:space="0" w:color="auto"/>
            <w:bottom w:val="none" w:sz="0" w:space="0" w:color="auto"/>
            <w:right w:val="none" w:sz="0" w:space="0" w:color="auto"/>
          </w:divBdr>
          <w:divsChild>
            <w:div w:id="1333290598">
              <w:marLeft w:val="0"/>
              <w:marRight w:val="0"/>
              <w:marTop w:val="0"/>
              <w:marBottom w:val="0"/>
              <w:divBdr>
                <w:top w:val="none" w:sz="0" w:space="0" w:color="auto"/>
                <w:left w:val="none" w:sz="0" w:space="0" w:color="auto"/>
                <w:bottom w:val="none" w:sz="0" w:space="0" w:color="auto"/>
                <w:right w:val="none" w:sz="0" w:space="0" w:color="auto"/>
              </w:divBdr>
              <w:divsChild>
                <w:div w:id="92637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49544">
      <w:bodyDiv w:val="1"/>
      <w:marLeft w:val="0"/>
      <w:marRight w:val="0"/>
      <w:marTop w:val="0"/>
      <w:marBottom w:val="0"/>
      <w:divBdr>
        <w:top w:val="none" w:sz="0" w:space="0" w:color="auto"/>
        <w:left w:val="none" w:sz="0" w:space="0" w:color="auto"/>
        <w:bottom w:val="none" w:sz="0" w:space="0" w:color="auto"/>
        <w:right w:val="none" w:sz="0" w:space="0" w:color="auto"/>
      </w:divBdr>
      <w:divsChild>
        <w:div w:id="1408190594">
          <w:marLeft w:val="0"/>
          <w:marRight w:val="0"/>
          <w:marTop w:val="0"/>
          <w:marBottom w:val="0"/>
          <w:divBdr>
            <w:top w:val="none" w:sz="0" w:space="0" w:color="auto"/>
            <w:left w:val="none" w:sz="0" w:space="0" w:color="auto"/>
            <w:bottom w:val="none" w:sz="0" w:space="0" w:color="auto"/>
            <w:right w:val="none" w:sz="0" w:space="0" w:color="auto"/>
          </w:divBdr>
          <w:divsChild>
            <w:div w:id="248931090">
              <w:marLeft w:val="0"/>
              <w:marRight w:val="0"/>
              <w:marTop w:val="0"/>
              <w:marBottom w:val="0"/>
              <w:divBdr>
                <w:top w:val="none" w:sz="0" w:space="0" w:color="auto"/>
                <w:left w:val="none" w:sz="0" w:space="0" w:color="auto"/>
                <w:bottom w:val="none" w:sz="0" w:space="0" w:color="auto"/>
                <w:right w:val="none" w:sz="0" w:space="0" w:color="auto"/>
              </w:divBdr>
              <w:divsChild>
                <w:div w:id="197775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5763">
      <w:bodyDiv w:val="1"/>
      <w:marLeft w:val="0"/>
      <w:marRight w:val="0"/>
      <w:marTop w:val="0"/>
      <w:marBottom w:val="0"/>
      <w:divBdr>
        <w:top w:val="none" w:sz="0" w:space="0" w:color="auto"/>
        <w:left w:val="none" w:sz="0" w:space="0" w:color="auto"/>
        <w:bottom w:val="none" w:sz="0" w:space="0" w:color="auto"/>
        <w:right w:val="none" w:sz="0" w:space="0" w:color="auto"/>
      </w:divBdr>
      <w:divsChild>
        <w:div w:id="1109395892">
          <w:marLeft w:val="0"/>
          <w:marRight w:val="0"/>
          <w:marTop w:val="0"/>
          <w:marBottom w:val="0"/>
          <w:divBdr>
            <w:top w:val="none" w:sz="0" w:space="0" w:color="auto"/>
            <w:left w:val="none" w:sz="0" w:space="0" w:color="auto"/>
            <w:bottom w:val="none" w:sz="0" w:space="0" w:color="auto"/>
            <w:right w:val="none" w:sz="0" w:space="0" w:color="auto"/>
          </w:divBdr>
          <w:divsChild>
            <w:div w:id="1127745081">
              <w:marLeft w:val="0"/>
              <w:marRight w:val="0"/>
              <w:marTop w:val="0"/>
              <w:marBottom w:val="0"/>
              <w:divBdr>
                <w:top w:val="none" w:sz="0" w:space="0" w:color="auto"/>
                <w:left w:val="none" w:sz="0" w:space="0" w:color="auto"/>
                <w:bottom w:val="none" w:sz="0" w:space="0" w:color="auto"/>
                <w:right w:val="none" w:sz="0" w:space="0" w:color="auto"/>
              </w:divBdr>
              <w:divsChild>
                <w:div w:id="30547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321584">
      <w:bodyDiv w:val="1"/>
      <w:marLeft w:val="0"/>
      <w:marRight w:val="0"/>
      <w:marTop w:val="0"/>
      <w:marBottom w:val="0"/>
      <w:divBdr>
        <w:top w:val="none" w:sz="0" w:space="0" w:color="auto"/>
        <w:left w:val="none" w:sz="0" w:space="0" w:color="auto"/>
        <w:bottom w:val="none" w:sz="0" w:space="0" w:color="auto"/>
        <w:right w:val="none" w:sz="0" w:space="0" w:color="auto"/>
      </w:divBdr>
      <w:divsChild>
        <w:div w:id="1177885579">
          <w:marLeft w:val="0"/>
          <w:marRight w:val="0"/>
          <w:marTop w:val="0"/>
          <w:marBottom w:val="0"/>
          <w:divBdr>
            <w:top w:val="none" w:sz="0" w:space="0" w:color="auto"/>
            <w:left w:val="none" w:sz="0" w:space="0" w:color="auto"/>
            <w:bottom w:val="none" w:sz="0" w:space="0" w:color="auto"/>
            <w:right w:val="none" w:sz="0" w:space="0" w:color="auto"/>
          </w:divBdr>
          <w:divsChild>
            <w:div w:id="1091318406">
              <w:marLeft w:val="0"/>
              <w:marRight w:val="0"/>
              <w:marTop w:val="0"/>
              <w:marBottom w:val="0"/>
              <w:divBdr>
                <w:top w:val="none" w:sz="0" w:space="0" w:color="auto"/>
                <w:left w:val="none" w:sz="0" w:space="0" w:color="auto"/>
                <w:bottom w:val="none" w:sz="0" w:space="0" w:color="auto"/>
                <w:right w:val="none" w:sz="0" w:space="0" w:color="auto"/>
              </w:divBdr>
              <w:divsChild>
                <w:div w:id="297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746731">
      <w:bodyDiv w:val="1"/>
      <w:marLeft w:val="0"/>
      <w:marRight w:val="0"/>
      <w:marTop w:val="0"/>
      <w:marBottom w:val="0"/>
      <w:divBdr>
        <w:top w:val="none" w:sz="0" w:space="0" w:color="auto"/>
        <w:left w:val="none" w:sz="0" w:space="0" w:color="auto"/>
        <w:bottom w:val="none" w:sz="0" w:space="0" w:color="auto"/>
        <w:right w:val="none" w:sz="0" w:space="0" w:color="auto"/>
      </w:divBdr>
    </w:div>
    <w:div w:id="1074816948">
      <w:bodyDiv w:val="1"/>
      <w:marLeft w:val="0"/>
      <w:marRight w:val="0"/>
      <w:marTop w:val="0"/>
      <w:marBottom w:val="0"/>
      <w:divBdr>
        <w:top w:val="none" w:sz="0" w:space="0" w:color="auto"/>
        <w:left w:val="none" w:sz="0" w:space="0" w:color="auto"/>
        <w:bottom w:val="none" w:sz="0" w:space="0" w:color="auto"/>
        <w:right w:val="none" w:sz="0" w:space="0" w:color="auto"/>
      </w:divBdr>
      <w:divsChild>
        <w:div w:id="1875189190">
          <w:marLeft w:val="0"/>
          <w:marRight w:val="0"/>
          <w:marTop w:val="0"/>
          <w:marBottom w:val="0"/>
          <w:divBdr>
            <w:top w:val="none" w:sz="0" w:space="0" w:color="auto"/>
            <w:left w:val="none" w:sz="0" w:space="0" w:color="auto"/>
            <w:bottom w:val="none" w:sz="0" w:space="0" w:color="auto"/>
            <w:right w:val="none" w:sz="0" w:space="0" w:color="auto"/>
          </w:divBdr>
          <w:divsChild>
            <w:div w:id="1850485516">
              <w:marLeft w:val="0"/>
              <w:marRight w:val="0"/>
              <w:marTop w:val="0"/>
              <w:marBottom w:val="0"/>
              <w:divBdr>
                <w:top w:val="none" w:sz="0" w:space="0" w:color="auto"/>
                <w:left w:val="none" w:sz="0" w:space="0" w:color="auto"/>
                <w:bottom w:val="none" w:sz="0" w:space="0" w:color="auto"/>
                <w:right w:val="none" w:sz="0" w:space="0" w:color="auto"/>
              </w:divBdr>
              <w:divsChild>
                <w:div w:id="551774482">
                  <w:marLeft w:val="0"/>
                  <w:marRight w:val="0"/>
                  <w:marTop w:val="0"/>
                  <w:marBottom w:val="0"/>
                  <w:divBdr>
                    <w:top w:val="none" w:sz="0" w:space="0" w:color="auto"/>
                    <w:left w:val="none" w:sz="0" w:space="0" w:color="auto"/>
                    <w:bottom w:val="none" w:sz="0" w:space="0" w:color="auto"/>
                    <w:right w:val="none" w:sz="0" w:space="0" w:color="auto"/>
                  </w:divBdr>
                  <w:divsChild>
                    <w:div w:id="27895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652237">
      <w:bodyDiv w:val="1"/>
      <w:marLeft w:val="0"/>
      <w:marRight w:val="0"/>
      <w:marTop w:val="0"/>
      <w:marBottom w:val="0"/>
      <w:divBdr>
        <w:top w:val="none" w:sz="0" w:space="0" w:color="auto"/>
        <w:left w:val="none" w:sz="0" w:space="0" w:color="auto"/>
        <w:bottom w:val="none" w:sz="0" w:space="0" w:color="auto"/>
        <w:right w:val="none" w:sz="0" w:space="0" w:color="auto"/>
      </w:divBdr>
      <w:divsChild>
        <w:div w:id="1363087696">
          <w:marLeft w:val="0"/>
          <w:marRight w:val="0"/>
          <w:marTop w:val="0"/>
          <w:marBottom w:val="0"/>
          <w:divBdr>
            <w:top w:val="none" w:sz="0" w:space="0" w:color="auto"/>
            <w:left w:val="none" w:sz="0" w:space="0" w:color="auto"/>
            <w:bottom w:val="none" w:sz="0" w:space="0" w:color="auto"/>
            <w:right w:val="none" w:sz="0" w:space="0" w:color="auto"/>
          </w:divBdr>
          <w:divsChild>
            <w:div w:id="1144616710">
              <w:marLeft w:val="0"/>
              <w:marRight w:val="0"/>
              <w:marTop w:val="0"/>
              <w:marBottom w:val="0"/>
              <w:divBdr>
                <w:top w:val="none" w:sz="0" w:space="0" w:color="auto"/>
                <w:left w:val="none" w:sz="0" w:space="0" w:color="auto"/>
                <w:bottom w:val="none" w:sz="0" w:space="0" w:color="auto"/>
                <w:right w:val="none" w:sz="0" w:space="0" w:color="auto"/>
              </w:divBdr>
              <w:divsChild>
                <w:div w:id="1843816494">
                  <w:marLeft w:val="0"/>
                  <w:marRight w:val="0"/>
                  <w:marTop w:val="0"/>
                  <w:marBottom w:val="0"/>
                  <w:divBdr>
                    <w:top w:val="none" w:sz="0" w:space="0" w:color="auto"/>
                    <w:left w:val="none" w:sz="0" w:space="0" w:color="auto"/>
                    <w:bottom w:val="none" w:sz="0" w:space="0" w:color="auto"/>
                    <w:right w:val="none" w:sz="0" w:space="0" w:color="auto"/>
                  </w:divBdr>
                  <w:divsChild>
                    <w:div w:id="2886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898397">
      <w:bodyDiv w:val="1"/>
      <w:marLeft w:val="0"/>
      <w:marRight w:val="0"/>
      <w:marTop w:val="0"/>
      <w:marBottom w:val="0"/>
      <w:divBdr>
        <w:top w:val="none" w:sz="0" w:space="0" w:color="auto"/>
        <w:left w:val="none" w:sz="0" w:space="0" w:color="auto"/>
        <w:bottom w:val="none" w:sz="0" w:space="0" w:color="auto"/>
        <w:right w:val="none" w:sz="0" w:space="0" w:color="auto"/>
      </w:divBdr>
      <w:divsChild>
        <w:div w:id="1765299331">
          <w:marLeft w:val="0"/>
          <w:marRight w:val="0"/>
          <w:marTop w:val="0"/>
          <w:marBottom w:val="0"/>
          <w:divBdr>
            <w:top w:val="none" w:sz="0" w:space="0" w:color="auto"/>
            <w:left w:val="none" w:sz="0" w:space="0" w:color="auto"/>
            <w:bottom w:val="none" w:sz="0" w:space="0" w:color="auto"/>
            <w:right w:val="none" w:sz="0" w:space="0" w:color="auto"/>
          </w:divBdr>
          <w:divsChild>
            <w:div w:id="1370647185">
              <w:marLeft w:val="0"/>
              <w:marRight w:val="0"/>
              <w:marTop w:val="0"/>
              <w:marBottom w:val="0"/>
              <w:divBdr>
                <w:top w:val="none" w:sz="0" w:space="0" w:color="auto"/>
                <w:left w:val="none" w:sz="0" w:space="0" w:color="auto"/>
                <w:bottom w:val="none" w:sz="0" w:space="0" w:color="auto"/>
                <w:right w:val="none" w:sz="0" w:space="0" w:color="auto"/>
              </w:divBdr>
              <w:divsChild>
                <w:div w:id="71470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979783">
      <w:bodyDiv w:val="1"/>
      <w:marLeft w:val="0"/>
      <w:marRight w:val="0"/>
      <w:marTop w:val="0"/>
      <w:marBottom w:val="0"/>
      <w:divBdr>
        <w:top w:val="none" w:sz="0" w:space="0" w:color="auto"/>
        <w:left w:val="none" w:sz="0" w:space="0" w:color="auto"/>
        <w:bottom w:val="none" w:sz="0" w:space="0" w:color="auto"/>
        <w:right w:val="none" w:sz="0" w:space="0" w:color="auto"/>
      </w:divBdr>
      <w:divsChild>
        <w:div w:id="293946838">
          <w:marLeft w:val="274"/>
          <w:marRight w:val="0"/>
          <w:marTop w:val="0"/>
          <w:marBottom w:val="0"/>
          <w:divBdr>
            <w:top w:val="none" w:sz="0" w:space="0" w:color="auto"/>
            <w:left w:val="none" w:sz="0" w:space="0" w:color="auto"/>
            <w:bottom w:val="none" w:sz="0" w:space="0" w:color="auto"/>
            <w:right w:val="none" w:sz="0" w:space="0" w:color="auto"/>
          </w:divBdr>
        </w:div>
        <w:div w:id="361052687">
          <w:marLeft w:val="274"/>
          <w:marRight w:val="0"/>
          <w:marTop w:val="0"/>
          <w:marBottom w:val="0"/>
          <w:divBdr>
            <w:top w:val="none" w:sz="0" w:space="0" w:color="auto"/>
            <w:left w:val="none" w:sz="0" w:space="0" w:color="auto"/>
            <w:bottom w:val="none" w:sz="0" w:space="0" w:color="auto"/>
            <w:right w:val="none" w:sz="0" w:space="0" w:color="auto"/>
          </w:divBdr>
        </w:div>
        <w:div w:id="399904879">
          <w:marLeft w:val="274"/>
          <w:marRight w:val="0"/>
          <w:marTop w:val="0"/>
          <w:marBottom w:val="0"/>
          <w:divBdr>
            <w:top w:val="none" w:sz="0" w:space="0" w:color="auto"/>
            <w:left w:val="none" w:sz="0" w:space="0" w:color="auto"/>
            <w:bottom w:val="none" w:sz="0" w:space="0" w:color="auto"/>
            <w:right w:val="none" w:sz="0" w:space="0" w:color="auto"/>
          </w:divBdr>
        </w:div>
        <w:div w:id="432750477">
          <w:marLeft w:val="274"/>
          <w:marRight w:val="0"/>
          <w:marTop w:val="0"/>
          <w:marBottom w:val="0"/>
          <w:divBdr>
            <w:top w:val="none" w:sz="0" w:space="0" w:color="auto"/>
            <w:left w:val="none" w:sz="0" w:space="0" w:color="auto"/>
            <w:bottom w:val="none" w:sz="0" w:space="0" w:color="auto"/>
            <w:right w:val="none" w:sz="0" w:space="0" w:color="auto"/>
          </w:divBdr>
        </w:div>
        <w:div w:id="710887610">
          <w:marLeft w:val="274"/>
          <w:marRight w:val="0"/>
          <w:marTop w:val="0"/>
          <w:marBottom w:val="0"/>
          <w:divBdr>
            <w:top w:val="none" w:sz="0" w:space="0" w:color="auto"/>
            <w:left w:val="none" w:sz="0" w:space="0" w:color="auto"/>
            <w:bottom w:val="none" w:sz="0" w:space="0" w:color="auto"/>
            <w:right w:val="none" w:sz="0" w:space="0" w:color="auto"/>
          </w:divBdr>
        </w:div>
        <w:div w:id="1176193789">
          <w:marLeft w:val="274"/>
          <w:marRight w:val="0"/>
          <w:marTop w:val="0"/>
          <w:marBottom w:val="0"/>
          <w:divBdr>
            <w:top w:val="none" w:sz="0" w:space="0" w:color="auto"/>
            <w:left w:val="none" w:sz="0" w:space="0" w:color="auto"/>
            <w:bottom w:val="none" w:sz="0" w:space="0" w:color="auto"/>
            <w:right w:val="none" w:sz="0" w:space="0" w:color="auto"/>
          </w:divBdr>
        </w:div>
        <w:div w:id="1265839294">
          <w:marLeft w:val="274"/>
          <w:marRight w:val="0"/>
          <w:marTop w:val="0"/>
          <w:marBottom w:val="0"/>
          <w:divBdr>
            <w:top w:val="none" w:sz="0" w:space="0" w:color="auto"/>
            <w:left w:val="none" w:sz="0" w:space="0" w:color="auto"/>
            <w:bottom w:val="none" w:sz="0" w:space="0" w:color="auto"/>
            <w:right w:val="none" w:sz="0" w:space="0" w:color="auto"/>
          </w:divBdr>
        </w:div>
        <w:div w:id="1327903074">
          <w:marLeft w:val="274"/>
          <w:marRight w:val="0"/>
          <w:marTop w:val="0"/>
          <w:marBottom w:val="0"/>
          <w:divBdr>
            <w:top w:val="none" w:sz="0" w:space="0" w:color="auto"/>
            <w:left w:val="none" w:sz="0" w:space="0" w:color="auto"/>
            <w:bottom w:val="none" w:sz="0" w:space="0" w:color="auto"/>
            <w:right w:val="none" w:sz="0" w:space="0" w:color="auto"/>
          </w:divBdr>
        </w:div>
        <w:div w:id="1352412917">
          <w:marLeft w:val="274"/>
          <w:marRight w:val="0"/>
          <w:marTop w:val="0"/>
          <w:marBottom w:val="0"/>
          <w:divBdr>
            <w:top w:val="none" w:sz="0" w:space="0" w:color="auto"/>
            <w:left w:val="none" w:sz="0" w:space="0" w:color="auto"/>
            <w:bottom w:val="none" w:sz="0" w:space="0" w:color="auto"/>
            <w:right w:val="none" w:sz="0" w:space="0" w:color="auto"/>
          </w:divBdr>
        </w:div>
        <w:div w:id="1576010269">
          <w:marLeft w:val="274"/>
          <w:marRight w:val="0"/>
          <w:marTop w:val="0"/>
          <w:marBottom w:val="0"/>
          <w:divBdr>
            <w:top w:val="none" w:sz="0" w:space="0" w:color="auto"/>
            <w:left w:val="none" w:sz="0" w:space="0" w:color="auto"/>
            <w:bottom w:val="none" w:sz="0" w:space="0" w:color="auto"/>
            <w:right w:val="none" w:sz="0" w:space="0" w:color="auto"/>
          </w:divBdr>
        </w:div>
        <w:div w:id="1597592020">
          <w:marLeft w:val="274"/>
          <w:marRight w:val="0"/>
          <w:marTop w:val="0"/>
          <w:marBottom w:val="0"/>
          <w:divBdr>
            <w:top w:val="none" w:sz="0" w:space="0" w:color="auto"/>
            <w:left w:val="none" w:sz="0" w:space="0" w:color="auto"/>
            <w:bottom w:val="none" w:sz="0" w:space="0" w:color="auto"/>
            <w:right w:val="none" w:sz="0" w:space="0" w:color="auto"/>
          </w:divBdr>
        </w:div>
        <w:div w:id="1807776931">
          <w:marLeft w:val="274"/>
          <w:marRight w:val="0"/>
          <w:marTop w:val="0"/>
          <w:marBottom w:val="0"/>
          <w:divBdr>
            <w:top w:val="none" w:sz="0" w:space="0" w:color="auto"/>
            <w:left w:val="none" w:sz="0" w:space="0" w:color="auto"/>
            <w:bottom w:val="none" w:sz="0" w:space="0" w:color="auto"/>
            <w:right w:val="none" w:sz="0" w:space="0" w:color="auto"/>
          </w:divBdr>
        </w:div>
        <w:div w:id="1829251778">
          <w:marLeft w:val="274"/>
          <w:marRight w:val="0"/>
          <w:marTop w:val="0"/>
          <w:marBottom w:val="0"/>
          <w:divBdr>
            <w:top w:val="none" w:sz="0" w:space="0" w:color="auto"/>
            <w:left w:val="none" w:sz="0" w:space="0" w:color="auto"/>
            <w:bottom w:val="none" w:sz="0" w:space="0" w:color="auto"/>
            <w:right w:val="none" w:sz="0" w:space="0" w:color="auto"/>
          </w:divBdr>
        </w:div>
      </w:divsChild>
    </w:div>
    <w:div w:id="1191453353">
      <w:bodyDiv w:val="1"/>
      <w:marLeft w:val="0"/>
      <w:marRight w:val="0"/>
      <w:marTop w:val="0"/>
      <w:marBottom w:val="0"/>
      <w:divBdr>
        <w:top w:val="none" w:sz="0" w:space="0" w:color="auto"/>
        <w:left w:val="none" w:sz="0" w:space="0" w:color="auto"/>
        <w:bottom w:val="none" w:sz="0" w:space="0" w:color="auto"/>
        <w:right w:val="none" w:sz="0" w:space="0" w:color="auto"/>
      </w:divBdr>
    </w:div>
    <w:div w:id="1198619675">
      <w:bodyDiv w:val="1"/>
      <w:marLeft w:val="0"/>
      <w:marRight w:val="0"/>
      <w:marTop w:val="0"/>
      <w:marBottom w:val="0"/>
      <w:divBdr>
        <w:top w:val="none" w:sz="0" w:space="0" w:color="auto"/>
        <w:left w:val="none" w:sz="0" w:space="0" w:color="auto"/>
        <w:bottom w:val="none" w:sz="0" w:space="0" w:color="auto"/>
        <w:right w:val="none" w:sz="0" w:space="0" w:color="auto"/>
      </w:divBdr>
      <w:divsChild>
        <w:div w:id="1997150972">
          <w:marLeft w:val="0"/>
          <w:marRight w:val="0"/>
          <w:marTop w:val="0"/>
          <w:marBottom w:val="0"/>
          <w:divBdr>
            <w:top w:val="none" w:sz="0" w:space="0" w:color="auto"/>
            <w:left w:val="none" w:sz="0" w:space="0" w:color="auto"/>
            <w:bottom w:val="none" w:sz="0" w:space="0" w:color="auto"/>
            <w:right w:val="none" w:sz="0" w:space="0" w:color="auto"/>
          </w:divBdr>
          <w:divsChild>
            <w:div w:id="2003965997">
              <w:marLeft w:val="0"/>
              <w:marRight w:val="0"/>
              <w:marTop w:val="0"/>
              <w:marBottom w:val="0"/>
              <w:divBdr>
                <w:top w:val="none" w:sz="0" w:space="0" w:color="auto"/>
                <w:left w:val="none" w:sz="0" w:space="0" w:color="auto"/>
                <w:bottom w:val="none" w:sz="0" w:space="0" w:color="auto"/>
                <w:right w:val="none" w:sz="0" w:space="0" w:color="auto"/>
              </w:divBdr>
              <w:divsChild>
                <w:div w:id="77432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943649">
      <w:bodyDiv w:val="1"/>
      <w:marLeft w:val="0"/>
      <w:marRight w:val="0"/>
      <w:marTop w:val="0"/>
      <w:marBottom w:val="0"/>
      <w:divBdr>
        <w:top w:val="none" w:sz="0" w:space="0" w:color="auto"/>
        <w:left w:val="none" w:sz="0" w:space="0" w:color="auto"/>
        <w:bottom w:val="none" w:sz="0" w:space="0" w:color="auto"/>
        <w:right w:val="none" w:sz="0" w:space="0" w:color="auto"/>
      </w:divBdr>
      <w:divsChild>
        <w:div w:id="969045396">
          <w:marLeft w:val="0"/>
          <w:marRight w:val="0"/>
          <w:marTop w:val="0"/>
          <w:marBottom w:val="0"/>
          <w:divBdr>
            <w:top w:val="none" w:sz="0" w:space="0" w:color="auto"/>
            <w:left w:val="none" w:sz="0" w:space="0" w:color="auto"/>
            <w:bottom w:val="none" w:sz="0" w:space="0" w:color="auto"/>
            <w:right w:val="none" w:sz="0" w:space="0" w:color="auto"/>
          </w:divBdr>
          <w:divsChild>
            <w:div w:id="148132030">
              <w:marLeft w:val="0"/>
              <w:marRight w:val="0"/>
              <w:marTop w:val="0"/>
              <w:marBottom w:val="0"/>
              <w:divBdr>
                <w:top w:val="none" w:sz="0" w:space="0" w:color="auto"/>
                <w:left w:val="none" w:sz="0" w:space="0" w:color="auto"/>
                <w:bottom w:val="none" w:sz="0" w:space="0" w:color="auto"/>
                <w:right w:val="none" w:sz="0" w:space="0" w:color="auto"/>
              </w:divBdr>
              <w:divsChild>
                <w:div w:id="7566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206186">
      <w:bodyDiv w:val="1"/>
      <w:marLeft w:val="0"/>
      <w:marRight w:val="0"/>
      <w:marTop w:val="0"/>
      <w:marBottom w:val="0"/>
      <w:divBdr>
        <w:top w:val="none" w:sz="0" w:space="0" w:color="auto"/>
        <w:left w:val="none" w:sz="0" w:space="0" w:color="auto"/>
        <w:bottom w:val="none" w:sz="0" w:space="0" w:color="auto"/>
        <w:right w:val="none" w:sz="0" w:space="0" w:color="auto"/>
      </w:divBdr>
    </w:div>
    <w:div w:id="1207181340">
      <w:bodyDiv w:val="1"/>
      <w:marLeft w:val="0"/>
      <w:marRight w:val="0"/>
      <w:marTop w:val="0"/>
      <w:marBottom w:val="0"/>
      <w:divBdr>
        <w:top w:val="none" w:sz="0" w:space="0" w:color="auto"/>
        <w:left w:val="none" w:sz="0" w:space="0" w:color="auto"/>
        <w:bottom w:val="none" w:sz="0" w:space="0" w:color="auto"/>
        <w:right w:val="none" w:sz="0" w:space="0" w:color="auto"/>
      </w:divBdr>
    </w:div>
    <w:div w:id="1231966741">
      <w:bodyDiv w:val="1"/>
      <w:marLeft w:val="0"/>
      <w:marRight w:val="0"/>
      <w:marTop w:val="0"/>
      <w:marBottom w:val="0"/>
      <w:divBdr>
        <w:top w:val="none" w:sz="0" w:space="0" w:color="auto"/>
        <w:left w:val="none" w:sz="0" w:space="0" w:color="auto"/>
        <w:bottom w:val="none" w:sz="0" w:space="0" w:color="auto"/>
        <w:right w:val="none" w:sz="0" w:space="0" w:color="auto"/>
      </w:divBdr>
    </w:div>
    <w:div w:id="1248223334">
      <w:bodyDiv w:val="1"/>
      <w:marLeft w:val="0"/>
      <w:marRight w:val="0"/>
      <w:marTop w:val="0"/>
      <w:marBottom w:val="0"/>
      <w:divBdr>
        <w:top w:val="none" w:sz="0" w:space="0" w:color="auto"/>
        <w:left w:val="none" w:sz="0" w:space="0" w:color="auto"/>
        <w:bottom w:val="none" w:sz="0" w:space="0" w:color="auto"/>
        <w:right w:val="none" w:sz="0" w:space="0" w:color="auto"/>
      </w:divBdr>
      <w:divsChild>
        <w:div w:id="1968198080">
          <w:marLeft w:val="0"/>
          <w:marRight w:val="0"/>
          <w:marTop w:val="0"/>
          <w:marBottom w:val="0"/>
          <w:divBdr>
            <w:top w:val="none" w:sz="0" w:space="0" w:color="auto"/>
            <w:left w:val="none" w:sz="0" w:space="0" w:color="auto"/>
            <w:bottom w:val="none" w:sz="0" w:space="0" w:color="auto"/>
            <w:right w:val="none" w:sz="0" w:space="0" w:color="auto"/>
          </w:divBdr>
          <w:divsChild>
            <w:div w:id="866524642">
              <w:marLeft w:val="0"/>
              <w:marRight w:val="0"/>
              <w:marTop w:val="0"/>
              <w:marBottom w:val="0"/>
              <w:divBdr>
                <w:top w:val="none" w:sz="0" w:space="0" w:color="auto"/>
                <w:left w:val="none" w:sz="0" w:space="0" w:color="auto"/>
                <w:bottom w:val="none" w:sz="0" w:space="0" w:color="auto"/>
                <w:right w:val="none" w:sz="0" w:space="0" w:color="auto"/>
              </w:divBdr>
              <w:divsChild>
                <w:div w:id="6568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48019">
      <w:bodyDiv w:val="1"/>
      <w:marLeft w:val="0"/>
      <w:marRight w:val="0"/>
      <w:marTop w:val="0"/>
      <w:marBottom w:val="0"/>
      <w:divBdr>
        <w:top w:val="none" w:sz="0" w:space="0" w:color="auto"/>
        <w:left w:val="none" w:sz="0" w:space="0" w:color="auto"/>
        <w:bottom w:val="none" w:sz="0" w:space="0" w:color="auto"/>
        <w:right w:val="none" w:sz="0" w:space="0" w:color="auto"/>
      </w:divBdr>
    </w:div>
    <w:div w:id="1285162358">
      <w:bodyDiv w:val="1"/>
      <w:marLeft w:val="0"/>
      <w:marRight w:val="0"/>
      <w:marTop w:val="0"/>
      <w:marBottom w:val="0"/>
      <w:divBdr>
        <w:top w:val="none" w:sz="0" w:space="0" w:color="auto"/>
        <w:left w:val="none" w:sz="0" w:space="0" w:color="auto"/>
        <w:bottom w:val="none" w:sz="0" w:space="0" w:color="auto"/>
        <w:right w:val="none" w:sz="0" w:space="0" w:color="auto"/>
      </w:divBdr>
    </w:div>
    <w:div w:id="1295909722">
      <w:bodyDiv w:val="1"/>
      <w:marLeft w:val="0"/>
      <w:marRight w:val="0"/>
      <w:marTop w:val="0"/>
      <w:marBottom w:val="0"/>
      <w:divBdr>
        <w:top w:val="none" w:sz="0" w:space="0" w:color="auto"/>
        <w:left w:val="none" w:sz="0" w:space="0" w:color="auto"/>
        <w:bottom w:val="none" w:sz="0" w:space="0" w:color="auto"/>
        <w:right w:val="none" w:sz="0" w:space="0" w:color="auto"/>
      </w:divBdr>
      <w:divsChild>
        <w:div w:id="42565002">
          <w:marLeft w:val="274"/>
          <w:marRight w:val="0"/>
          <w:marTop w:val="0"/>
          <w:marBottom w:val="0"/>
          <w:divBdr>
            <w:top w:val="none" w:sz="0" w:space="0" w:color="auto"/>
            <w:left w:val="none" w:sz="0" w:space="0" w:color="auto"/>
            <w:bottom w:val="none" w:sz="0" w:space="0" w:color="auto"/>
            <w:right w:val="none" w:sz="0" w:space="0" w:color="auto"/>
          </w:divBdr>
        </w:div>
        <w:div w:id="144393173">
          <w:marLeft w:val="274"/>
          <w:marRight w:val="0"/>
          <w:marTop w:val="0"/>
          <w:marBottom w:val="0"/>
          <w:divBdr>
            <w:top w:val="none" w:sz="0" w:space="0" w:color="auto"/>
            <w:left w:val="none" w:sz="0" w:space="0" w:color="auto"/>
            <w:bottom w:val="none" w:sz="0" w:space="0" w:color="auto"/>
            <w:right w:val="none" w:sz="0" w:space="0" w:color="auto"/>
          </w:divBdr>
        </w:div>
        <w:div w:id="345716168">
          <w:marLeft w:val="274"/>
          <w:marRight w:val="0"/>
          <w:marTop w:val="0"/>
          <w:marBottom w:val="0"/>
          <w:divBdr>
            <w:top w:val="none" w:sz="0" w:space="0" w:color="auto"/>
            <w:left w:val="none" w:sz="0" w:space="0" w:color="auto"/>
            <w:bottom w:val="none" w:sz="0" w:space="0" w:color="auto"/>
            <w:right w:val="none" w:sz="0" w:space="0" w:color="auto"/>
          </w:divBdr>
        </w:div>
        <w:div w:id="498351824">
          <w:marLeft w:val="274"/>
          <w:marRight w:val="0"/>
          <w:marTop w:val="0"/>
          <w:marBottom w:val="0"/>
          <w:divBdr>
            <w:top w:val="none" w:sz="0" w:space="0" w:color="auto"/>
            <w:left w:val="none" w:sz="0" w:space="0" w:color="auto"/>
            <w:bottom w:val="none" w:sz="0" w:space="0" w:color="auto"/>
            <w:right w:val="none" w:sz="0" w:space="0" w:color="auto"/>
          </w:divBdr>
        </w:div>
        <w:div w:id="925457805">
          <w:marLeft w:val="274"/>
          <w:marRight w:val="0"/>
          <w:marTop w:val="0"/>
          <w:marBottom w:val="0"/>
          <w:divBdr>
            <w:top w:val="none" w:sz="0" w:space="0" w:color="auto"/>
            <w:left w:val="none" w:sz="0" w:space="0" w:color="auto"/>
            <w:bottom w:val="none" w:sz="0" w:space="0" w:color="auto"/>
            <w:right w:val="none" w:sz="0" w:space="0" w:color="auto"/>
          </w:divBdr>
        </w:div>
        <w:div w:id="926426988">
          <w:marLeft w:val="274"/>
          <w:marRight w:val="0"/>
          <w:marTop w:val="0"/>
          <w:marBottom w:val="0"/>
          <w:divBdr>
            <w:top w:val="none" w:sz="0" w:space="0" w:color="auto"/>
            <w:left w:val="none" w:sz="0" w:space="0" w:color="auto"/>
            <w:bottom w:val="none" w:sz="0" w:space="0" w:color="auto"/>
            <w:right w:val="none" w:sz="0" w:space="0" w:color="auto"/>
          </w:divBdr>
        </w:div>
        <w:div w:id="1019426840">
          <w:marLeft w:val="274"/>
          <w:marRight w:val="0"/>
          <w:marTop w:val="0"/>
          <w:marBottom w:val="0"/>
          <w:divBdr>
            <w:top w:val="none" w:sz="0" w:space="0" w:color="auto"/>
            <w:left w:val="none" w:sz="0" w:space="0" w:color="auto"/>
            <w:bottom w:val="none" w:sz="0" w:space="0" w:color="auto"/>
            <w:right w:val="none" w:sz="0" w:space="0" w:color="auto"/>
          </w:divBdr>
        </w:div>
        <w:div w:id="1316380009">
          <w:marLeft w:val="274"/>
          <w:marRight w:val="0"/>
          <w:marTop w:val="0"/>
          <w:marBottom w:val="0"/>
          <w:divBdr>
            <w:top w:val="none" w:sz="0" w:space="0" w:color="auto"/>
            <w:left w:val="none" w:sz="0" w:space="0" w:color="auto"/>
            <w:bottom w:val="none" w:sz="0" w:space="0" w:color="auto"/>
            <w:right w:val="none" w:sz="0" w:space="0" w:color="auto"/>
          </w:divBdr>
        </w:div>
        <w:div w:id="1434284138">
          <w:marLeft w:val="274"/>
          <w:marRight w:val="0"/>
          <w:marTop w:val="0"/>
          <w:marBottom w:val="0"/>
          <w:divBdr>
            <w:top w:val="none" w:sz="0" w:space="0" w:color="auto"/>
            <w:left w:val="none" w:sz="0" w:space="0" w:color="auto"/>
            <w:bottom w:val="none" w:sz="0" w:space="0" w:color="auto"/>
            <w:right w:val="none" w:sz="0" w:space="0" w:color="auto"/>
          </w:divBdr>
        </w:div>
        <w:div w:id="1529637053">
          <w:marLeft w:val="274"/>
          <w:marRight w:val="0"/>
          <w:marTop w:val="0"/>
          <w:marBottom w:val="0"/>
          <w:divBdr>
            <w:top w:val="none" w:sz="0" w:space="0" w:color="auto"/>
            <w:left w:val="none" w:sz="0" w:space="0" w:color="auto"/>
            <w:bottom w:val="none" w:sz="0" w:space="0" w:color="auto"/>
            <w:right w:val="none" w:sz="0" w:space="0" w:color="auto"/>
          </w:divBdr>
        </w:div>
        <w:div w:id="1653289721">
          <w:marLeft w:val="274"/>
          <w:marRight w:val="0"/>
          <w:marTop w:val="0"/>
          <w:marBottom w:val="0"/>
          <w:divBdr>
            <w:top w:val="none" w:sz="0" w:space="0" w:color="auto"/>
            <w:left w:val="none" w:sz="0" w:space="0" w:color="auto"/>
            <w:bottom w:val="none" w:sz="0" w:space="0" w:color="auto"/>
            <w:right w:val="none" w:sz="0" w:space="0" w:color="auto"/>
          </w:divBdr>
        </w:div>
        <w:div w:id="1660767092">
          <w:marLeft w:val="274"/>
          <w:marRight w:val="0"/>
          <w:marTop w:val="0"/>
          <w:marBottom w:val="0"/>
          <w:divBdr>
            <w:top w:val="none" w:sz="0" w:space="0" w:color="auto"/>
            <w:left w:val="none" w:sz="0" w:space="0" w:color="auto"/>
            <w:bottom w:val="none" w:sz="0" w:space="0" w:color="auto"/>
            <w:right w:val="none" w:sz="0" w:space="0" w:color="auto"/>
          </w:divBdr>
        </w:div>
        <w:div w:id="1712805501">
          <w:marLeft w:val="274"/>
          <w:marRight w:val="0"/>
          <w:marTop w:val="0"/>
          <w:marBottom w:val="0"/>
          <w:divBdr>
            <w:top w:val="none" w:sz="0" w:space="0" w:color="auto"/>
            <w:left w:val="none" w:sz="0" w:space="0" w:color="auto"/>
            <w:bottom w:val="none" w:sz="0" w:space="0" w:color="auto"/>
            <w:right w:val="none" w:sz="0" w:space="0" w:color="auto"/>
          </w:divBdr>
        </w:div>
      </w:divsChild>
    </w:div>
    <w:div w:id="1295910088">
      <w:bodyDiv w:val="1"/>
      <w:marLeft w:val="0"/>
      <w:marRight w:val="0"/>
      <w:marTop w:val="0"/>
      <w:marBottom w:val="0"/>
      <w:divBdr>
        <w:top w:val="none" w:sz="0" w:space="0" w:color="auto"/>
        <w:left w:val="none" w:sz="0" w:space="0" w:color="auto"/>
        <w:bottom w:val="none" w:sz="0" w:space="0" w:color="auto"/>
        <w:right w:val="none" w:sz="0" w:space="0" w:color="auto"/>
      </w:divBdr>
      <w:divsChild>
        <w:div w:id="211622739">
          <w:marLeft w:val="0"/>
          <w:marRight w:val="0"/>
          <w:marTop w:val="0"/>
          <w:marBottom w:val="0"/>
          <w:divBdr>
            <w:top w:val="none" w:sz="0" w:space="0" w:color="auto"/>
            <w:left w:val="none" w:sz="0" w:space="0" w:color="auto"/>
            <w:bottom w:val="none" w:sz="0" w:space="0" w:color="auto"/>
            <w:right w:val="none" w:sz="0" w:space="0" w:color="auto"/>
          </w:divBdr>
          <w:divsChild>
            <w:div w:id="993217511">
              <w:marLeft w:val="0"/>
              <w:marRight w:val="0"/>
              <w:marTop w:val="0"/>
              <w:marBottom w:val="0"/>
              <w:divBdr>
                <w:top w:val="none" w:sz="0" w:space="0" w:color="auto"/>
                <w:left w:val="none" w:sz="0" w:space="0" w:color="auto"/>
                <w:bottom w:val="none" w:sz="0" w:space="0" w:color="auto"/>
                <w:right w:val="none" w:sz="0" w:space="0" w:color="auto"/>
              </w:divBdr>
              <w:divsChild>
                <w:div w:id="185893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17243">
      <w:bodyDiv w:val="1"/>
      <w:marLeft w:val="0"/>
      <w:marRight w:val="0"/>
      <w:marTop w:val="0"/>
      <w:marBottom w:val="0"/>
      <w:divBdr>
        <w:top w:val="none" w:sz="0" w:space="0" w:color="auto"/>
        <w:left w:val="none" w:sz="0" w:space="0" w:color="auto"/>
        <w:bottom w:val="none" w:sz="0" w:space="0" w:color="auto"/>
        <w:right w:val="none" w:sz="0" w:space="0" w:color="auto"/>
      </w:divBdr>
      <w:divsChild>
        <w:div w:id="1393192139">
          <w:marLeft w:val="0"/>
          <w:marRight w:val="0"/>
          <w:marTop w:val="0"/>
          <w:marBottom w:val="0"/>
          <w:divBdr>
            <w:top w:val="none" w:sz="0" w:space="0" w:color="auto"/>
            <w:left w:val="none" w:sz="0" w:space="0" w:color="auto"/>
            <w:bottom w:val="none" w:sz="0" w:space="0" w:color="auto"/>
            <w:right w:val="none" w:sz="0" w:space="0" w:color="auto"/>
          </w:divBdr>
          <w:divsChild>
            <w:div w:id="1240366931">
              <w:marLeft w:val="0"/>
              <w:marRight w:val="0"/>
              <w:marTop w:val="0"/>
              <w:marBottom w:val="0"/>
              <w:divBdr>
                <w:top w:val="none" w:sz="0" w:space="0" w:color="auto"/>
                <w:left w:val="none" w:sz="0" w:space="0" w:color="auto"/>
                <w:bottom w:val="none" w:sz="0" w:space="0" w:color="auto"/>
                <w:right w:val="none" w:sz="0" w:space="0" w:color="auto"/>
              </w:divBdr>
              <w:divsChild>
                <w:div w:id="179668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767525">
      <w:bodyDiv w:val="1"/>
      <w:marLeft w:val="0"/>
      <w:marRight w:val="0"/>
      <w:marTop w:val="0"/>
      <w:marBottom w:val="0"/>
      <w:divBdr>
        <w:top w:val="none" w:sz="0" w:space="0" w:color="auto"/>
        <w:left w:val="none" w:sz="0" w:space="0" w:color="auto"/>
        <w:bottom w:val="none" w:sz="0" w:space="0" w:color="auto"/>
        <w:right w:val="none" w:sz="0" w:space="0" w:color="auto"/>
      </w:divBdr>
    </w:div>
    <w:div w:id="1325472742">
      <w:bodyDiv w:val="1"/>
      <w:marLeft w:val="0"/>
      <w:marRight w:val="0"/>
      <w:marTop w:val="0"/>
      <w:marBottom w:val="0"/>
      <w:divBdr>
        <w:top w:val="none" w:sz="0" w:space="0" w:color="auto"/>
        <w:left w:val="none" w:sz="0" w:space="0" w:color="auto"/>
        <w:bottom w:val="none" w:sz="0" w:space="0" w:color="auto"/>
        <w:right w:val="none" w:sz="0" w:space="0" w:color="auto"/>
      </w:divBdr>
      <w:divsChild>
        <w:div w:id="109865059">
          <w:marLeft w:val="0"/>
          <w:marRight w:val="0"/>
          <w:marTop w:val="0"/>
          <w:marBottom w:val="0"/>
          <w:divBdr>
            <w:top w:val="none" w:sz="0" w:space="0" w:color="auto"/>
            <w:left w:val="none" w:sz="0" w:space="0" w:color="auto"/>
            <w:bottom w:val="none" w:sz="0" w:space="0" w:color="auto"/>
            <w:right w:val="none" w:sz="0" w:space="0" w:color="auto"/>
          </w:divBdr>
          <w:divsChild>
            <w:div w:id="1380547406">
              <w:marLeft w:val="0"/>
              <w:marRight w:val="0"/>
              <w:marTop w:val="0"/>
              <w:marBottom w:val="0"/>
              <w:divBdr>
                <w:top w:val="none" w:sz="0" w:space="0" w:color="auto"/>
                <w:left w:val="none" w:sz="0" w:space="0" w:color="auto"/>
                <w:bottom w:val="none" w:sz="0" w:space="0" w:color="auto"/>
                <w:right w:val="none" w:sz="0" w:space="0" w:color="auto"/>
              </w:divBdr>
              <w:divsChild>
                <w:div w:id="1136685683">
                  <w:marLeft w:val="0"/>
                  <w:marRight w:val="0"/>
                  <w:marTop w:val="0"/>
                  <w:marBottom w:val="0"/>
                  <w:divBdr>
                    <w:top w:val="none" w:sz="0" w:space="0" w:color="auto"/>
                    <w:left w:val="none" w:sz="0" w:space="0" w:color="auto"/>
                    <w:bottom w:val="none" w:sz="0" w:space="0" w:color="auto"/>
                    <w:right w:val="none" w:sz="0" w:space="0" w:color="auto"/>
                  </w:divBdr>
                  <w:divsChild>
                    <w:div w:id="43224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297728">
      <w:bodyDiv w:val="1"/>
      <w:marLeft w:val="0"/>
      <w:marRight w:val="0"/>
      <w:marTop w:val="0"/>
      <w:marBottom w:val="0"/>
      <w:divBdr>
        <w:top w:val="none" w:sz="0" w:space="0" w:color="auto"/>
        <w:left w:val="none" w:sz="0" w:space="0" w:color="auto"/>
        <w:bottom w:val="none" w:sz="0" w:space="0" w:color="auto"/>
        <w:right w:val="none" w:sz="0" w:space="0" w:color="auto"/>
      </w:divBdr>
    </w:div>
    <w:div w:id="1381711693">
      <w:bodyDiv w:val="1"/>
      <w:marLeft w:val="0"/>
      <w:marRight w:val="0"/>
      <w:marTop w:val="0"/>
      <w:marBottom w:val="0"/>
      <w:divBdr>
        <w:top w:val="none" w:sz="0" w:space="0" w:color="auto"/>
        <w:left w:val="none" w:sz="0" w:space="0" w:color="auto"/>
        <w:bottom w:val="none" w:sz="0" w:space="0" w:color="auto"/>
        <w:right w:val="none" w:sz="0" w:space="0" w:color="auto"/>
      </w:divBdr>
    </w:div>
    <w:div w:id="1384402507">
      <w:bodyDiv w:val="1"/>
      <w:marLeft w:val="0"/>
      <w:marRight w:val="0"/>
      <w:marTop w:val="0"/>
      <w:marBottom w:val="0"/>
      <w:divBdr>
        <w:top w:val="none" w:sz="0" w:space="0" w:color="auto"/>
        <w:left w:val="none" w:sz="0" w:space="0" w:color="auto"/>
        <w:bottom w:val="none" w:sz="0" w:space="0" w:color="auto"/>
        <w:right w:val="none" w:sz="0" w:space="0" w:color="auto"/>
      </w:divBdr>
      <w:divsChild>
        <w:div w:id="899289615">
          <w:marLeft w:val="0"/>
          <w:marRight w:val="0"/>
          <w:marTop w:val="0"/>
          <w:marBottom w:val="0"/>
          <w:divBdr>
            <w:top w:val="none" w:sz="0" w:space="0" w:color="auto"/>
            <w:left w:val="none" w:sz="0" w:space="0" w:color="auto"/>
            <w:bottom w:val="none" w:sz="0" w:space="0" w:color="auto"/>
            <w:right w:val="none" w:sz="0" w:space="0" w:color="auto"/>
          </w:divBdr>
          <w:divsChild>
            <w:div w:id="2044939170">
              <w:marLeft w:val="0"/>
              <w:marRight w:val="0"/>
              <w:marTop w:val="0"/>
              <w:marBottom w:val="0"/>
              <w:divBdr>
                <w:top w:val="none" w:sz="0" w:space="0" w:color="auto"/>
                <w:left w:val="none" w:sz="0" w:space="0" w:color="auto"/>
                <w:bottom w:val="none" w:sz="0" w:space="0" w:color="auto"/>
                <w:right w:val="none" w:sz="0" w:space="0" w:color="auto"/>
              </w:divBdr>
              <w:divsChild>
                <w:div w:id="14022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296648">
      <w:bodyDiv w:val="1"/>
      <w:marLeft w:val="0"/>
      <w:marRight w:val="0"/>
      <w:marTop w:val="0"/>
      <w:marBottom w:val="0"/>
      <w:divBdr>
        <w:top w:val="none" w:sz="0" w:space="0" w:color="auto"/>
        <w:left w:val="none" w:sz="0" w:space="0" w:color="auto"/>
        <w:bottom w:val="none" w:sz="0" w:space="0" w:color="auto"/>
        <w:right w:val="none" w:sz="0" w:space="0" w:color="auto"/>
      </w:divBdr>
      <w:divsChild>
        <w:div w:id="1936207067">
          <w:marLeft w:val="0"/>
          <w:marRight w:val="0"/>
          <w:marTop w:val="0"/>
          <w:marBottom w:val="0"/>
          <w:divBdr>
            <w:top w:val="none" w:sz="0" w:space="0" w:color="auto"/>
            <w:left w:val="none" w:sz="0" w:space="0" w:color="auto"/>
            <w:bottom w:val="none" w:sz="0" w:space="0" w:color="auto"/>
            <w:right w:val="none" w:sz="0" w:space="0" w:color="auto"/>
          </w:divBdr>
          <w:divsChild>
            <w:div w:id="737433576">
              <w:marLeft w:val="0"/>
              <w:marRight w:val="0"/>
              <w:marTop w:val="0"/>
              <w:marBottom w:val="0"/>
              <w:divBdr>
                <w:top w:val="none" w:sz="0" w:space="0" w:color="auto"/>
                <w:left w:val="none" w:sz="0" w:space="0" w:color="auto"/>
                <w:bottom w:val="none" w:sz="0" w:space="0" w:color="auto"/>
                <w:right w:val="none" w:sz="0" w:space="0" w:color="auto"/>
              </w:divBdr>
              <w:divsChild>
                <w:div w:id="22514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077045">
      <w:bodyDiv w:val="1"/>
      <w:marLeft w:val="0"/>
      <w:marRight w:val="0"/>
      <w:marTop w:val="0"/>
      <w:marBottom w:val="0"/>
      <w:divBdr>
        <w:top w:val="none" w:sz="0" w:space="0" w:color="auto"/>
        <w:left w:val="none" w:sz="0" w:space="0" w:color="auto"/>
        <w:bottom w:val="none" w:sz="0" w:space="0" w:color="auto"/>
        <w:right w:val="none" w:sz="0" w:space="0" w:color="auto"/>
      </w:divBdr>
    </w:div>
    <w:div w:id="1465198719">
      <w:bodyDiv w:val="1"/>
      <w:marLeft w:val="0"/>
      <w:marRight w:val="0"/>
      <w:marTop w:val="0"/>
      <w:marBottom w:val="0"/>
      <w:divBdr>
        <w:top w:val="none" w:sz="0" w:space="0" w:color="auto"/>
        <w:left w:val="none" w:sz="0" w:space="0" w:color="auto"/>
        <w:bottom w:val="none" w:sz="0" w:space="0" w:color="auto"/>
        <w:right w:val="none" w:sz="0" w:space="0" w:color="auto"/>
      </w:divBdr>
    </w:div>
    <w:div w:id="1468860847">
      <w:bodyDiv w:val="1"/>
      <w:marLeft w:val="0"/>
      <w:marRight w:val="0"/>
      <w:marTop w:val="0"/>
      <w:marBottom w:val="0"/>
      <w:divBdr>
        <w:top w:val="none" w:sz="0" w:space="0" w:color="auto"/>
        <w:left w:val="none" w:sz="0" w:space="0" w:color="auto"/>
        <w:bottom w:val="none" w:sz="0" w:space="0" w:color="auto"/>
        <w:right w:val="none" w:sz="0" w:space="0" w:color="auto"/>
      </w:divBdr>
    </w:div>
    <w:div w:id="1499036088">
      <w:bodyDiv w:val="1"/>
      <w:marLeft w:val="0"/>
      <w:marRight w:val="0"/>
      <w:marTop w:val="0"/>
      <w:marBottom w:val="0"/>
      <w:divBdr>
        <w:top w:val="none" w:sz="0" w:space="0" w:color="auto"/>
        <w:left w:val="none" w:sz="0" w:space="0" w:color="auto"/>
        <w:bottom w:val="none" w:sz="0" w:space="0" w:color="auto"/>
        <w:right w:val="none" w:sz="0" w:space="0" w:color="auto"/>
      </w:divBdr>
    </w:div>
    <w:div w:id="1554076536">
      <w:bodyDiv w:val="1"/>
      <w:marLeft w:val="0"/>
      <w:marRight w:val="0"/>
      <w:marTop w:val="0"/>
      <w:marBottom w:val="0"/>
      <w:divBdr>
        <w:top w:val="none" w:sz="0" w:space="0" w:color="auto"/>
        <w:left w:val="none" w:sz="0" w:space="0" w:color="auto"/>
        <w:bottom w:val="none" w:sz="0" w:space="0" w:color="auto"/>
        <w:right w:val="none" w:sz="0" w:space="0" w:color="auto"/>
      </w:divBdr>
    </w:div>
    <w:div w:id="1564220184">
      <w:bodyDiv w:val="1"/>
      <w:marLeft w:val="0"/>
      <w:marRight w:val="0"/>
      <w:marTop w:val="0"/>
      <w:marBottom w:val="0"/>
      <w:divBdr>
        <w:top w:val="none" w:sz="0" w:space="0" w:color="auto"/>
        <w:left w:val="none" w:sz="0" w:space="0" w:color="auto"/>
        <w:bottom w:val="none" w:sz="0" w:space="0" w:color="auto"/>
        <w:right w:val="none" w:sz="0" w:space="0" w:color="auto"/>
      </w:divBdr>
    </w:div>
    <w:div w:id="1597202959">
      <w:bodyDiv w:val="1"/>
      <w:marLeft w:val="0"/>
      <w:marRight w:val="0"/>
      <w:marTop w:val="0"/>
      <w:marBottom w:val="0"/>
      <w:divBdr>
        <w:top w:val="none" w:sz="0" w:space="0" w:color="auto"/>
        <w:left w:val="none" w:sz="0" w:space="0" w:color="auto"/>
        <w:bottom w:val="none" w:sz="0" w:space="0" w:color="auto"/>
        <w:right w:val="none" w:sz="0" w:space="0" w:color="auto"/>
      </w:divBdr>
    </w:div>
    <w:div w:id="1643272310">
      <w:bodyDiv w:val="1"/>
      <w:marLeft w:val="0"/>
      <w:marRight w:val="0"/>
      <w:marTop w:val="0"/>
      <w:marBottom w:val="0"/>
      <w:divBdr>
        <w:top w:val="none" w:sz="0" w:space="0" w:color="auto"/>
        <w:left w:val="none" w:sz="0" w:space="0" w:color="auto"/>
        <w:bottom w:val="none" w:sz="0" w:space="0" w:color="auto"/>
        <w:right w:val="none" w:sz="0" w:space="0" w:color="auto"/>
      </w:divBdr>
    </w:div>
    <w:div w:id="1651985618">
      <w:bodyDiv w:val="1"/>
      <w:marLeft w:val="0"/>
      <w:marRight w:val="0"/>
      <w:marTop w:val="0"/>
      <w:marBottom w:val="0"/>
      <w:divBdr>
        <w:top w:val="none" w:sz="0" w:space="0" w:color="auto"/>
        <w:left w:val="none" w:sz="0" w:space="0" w:color="auto"/>
        <w:bottom w:val="none" w:sz="0" w:space="0" w:color="auto"/>
        <w:right w:val="none" w:sz="0" w:space="0" w:color="auto"/>
      </w:divBdr>
      <w:divsChild>
        <w:div w:id="952201563">
          <w:marLeft w:val="994"/>
          <w:marRight w:val="0"/>
          <w:marTop w:val="0"/>
          <w:marBottom w:val="0"/>
          <w:divBdr>
            <w:top w:val="none" w:sz="0" w:space="0" w:color="auto"/>
            <w:left w:val="none" w:sz="0" w:space="0" w:color="auto"/>
            <w:bottom w:val="none" w:sz="0" w:space="0" w:color="auto"/>
            <w:right w:val="none" w:sz="0" w:space="0" w:color="auto"/>
          </w:divBdr>
        </w:div>
        <w:div w:id="1106730853">
          <w:marLeft w:val="994"/>
          <w:marRight w:val="0"/>
          <w:marTop w:val="0"/>
          <w:marBottom w:val="0"/>
          <w:divBdr>
            <w:top w:val="none" w:sz="0" w:space="0" w:color="auto"/>
            <w:left w:val="none" w:sz="0" w:space="0" w:color="auto"/>
            <w:bottom w:val="none" w:sz="0" w:space="0" w:color="auto"/>
            <w:right w:val="none" w:sz="0" w:space="0" w:color="auto"/>
          </w:divBdr>
        </w:div>
        <w:div w:id="2025403485">
          <w:marLeft w:val="994"/>
          <w:marRight w:val="0"/>
          <w:marTop w:val="0"/>
          <w:marBottom w:val="0"/>
          <w:divBdr>
            <w:top w:val="none" w:sz="0" w:space="0" w:color="auto"/>
            <w:left w:val="none" w:sz="0" w:space="0" w:color="auto"/>
            <w:bottom w:val="none" w:sz="0" w:space="0" w:color="auto"/>
            <w:right w:val="none" w:sz="0" w:space="0" w:color="auto"/>
          </w:divBdr>
        </w:div>
        <w:div w:id="2085566967">
          <w:marLeft w:val="994"/>
          <w:marRight w:val="0"/>
          <w:marTop w:val="0"/>
          <w:marBottom w:val="0"/>
          <w:divBdr>
            <w:top w:val="none" w:sz="0" w:space="0" w:color="auto"/>
            <w:left w:val="none" w:sz="0" w:space="0" w:color="auto"/>
            <w:bottom w:val="none" w:sz="0" w:space="0" w:color="auto"/>
            <w:right w:val="none" w:sz="0" w:space="0" w:color="auto"/>
          </w:divBdr>
        </w:div>
      </w:divsChild>
    </w:div>
    <w:div w:id="1674722908">
      <w:bodyDiv w:val="1"/>
      <w:marLeft w:val="0"/>
      <w:marRight w:val="0"/>
      <w:marTop w:val="0"/>
      <w:marBottom w:val="0"/>
      <w:divBdr>
        <w:top w:val="none" w:sz="0" w:space="0" w:color="auto"/>
        <w:left w:val="none" w:sz="0" w:space="0" w:color="auto"/>
        <w:bottom w:val="none" w:sz="0" w:space="0" w:color="auto"/>
        <w:right w:val="none" w:sz="0" w:space="0" w:color="auto"/>
      </w:divBdr>
    </w:div>
    <w:div w:id="1686788907">
      <w:bodyDiv w:val="1"/>
      <w:marLeft w:val="0"/>
      <w:marRight w:val="0"/>
      <w:marTop w:val="0"/>
      <w:marBottom w:val="0"/>
      <w:divBdr>
        <w:top w:val="none" w:sz="0" w:space="0" w:color="auto"/>
        <w:left w:val="none" w:sz="0" w:space="0" w:color="auto"/>
        <w:bottom w:val="none" w:sz="0" w:space="0" w:color="auto"/>
        <w:right w:val="none" w:sz="0" w:space="0" w:color="auto"/>
      </w:divBdr>
      <w:divsChild>
        <w:div w:id="1304198639">
          <w:marLeft w:val="0"/>
          <w:marRight w:val="0"/>
          <w:marTop w:val="0"/>
          <w:marBottom w:val="0"/>
          <w:divBdr>
            <w:top w:val="none" w:sz="0" w:space="0" w:color="auto"/>
            <w:left w:val="none" w:sz="0" w:space="0" w:color="auto"/>
            <w:bottom w:val="none" w:sz="0" w:space="0" w:color="auto"/>
            <w:right w:val="none" w:sz="0" w:space="0" w:color="auto"/>
          </w:divBdr>
          <w:divsChild>
            <w:div w:id="601304169">
              <w:marLeft w:val="0"/>
              <w:marRight w:val="0"/>
              <w:marTop w:val="0"/>
              <w:marBottom w:val="0"/>
              <w:divBdr>
                <w:top w:val="none" w:sz="0" w:space="0" w:color="auto"/>
                <w:left w:val="none" w:sz="0" w:space="0" w:color="auto"/>
                <w:bottom w:val="none" w:sz="0" w:space="0" w:color="auto"/>
                <w:right w:val="none" w:sz="0" w:space="0" w:color="auto"/>
              </w:divBdr>
              <w:divsChild>
                <w:div w:id="21786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892678">
      <w:bodyDiv w:val="1"/>
      <w:marLeft w:val="0"/>
      <w:marRight w:val="0"/>
      <w:marTop w:val="0"/>
      <w:marBottom w:val="0"/>
      <w:divBdr>
        <w:top w:val="none" w:sz="0" w:space="0" w:color="auto"/>
        <w:left w:val="none" w:sz="0" w:space="0" w:color="auto"/>
        <w:bottom w:val="none" w:sz="0" w:space="0" w:color="auto"/>
        <w:right w:val="none" w:sz="0" w:space="0" w:color="auto"/>
      </w:divBdr>
    </w:div>
    <w:div w:id="1720936311">
      <w:bodyDiv w:val="1"/>
      <w:marLeft w:val="0"/>
      <w:marRight w:val="0"/>
      <w:marTop w:val="0"/>
      <w:marBottom w:val="0"/>
      <w:divBdr>
        <w:top w:val="none" w:sz="0" w:space="0" w:color="auto"/>
        <w:left w:val="none" w:sz="0" w:space="0" w:color="auto"/>
        <w:bottom w:val="none" w:sz="0" w:space="0" w:color="auto"/>
        <w:right w:val="none" w:sz="0" w:space="0" w:color="auto"/>
      </w:divBdr>
    </w:div>
    <w:div w:id="1769422235">
      <w:bodyDiv w:val="1"/>
      <w:marLeft w:val="0"/>
      <w:marRight w:val="0"/>
      <w:marTop w:val="0"/>
      <w:marBottom w:val="0"/>
      <w:divBdr>
        <w:top w:val="none" w:sz="0" w:space="0" w:color="auto"/>
        <w:left w:val="none" w:sz="0" w:space="0" w:color="auto"/>
        <w:bottom w:val="none" w:sz="0" w:space="0" w:color="auto"/>
        <w:right w:val="none" w:sz="0" w:space="0" w:color="auto"/>
      </w:divBdr>
    </w:div>
    <w:div w:id="1799450015">
      <w:bodyDiv w:val="1"/>
      <w:marLeft w:val="0"/>
      <w:marRight w:val="0"/>
      <w:marTop w:val="0"/>
      <w:marBottom w:val="0"/>
      <w:divBdr>
        <w:top w:val="none" w:sz="0" w:space="0" w:color="auto"/>
        <w:left w:val="none" w:sz="0" w:space="0" w:color="auto"/>
        <w:bottom w:val="none" w:sz="0" w:space="0" w:color="auto"/>
        <w:right w:val="none" w:sz="0" w:space="0" w:color="auto"/>
      </w:divBdr>
      <w:divsChild>
        <w:div w:id="1514763765">
          <w:marLeft w:val="0"/>
          <w:marRight w:val="0"/>
          <w:marTop w:val="0"/>
          <w:marBottom w:val="0"/>
          <w:divBdr>
            <w:top w:val="none" w:sz="0" w:space="0" w:color="auto"/>
            <w:left w:val="none" w:sz="0" w:space="0" w:color="auto"/>
            <w:bottom w:val="none" w:sz="0" w:space="0" w:color="auto"/>
            <w:right w:val="none" w:sz="0" w:space="0" w:color="auto"/>
          </w:divBdr>
          <w:divsChild>
            <w:div w:id="1820537835">
              <w:marLeft w:val="0"/>
              <w:marRight w:val="0"/>
              <w:marTop w:val="0"/>
              <w:marBottom w:val="0"/>
              <w:divBdr>
                <w:top w:val="none" w:sz="0" w:space="0" w:color="auto"/>
                <w:left w:val="none" w:sz="0" w:space="0" w:color="auto"/>
                <w:bottom w:val="none" w:sz="0" w:space="0" w:color="auto"/>
                <w:right w:val="none" w:sz="0" w:space="0" w:color="auto"/>
              </w:divBdr>
              <w:divsChild>
                <w:div w:id="110835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674960">
      <w:bodyDiv w:val="1"/>
      <w:marLeft w:val="0"/>
      <w:marRight w:val="0"/>
      <w:marTop w:val="0"/>
      <w:marBottom w:val="0"/>
      <w:divBdr>
        <w:top w:val="none" w:sz="0" w:space="0" w:color="auto"/>
        <w:left w:val="none" w:sz="0" w:space="0" w:color="auto"/>
        <w:bottom w:val="none" w:sz="0" w:space="0" w:color="auto"/>
        <w:right w:val="none" w:sz="0" w:space="0" w:color="auto"/>
      </w:divBdr>
    </w:div>
    <w:div w:id="1882129043">
      <w:bodyDiv w:val="1"/>
      <w:marLeft w:val="0"/>
      <w:marRight w:val="0"/>
      <w:marTop w:val="0"/>
      <w:marBottom w:val="0"/>
      <w:divBdr>
        <w:top w:val="none" w:sz="0" w:space="0" w:color="auto"/>
        <w:left w:val="none" w:sz="0" w:space="0" w:color="auto"/>
        <w:bottom w:val="none" w:sz="0" w:space="0" w:color="auto"/>
        <w:right w:val="none" w:sz="0" w:space="0" w:color="auto"/>
      </w:divBdr>
    </w:div>
    <w:div w:id="1891578370">
      <w:bodyDiv w:val="1"/>
      <w:marLeft w:val="0"/>
      <w:marRight w:val="0"/>
      <w:marTop w:val="0"/>
      <w:marBottom w:val="0"/>
      <w:divBdr>
        <w:top w:val="none" w:sz="0" w:space="0" w:color="auto"/>
        <w:left w:val="none" w:sz="0" w:space="0" w:color="auto"/>
        <w:bottom w:val="none" w:sz="0" w:space="0" w:color="auto"/>
        <w:right w:val="none" w:sz="0" w:space="0" w:color="auto"/>
      </w:divBdr>
      <w:divsChild>
        <w:div w:id="123087709">
          <w:marLeft w:val="274"/>
          <w:marRight w:val="0"/>
          <w:marTop w:val="0"/>
          <w:marBottom w:val="0"/>
          <w:divBdr>
            <w:top w:val="none" w:sz="0" w:space="0" w:color="auto"/>
            <w:left w:val="none" w:sz="0" w:space="0" w:color="auto"/>
            <w:bottom w:val="none" w:sz="0" w:space="0" w:color="auto"/>
            <w:right w:val="none" w:sz="0" w:space="0" w:color="auto"/>
          </w:divBdr>
        </w:div>
        <w:div w:id="211232468">
          <w:marLeft w:val="274"/>
          <w:marRight w:val="0"/>
          <w:marTop w:val="0"/>
          <w:marBottom w:val="0"/>
          <w:divBdr>
            <w:top w:val="none" w:sz="0" w:space="0" w:color="auto"/>
            <w:left w:val="none" w:sz="0" w:space="0" w:color="auto"/>
            <w:bottom w:val="none" w:sz="0" w:space="0" w:color="auto"/>
            <w:right w:val="none" w:sz="0" w:space="0" w:color="auto"/>
          </w:divBdr>
        </w:div>
        <w:div w:id="494610103">
          <w:marLeft w:val="274"/>
          <w:marRight w:val="0"/>
          <w:marTop w:val="0"/>
          <w:marBottom w:val="0"/>
          <w:divBdr>
            <w:top w:val="none" w:sz="0" w:space="0" w:color="auto"/>
            <w:left w:val="none" w:sz="0" w:space="0" w:color="auto"/>
            <w:bottom w:val="none" w:sz="0" w:space="0" w:color="auto"/>
            <w:right w:val="none" w:sz="0" w:space="0" w:color="auto"/>
          </w:divBdr>
        </w:div>
        <w:div w:id="718894763">
          <w:marLeft w:val="274"/>
          <w:marRight w:val="0"/>
          <w:marTop w:val="0"/>
          <w:marBottom w:val="0"/>
          <w:divBdr>
            <w:top w:val="none" w:sz="0" w:space="0" w:color="auto"/>
            <w:left w:val="none" w:sz="0" w:space="0" w:color="auto"/>
            <w:bottom w:val="none" w:sz="0" w:space="0" w:color="auto"/>
            <w:right w:val="none" w:sz="0" w:space="0" w:color="auto"/>
          </w:divBdr>
        </w:div>
        <w:div w:id="725102165">
          <w:marLeft w:val="274"/>
          <w:marRight w:val="0"/>
          <w:marTop w:val="0"/>
          <w:marBottom w:val="0"/>
          <w:divBdr>
            <w:top w:val="none" w:sz="0" w:space="0" w:color="auto"/>
            <w:left w:val="none" w:sz="0" w:space="0" w:color="auto"/>
            <w:bottom w:val="none" w:sz="0" w:space="0" w:color="auto"/>
            <w:right w:val="none" w:sz="0" w:space="0" w:color="auto"/>
          </w:divBdr>
        </w:div>
        <w:div w:id="1005479292">
          <w:marLeft w:val="274"/>
          <w:marRight w:val="0"/>
          <w:marTop w:val="0"/>
          <w:marBottom w:val="0"/>
          <w:divBdr>
            <w:top w:val="none" w:sz="0" w:space="0" w:color="auto"/>
            <w:left w:val="none" w:sz="0" w:space="0" w:color="auto"/>
            <w:bottom w:val="none" w:sz="0" w:space="0" w:color="auto"/>
            <w:right w:val="none" w:sz="0" w:space="0" w:color="auto"/>
          </w:divBdr>
        </w:div>
        <w:div w:id="1331370562">
          <w:marLeft w:val="274"/>
          <w:marRight w:val="0"/>
          <w:marTop w:val="0"/>
          <w:marBottom w:val="0"/>
          <w:divBdr>
            <w:top w:val="none" w:sz="0" w:space="0" w:color="auto"/>
            <w:left w:val="none" w:sz="0" w:space="0" w:color="auto"/>
            <w:bottom w:val="none" w:sz="0" w:space="0" w:color="auto"/>
            <w:right w:val="none" w:sz="0" w:space="0" w:color="auto"/>
          </w:divBdr>
        </w:div>
        <w:div w:id="1632515354">
          <w:marLeft w:val="274"/>
          <w:marRight w:val="0"/>
          <w:marTop w:val="0"/>
          <w:marBottom w:val="0"/>
          <w:divBdr>
            <w:top w:val="none" w:sz="0" w:space="0" w:color="auto"/>
            <w:left w:val="none" w:sz="0" w:space="0" w:color="auto"/>
            <w:bottom w:val="none" w:sz="0" w:space="0" w:color="auto"/>
            <w:right w:val="none" w:sz="0" w:space="0" w:color="auto"/>
          </w:divBdr>
        </w:div>
        <w:div w:id="1836801370">
          <w:marLeft w:val="274"/>
          <w:marRight w:val="0"/>
          <w:marTop w:val="0"/>
          <w:marBottom w:val="0"/>
          <w:divBdr>
            <w:top w:val="none" w:sz="0" w:space="0" w:color="auto"/>
            <w:left w:val="none" w:sz="0" w:space="0" w:color="auto"/>
            <w:bottom w:val="none" w:sz="0" w:space="0" w:color="auto"/>
            <w:right w:val="none" w:sz="0" w:space="0" w:color="auto"/>
          </w:divBdr>
        </w:div>
      </w:divsChild>
    </w:div>
    <w:div w:id="1938320936">
      <w:bodyDiv w:val="1"/>
      <w:marLeft w:val="0"/>
      <w:marRight w:val="0"/>
      <w:marTop w:val="0"/>
      <w:marBottom w:val="0"/>
      <w:divBdr>
        <w:top w:val="none" w:sz="0" w:space="0" w:color="auto"/>
        <w:left w:val="none" w:sz="0" w:space="0" w:color="auto"/>
        <w:bottom w:val="none" w:sz="0" w:space="0" w:color="auto"/>
        <w:right w:val="none" w:sz="0" w:space="0" w:color="auto"/>
      </w:divBdr>
    </w:div>
    <w:div w:id="1944217515">
      <w:bodyDiv w:val="1"/>
      <w:marLeft w:val="0"/>
      <w:marRight w:val="0"/>
      <w:marTop w:val="0"/>
      <w:marBottom w:val="0"/>
      <w:divBdr>
        <w:top w:val="none" w:sz="0" w:space="0" w:color="auto"/>
        <w:left w:val="none" w:sz="0" w:space="0" w:color="auto"/>
        <w:bottom w:val="none" w:sz="0" w:space="0" w:color="auto"/>
        <w:right w:val="none" w:sz="0" w:space="0" w:color="auto"/>
      </w:divBdr>
    </w:div>
    <w:div w:id="1957518231">
      <w:bodyDiv w:val="1"/>
      <w:marLeft w:val="0"/>
      <w:marRight w:val="0"/>
      <w:marTop w:val="0"/>
      <w:marBottom w:val="0"/>
      <w:divBdr>
        <w:top w:val="none" w:sz="0" w:space="0" w:color="auto"/>
        <w:left w:val="none" w:sz="0" w:space="0" w:color="auto"/>
        <w:bottom w:val="none" w:sz="0" w:space="0" w:color="auto"/>
        <w:right w:val="none" w:sz="0" w:space="0" w:color="auto"/>
      </w:divBdr>
    </w:div>
    <w:div w:id="1962493367">
      <w:bodyDiv w:val="1"/>
      <w:marLeft w:val="0"/>
      <w:marRight w:val="0"/>
      <w:marTop w:val="0"/>
      <w:marBottom w:val="0"/>
      <w:divBdr>
        <w:top w:val="none" w:sz="0" w:space="0" w:color="auto"/>
        <w:left w:val="none" w:sz="0" w:space="0" w:color="auto"/>
        <w:bottom w:val="none" w:sz="0" w:space="0" w:color="auto"/>
        <w:right w:val="none" w:sz="0" w:space="0" w:color="auto"/>
      </w:divBdr>
      <w:divsChild>
        <w:div w:id="656081730">
          <w:marLeft w:val="0"/>
          <w:marRight w:val="0"/>
          <w:marTop w:val="0"/>
          <w:marBottom w:val="0"/>
          <w:divBdr>
            <w:top w:val="none" w:sz="0" w:space="0" w:color="auto"/>
            <w:left w:val="none" w:sz="0" w:space="0" w:color="auto"/>
            <w:bottom w:val="none" w:sz="0" w:space="0" w:color="auto"/>
            <w:right w:val="none" w:sz="0" w:space="0" w:color="auto"/>
          </w:divBdr>
          <w:divsChild>
            <w:div w:id="923152081">
              <w:marLeft w:val="0"/>
              <w:marRight w:val="0"/>
              <w:marTop w:val="0"/>
              <w:marBottom w:val="0"/>
              <w:divBdr>
                <w:top w:val="none" w:sz="0" w:space="0" w:color="auto"/>
                <w:left w:val="none" w:sz="0" w:space="0" w:color="auto"/>
                <w:bottom w:val="none" w:sz="0" w:space="0" w:color="auto"/>
                <w:right w:val="none" w:sz="0" w:space="0" w:color="auto"/>
              </w:divBdr>
              <w:divsChild>
                <w:div w:id="98817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813048">
      <w:bodyDiv w:val="1"/>
      <w:marLeft w:val="0"/>
      <w:marRight w:val="0"/>
      <w:marTop w:val="0"/>
      <w:marBottom w:val="0"/>
      <w:divBdr>
        <w:top w:val="none" w:sz="0" w:space="0" w:color="auto"/>
        <w:left w:val="none" w:sz="0" w:space="0" w:color="auto"/>
        <w:bottom w:val="none" w:sz="0" w:space="0" w:color="auto"/>
        <w:right w:val="none" w:sz="0" w:space="0" w:color="auto"/>
      </w:divBdr>
      <w:divsChild>
        <w:div w:id="1380478189">
          <w:marLeft w:val="0"/>
          <w:marRight w:val="0"/>
          <w:marTop w:val="0"/>
          <w:marBottom w:val="0"/>
          <w:divBdr>
            <w:top w:val="none" w:sz="0" w:space="0" w:color="auto"/>
            <w:left w:val="none" w:sz="0" w:space="0" w:color="auto"/>
            <w:bottom w:val="none" w:sz="0" w:space="0" w:color="auto"/>
            <w:right w:val="none" w:sz="0" w:space="0" w:color="auto"/>
          </w:divBdr>
          <w:divsChild>
            <w:div w:id="934632813">
              <w:marLeft w:val="0"/>
              <w:marRight w:val="0"/>
              <w:marTop w:val="0"/>
              <w:marBottom w:val="0"/>
              <w:divBdr>
                <w:top w:val="none" w:sz="0" w:space="0" w:color="auto"/>
                <w:left w:val="none" w:sz="0" w:space="0" w:color="auto"/>
                <w:bottom w:val="none" w:sz="0" w:space="0" w:color="auto"/>
                <w:right w:val="none" w:sz="0" w:space="0" w:color="auto"/>
              </w:divBdr>
              <w:divsChild>
                <w:div w:id="134454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218437">
      <w:bodyDiv w:val="1"/>
      <w:marLeft w:val="0"/>
      <w:marRight w:val="0"/>
      <w:marTop w:val="0"/>
      <w:marBottom w:val="0"/>
      <w:divBdr>
        <w:top w:val="none" w:sz="0" w:space="0" w:color="auto"/>
        <w:left w:val="none" w:sz="0" w:space="0" w:color="auto"/>
        <w:bottom w:val="none" w:sz="0" w:space="0" w:color="auto"/>
        <w:right w:val="none" w:sz="0" w:space="0" w:color="auto"/>
      </w:divBdr>
    </w:div>
    <w:div w:id="1999190256">
      <w:bodyDiv w:val="1"/>
      <w:marLeft w:val="0"/>
      <w:marRight w:val="0"/>
      <w:marTop w:val="0"/>
      <w:marBottom w:val="0"/>
      <w:divBdr>
        <w:top w:val="none" w:sz="0" w:space="0" w:color="auto"/>
        <w:left w:val="none" w:sz="0" w:space="0" w:color="auto"/>
        <w:bottom w:val="none" w:sz="0" w:space="0" w:color="auto"/>
        <w:right w:val="none" w:sz="0" w:space="0" w:color="auto"/>
      </w:divBdr>
    </w:div>
    <w:div w:id="2009625302">
      <w:bodyDiv w:val="1"/>
      <w:marLeft w:val="0"/>
      <w:marRight w:val="0"/>
      <w:marTop w:val="0"/>
      <w:marBottom w:val="0"/>
      <w:divBdr>
        <w:top w:val="none" w:sz="0" w:space="0" w:color="auto"/>
        <w:left w:val="none" w:sz="0" w:space="0" w:color="auto"/>
        <w:bottom w:val="none" w:sz="0" w:space="0" w:color="auto"/>
        <w:right w:val="none" w:sz="0" w:space="0" w:color="auto"/>
      </w:divBdr>
    </w:div>
    <w:div w:id="2013993186">
      <w:bodyDiv w:val="1"/>
      <w:marLeft w:val="0"/>
      <w:marRight w:val="0"/>
      <w:marTop w:val="0"/>
      <w:marBottom w:val="0"/>
      <w:divBdr>
        <w:top w:val="none" w:sz="0" w:space="0" w:color="auto"/>
        <w:left w:val="none" w:sz="0" w:space="0" w:color="auto"/>
        <w:bottom w:val="none" w:sz="0" w:space="0" w:color="auto"/>
        <w:right w:val="none" w:sz="0" w:space="0" w:color="auto"/>
      </w:divBdr>
      <w:divsChild>
        <w:div w:id="1567301904">
          <w:marLeft w:val="0"/>
          <w:marRight w:val="0"/>
          <w:marTop w:val="0"/>
          <w:marBottom w:val="0"/>
          <w:divBdr>
            <w:top w:val="none" w:sz="0" w:space="0" w:color="auto"/>
            <w:left w:val="none" w:sz="0" w:space="0" w:color="auto"/>
            <w:bottom w:val="none" w:sz="0" w:space="0" w:color="auto"/>
            <w:right w:val="none" w:sz="0" w:space="0" w:color="auto"/>
          </w:divBdr>
          <w:divsChild>
            <w:div w:id="1996252323">
              <w:marLeft w:val="0"/>
              <w:marRight w:val="0"/>
              <w:marTop w:val="0"/>
              <w:marBottom w:val="0"/>
              <w:divBdr>
                <w:top w:val="none" w:sz="0" w:space="0" w:color="auto"/>
                <w:left w:val="none" w:sz="0" w:space="0" w:color="auto"/>
                <w:bottom w:val="none" w:sz="0" w:space="0" w:color="auto"/>
                <w:right w:val="none" w:sz="0" w:space="0" w:color="auto"/>
              </w:divBdr>
              <w:divsChild>
                <w:div w:id="19735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55397">
      <w:bodyDiv w:val="1"/>
      <w:marLeft w:val="0"/>
      <w:marRight w:val="0"/>
      <w:marTop w:val="0"/>
      <w:marBottom w:val="0"/>
      <w:divBdr>
        <w:top w:val="none" w:sz="0" w:space="0" w:color="auto"/>
        <w:left w:val="none" w:sz="0" w:space="0" w:color="auto"/>
        <w:bottom w:val="none" w:sz="0" w:space="0" w:color="auto"/>
        <w:right w:val="none" w:sz="0" w:space="0" w:color="auto"/>
      </w:divBdr>
      <w:divsChild>
        <w:div w:id="679358587">
          <w:marLeft w:val="0"/>
          <w:marRight w:val="0"/>
          <w:marTop w:val="0"/>
          <w:marBottom w:val="0"/>
          <w:divBdr>
            <w:top w:val="none" w:sz="0" w:space="0" w:color="auto"/>
            <w:left w:val="none" w:sz="0" w:space="0" w:color="auto"/>
            <w:bottom w:val="none" w:sz="0" w:space="0" w:color="auto"/>
            <w:right w:val="none" w:sz="0" w:space="0" w:color="auto"/>
          </w:divBdr>
          <w:divsChild>
            <w:div w:id="250744020">
              <w:marLeft w:val="0"/>
              <w:marRight w:val="0"/>
              <w:marTop w:val="0"/>
              <w:marBottom w:val="0"/>
              <w:divBdr>
                <w:top w:val="none" w:sz="0" w:space="0" w:color="auto"/>
                <w:left w:val="none" w:sz="0" w:space="0" w:color="auto"/>
                <w:bottom w:val="none" w:sz="0" w:space="0" w:color="auto"/>
                <w:right w:val="none" w:sz="0" w:space="0" w:color="auto"/>
              </w:divBdr>
              <w:divsChild>
                <w:div w:id="90756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373583">
      <w:bodyDiv w:val="1"/>
      <w:marLeft w:val="0"/>
      <w:marRight w:val="0"/>
      <w:marTop w:val="0"/>
      <w:marBottom w:val="0"/>
      <w:divBdr>
        <w:top w:val="none" w:sz="0" w:space="0" w:color="auto"/>
        <w:left w:val="none" w:sz="0" w:space="0" w:color="auto"/>
        <w:bottom w:val="none" w:sz="0" w:space="0" w:color="auto"/>
        <w:right w:val="none" w:sz="0" w:space="0" w:color="auto"/>
      </w:divBdr>
    </w:div>
    <w:div w:id="2097745815">
      <w:bodyDiv w:val="1"/>
      <w:marLeft w:val="0"/>
      <w:marRight w:val="0"/>
      <w:marTop w:val="0"/>
      <w:marBottom w:val="0"/>
      <w:divBdr>
        <w:top w:val="none" w:sz="0" w:space="0" w:color="auto"/>
        <w:left w:val="none" w:sz="0" w:space="0" w:color="auto"/>
        <w:bottom w:val="none" w:sz="0" w:space="0" w:color="auto"/>
        <w:right w:val="none" w:sz="0" w:space="0" w:color="auto"/>
      </w:divBdr>
      <w:divsChild>
        <w:div w:id="389157806">
          <w:marLeft w:val="0"/>
          <w:marRight w:val="0"/>
          <w:marTop w:val="0"/>
          <w:marBottom w:val="0"/>
          <w:divBdr>
            <w:top w:val="none" w:sz="0" w:space="0" w:color="auto"/>
            <w:left w:val="none" w:sz="0" w:space="0" w:color="auto"/>
            <w:bottom w:val="none" w:sz="0" w:space="0" w:color="auto"/>
            <w:right w:val="none" w:sz="0" w:space="0" w:color="auto"/>
          </w:divBdr>
          <w:divsChild>
            <w:div w:id="1699818483">
              <w:marLeft w:val="0"/>
              <w:marRight w:val="0"/>
              <w:marTop w:val="0"/>
              <w:marBottom w:val="0"/>
              <w:divBdr>
                <w:top w:val="none" w:sz="0" w:space="0" w:color="auto"/>
                <w:left w:val="none" w:sz="0" w:space="0" w:color="auto"/>
                <w:bottom w:val="none" w:sz="0" w:space="0" w:color="auto"/>
                <w:right w:val="none" w:sz="0" w:space="0" w:color="auto"/>
              </w:divBdr>
              <w:divsChild>
                <w:div w:id="109952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075128">
      <w:bodyDiv w:val="1"/>
      <w:marLeft w:val="0"/>
      <w:marRight w:val="0"/>
      <w:marTop w:val="0"/>
      <w:marBottom w:val="0"/>
      <w:divBdr>
        <w:top w:val="none" w:sz="0" w:space="0" w:color="auto"/>
        <w:left w:val="none" w:sz="0" w:space="0" w:color="auto"/>
        <w:bottom w:val="none" w:sz="0" w:space="0" w:color="auto"/>
        <w:right w:val="none" w:sz="0" w:space="0" w:color="auto"/>
      </w:divBdr>
      <w:divsChild>
        <w:div w:id="574437890">
          <w:marLeft w:val="0"/>
          <w:marRight w:val="0"/>
          <w:marTop w:val="0"/>
          <w:marBottom w:val="0"/>
          <w:divBdr>
            <w:top w:val="none" w:sz="0" w:space="0" w:color="auto"/>
            <w:left w:val="none" w:sz="0" w:space="0" w:color="auto"/>
            <w:bottom w:val="none" w:sz="0" w:space="0" w:color="auto"/>
            <w:right w:val="none" w:sz="0" w:space="0" w:color="auto"/>
          </w:divBdr>
          <w:divsChild>
            <w:div w:id="992830715">
              <w:marLeft w:val="0"/>
              <w:marRight w:val="0"/>
              <w:marTop w:val="0"/>
              <w:marBottom w:val="0"/>
              <w:divBdr>
                <w:top w:val="none" w:sz="0" w:space="0" w:color="auto"/>
                <w:left w:val="none" w:sz="0" w:space="0" w:color="auto"/>
                <w:bottom w:val="none" w:sz="0" w:space="0" w:color="auto"/>
                <w:right w:val="none" w:sz="0" w:space="0" w:color="auto"/>
              </w:divBdr>
              <w:divsChild>
                <w:div w:id="11566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996766">
      <w:bodyDiv w:val="1"/>
      <w:marLeft w:val="0"/>
      <w:marRight w:val="0"/>
      <w:marTop w:val="0"/>
      <w:marBottom w:val="0"/>
      <w:divBdr>
        <w:top w:val="none" w:sz="0" w:space="0" w:color="auto"/>
        <w:left w:val="none" w:sz="0" w:space="0" w:color="auto"/>
        <w:bottom w:val="none" w:sz="0" w:space="0" w:color="auto"/>
        <w:right w:val="none" w:sz="0" w:space="0" w:color="auto"/>
      </w:divBdr>
      <w:divsChild>
        <w:div w:id="1918124997">
          <w:marLeft w:val="0"/>
          <w:marRight w:val="0"/>
          <w:marTop w:val="0"/>
          <w:marBottom w:val="0"/>
          <w:divBdr>
            <w:top w:val="none" w:sz="0" w:space="0" w:color="auto"/>
            <w:left w:val="none" w:sz="0" w:space="0" w:color="auto"/>
            <w:bottom w:val="none" w:sz="0" w:space="0" w:color="auto"/>
            <w:right w:val="none" w:sz="0" w:space="0" w:color="auto"/>
          </w:divBdr>
          <w:divsChild>
            <w:div w:id="1227767685">
              <w:marLeft w:val="0"/>
              <w:marRight w:val="0"/>
              <w:marTop w:val="0"/>
              <w:marBottom w:val="0"/>
              <w:divBdr>
                <w:top w:val="none" w:sz="0" w:space="0" w:color="auto"/>
                <w:left w:val="none" w:sz="0" w:space="0" w:color="auto"/>
                <w:bottom w:val="none" w:sz="0" w:space="0" w:color="auto"/>
                <w:right w:val="none" w:sz="0" w:space="0" w:color="auto"/>
              </w:divBdr>
              <w:divsChild>
                <w:div w:id="185364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190936">
      <w:bodyDiv w:val="1"/>
      <w:marLeft w:val="0"/>
      <w:marRight w:val="0"/>
      <w:marTop w:val="0"/>
      <w:marBottom w:val="0"/>
      <w:divBdr>
        <w:top w:val="none" w:sz="0" w:space="0" w:color="auto"/>
        <w:left w:val="none" w:sz="0" w:space="0" w:color="auto"/>
        <w:bottom w:val="none" w:sz="0" w:space="0" w:color="auto"/>
        <w:right w:val="none" w:sz="0" w:space="0" w:color="auto"/>
      </w:divBdr>
      <w:divsChild>
        <w:div w:id="1921518059">
          <w:marLeft w:val="0"/>
          <w:marRight w:val="0"/>
          <w:marTop w:val="0"/>
          <w:marBottom w:val="0"/>
          <w:divBdr>
            <w:top w:val="none" w:sz="0" w:space="0" w:color="auto"/>
            <w:left w:val="none" w:sz="0" w:space="0" w:color="auto"/>
            <w:bottom w:val="none" w:sz="0" w:space="0" w:color="auto"/>
            <w:right w:val="none" w:sz="0" w:space="0" w:color="auto"/>
          </w:divBdr>
          <w:divsChild>
            <w:div w:id="400366623">
              <w:marLeft w:val="0"/>
              <w:marRight w:val="0"/>
              <w:marTop w:val="0"/>
              <w:marBottom w:val="0"/>
              <w:divBdr>
                <w:top w:val="none" w:sz="0" w:space="0" w:color="auto"/>
                <w:left w:val="none" w:sz="0" w:space="0" w:color="auto"/>
                <w:bottom w:val="none" w:sz="0" w:space="0" w:color="auto"/>
                <w:right w:val="none" w:sz="0" w:space="0" w:color="auto"/>
              </w:divBdr>
              <w:divsChild>
                <w:div w:id="214319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225624">
      <w:bodyDiv w:val="1"/>
      <w:marLeft w:val="0"/>
      <w:marRight w:val="0"/>
      <w:marTop w:val="0"/>
      <w:marBottom w:val="0"/>
      <w:divBdr>
        <w:top w:val="none" w:sz="0" w:space="0" w:color="auto"/>
        <w:left w:val="none" w:sz="0" w:space="0" w:color="auto"/>
        <w:bottom w:val="none" w:sz="0" w:space="0" w:color="auto"/>
        <w:right w:val="none" w:sz="0" w:space="0" w:color="auto"/>
      </w:divBdr>
      <w:divsChild>
        <w:div w:id="165554392">
          <w:marLeft w:val="0"/>
          <w:marRight w:val="0"/>
          <w:marTop w:val="0"/>
          <w:marBottom w:val="0"/>
          <w:divBdr>
            <w:top w:val="none" w:sz="0" w:space="0" w:color="auto"/>
            <w:left w:val="none" w:sz="0" w:space="0" w:color="auto"/>
            <w:bottom w:val="none" w:sz="0" w:space="0" w:color="auto"/>
            <w:right w:val="none" w:sz="0" w:space="0" w:color="auto"/>
          </w:divBdr>
          <w:divsChild>
            <w:div w:id="466122404">
              <w:marLeft w:val="0"/>
              <w:marRight w:val="0"/>
              <w:marTop w:val="0"/>
              <w:marBottom w:val="0"/>
              <w:divBdr>
                <w:top w:val="none" w:sz="0" w:space="0" w:color="auto"/>
                <w:left w:val="none" w:sz="0" w:space="0" w:color="auto"/>
                <w:bottom w:val="none" w:sz="0" w:space="0" w:color="auto"/>
                <w:right w:val="none" w:sz="0" w:space="0" w:color="auto"/>
              </w:divBdr>
              <w:divsChild>
                <w:div w:id="179964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inarbitr.cz/cs/oblasti/investice.html" TargetMode="External"/><Relationship Id="rId18" Type="http://schemas.openxmlformats.org/officeDocument/2006/relationships/hyperlink" Target="http://www.finarbitr.cz/cs/financni-arbitr/zakladni-informace.html" TargetMode="External"/><Relationship Id="rId26"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hyperlink" Target="http://www.finarbitr.cz/cs/reseni-sporu/formulare.htm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finarbitr.cz/cs/oblasti/uver.html" TargetMode="External"/><Relationship Id="rId17" Type="http://schemas.openxmlformats.org/officeDocument/2006/relationships/hyperlink" Target="http://www.finarbitr.cz/cs/oblasti/smenarenska-cinnost.html" TargetMode="External"/><Relationship Id="rId25" Type="http://schemas.openxmlformats.org/officeDocument/2006/relationships/chart" Target="charts/chart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arbitr.cz/cs/oblasti/stavebni-sporeni.html" TargetMode="External"/><Relationship Id="rId20" Type="http://schemas.openxmlformats.org/officeDocument/2006/relationships/hyperlink" Target="http://www.finarbitr.cz/cs/financni-arbitr/zakladni-informace.html" TargetMode="External"/><Relationship Id="rId29" Type="http://schemas.openxmlformats.org/officeDocument/2006/relationships/hyperlink" Target="http://www.finarbitr.cz/cs/reseni-sporu/sbirka-rozhodnuti.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narbitr.cz/cs/oblasti/platebni-sluzby.html" TargetMode="External"/><Relationship Id="rId24" Type="http://schemas.openxmlformats.org/officeDocument/2006/relationships/chart" Target="charts/chart1.xm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finarbitr.cz/cs/oblasti/zivotni-pojisteni.html" TargetMode="External"/><Relationship Id="rId23" Type="http://schemas.openxmlformats.org/officeDocument/2006/relationships/hyperlink" Target="http://www.finarbitr.cz/cs/reseni-sporu/pruvodce-podanim-navrhu.html" TargetMode="External"/><Relationship Id="rId28" Type="http://schemas.openxmlformats.org/officeDocument/2006/relationships/hyperlink" Target="http://www.finarbitr.cz/cs/informace-pro-verejnost/vyrocni-zpravy.html" TargetMode="External"/><Relationship Id="rId10" Type="http://schemas.openxmlformats.org/officeDocument/2006/relationships/hyperlink" Target="http://www.finarbitr.cz/cs/oblasti/platebni-sluzby.html" TargetMode="External"/><Relationship Id="rId19" Type="http://schemas.openxmlformats.org/officeDocument/2006/relationships/hyperlink" Target="http://www.finarbitr.cz/cs/financni-arbitr/zakladni-informace.html"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inarbitr.cz/cs/oblasti/investice.html" TargetMode="External"/><Relationship Id="rId22" Type="http://schemas.openxmlformats.org/officeDocument/2006/relationships/hyperlink" Target="http://www.finarbitr.cz/cs/reseni-sporu/pruvodce-podanim-navrhu.html" TargetMode="External"/><Relationship Id="rId27" Type="http://schemas.openxmlformats.org/officeDocument/2006/relationships/chart" Target="charts/chart4.xml"/><Relationship Id="rId30" Type="http://schemas.openxmlformats.org/officeDocument/2006/relationships/hyperlink" Target="https://ec.europa.eu/consumers/odr/main/index.cfm?event=main.home.show&amp;lng=C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RAD\NS1\ODBORY\KFA\05_provozn&#237;_kancel&#225;&#345;\01_informace%20o%20&#250;&#345;adu\01_v&#253;ro&#269;n&#237;%20zpr&#225;va_zpr&#225;va%20o%20&#269;innosti\v&#253;ro&#269;n&#237;%20zpr&#225;va%202017%20-%20podklady\podklady\&#269;&#237;sla%20b&#345;ezen\S&#344;%20-%20zah&#225;jen&#225;%20&#345;&#237;zen&#237;%20v%20letech.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97249\Desktop\KFA_Grafy_Statistiky_201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97249\Desktop\KFA_Grafy_Statistiky_20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97249\Desktop\KFA_Grafy_Statistiky_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5973376319216513E-2"/>
          <c:y val="2.8252405949256341E-2"/>
          <c:w val="0.88571008779173643"/>
          <c:h val="0.75466896080908674"/>
        </c:manualLayout>
      </c:layout>
      <c:barChart>
        <c:barDir val="col"/>
        <c:grouping val="stacked"/>
        <c:varyColors val="0"/>
        <c:ser>
          <c:idx val="0"/>
          <c:order val="0"/>
          <c:invertIfNegative val="0"/>
          <c:cat>
            <c:numRef>
              <c:f>'SŘ - zahájená řízení v letech'!$G$6:$G$22</c:f>
              <c:numCache>
                <c:formatCode>General</c:formatCode>
                <c:ptCount val="17"/>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numCache>
            </c:numRef>
          </c:cat>
          <c:val>
            <c:numRef>
              <c:f>'SŘ - zahájená řízení v letech'!$H$6:$H$22</c:f>
              <c:numCache>
                <c:formatCode>General</c:formatCode>
                <c:ptCount val="17"/>
                <c:pt idx="0">
                  <c:v>66</c:v>
                </c:pt>
                <c:pt idx="1">
                  <c:v>130</c:v>
                </c:pt>
                <c:pt idx="2">
                  <c:v>160</c:v>
                </c:pt>
                <c:pt idx="3">
                  <c:v>77</c:v>
                </c:pt>
                <c:pt idx="4">
                  <c:v>95</c:v>
                </c:pt>
                <c:pt idx="5">
                  <c:v>99</c:v>
                </c:pt>
                <c:pt idx="6">
                  <c:v>118</c:v>
                </c:pt>
                <c:pt idx="7">
                  <c:v>135</c:v>
                </c:pt>
                <c:pt idx="8">
                  <c:v>167</c:v>
                </c:pt>
                <c:pt idx="9">
                  <c:v>204</c:v>
                </c:pt>
                <c:pt idx="10">
                  <c:v>706</c:v>
                </c:pt>
                <c:pt idx="11">
                  <c:v>629</c:v>
                </c:pt>
                <c:pt idx="12">
                  <c:v>962</c:v>
                </c:pt>
                <c:pt idx="13">
                  <c:v>1951</c:v>
                </c:pt>
                <c:pt idx="14">
                  <c:v>1337</c:v>
                </c:pt>
                <c:pt idx="15">
                  <c:v>1399</c:v>
                </c:pt>
                <c:pt idx="16">
                  <c:v>145</c:v>
                </c:pt>
              </c:numCache>
            </c:numRef>
          </c:val>
        </c:ser>
        <c:dLbls>
          <c:showLegendKey val="0"/>
          <c:showVal val="0"/>
          <c:showCatName val="0"/>
          <c:showSerName val="0"/>
          <c:showPercent val="0"/>
          <c:showBubbleSize val="0"/>
        </c:dLbls>
        <c:gapWidth val="150"/>
        <c:overlap val="100"/>
        <c:axId val="112141824"/>
        <c:axId val="112143360"/>
      </c:barChart>
      <c:catAx>
        <c:axId val="112141824"/>
        <c:scaling>
          <c:orientation val="minMax"/>
        </c:scaling>
        <c:delete val="0"/>
        <c:axPos val="b"/>
        <c:numFmt formatCode="General" sourceLinked="1"/>
        <c:majorTickMark val="out"/>
        <c:minorTickMark val="none"/>
        <c:tickLblPos val="nextTo"/>
        <c:txPr>
          <a:bodyPr rot="-2400000"/>
          <a:lstStyle/>
          <a:p>
            <a:pPr>
              <a:defRPr/>
            </a:pPr>
            <a:endParaRPr lang="cs-CZ"/>
          </a:p>
        </c:txPr>
        <c:crossAx val="112143360"/>
        <c:crosses val="autoZero"/>
        <c:auto val="1"/>
        <c:lblAlgn val="ctr"/>
        <c:lblOffset val="100"/>
        <c:noMultiLvlLbl val="0"/>
      </c:catAx>
      <c:valAx>
        <c:axId val="112143360"/>
        <c:scaling>
          <c:orientation val="minMax"/>
        </c:scaling>
        <c:delete val="0"/>
        <c:axPos val="l"/>
        <c:majorGridlines/>
        <c:numFmt formatCode="General" sourceLinked="1"/>
        <c:majorTickMark val="out"/>
        <c:minorTickMark val="none"/>
        <c:tickLblPos val="nextTo"/>
        <c:crossAx val="11214182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dLbls>
            <c:txPr>
              <a:bodyPr/>
              <a:lstStyle/>
              <a:p>
                <a:pPr>
                  <a:defRPr sz="1000" b="1"/>
                </a:pPr>
                <a:endParaRPr lang="cs-CZ"/>
              </a:p>
            </c:txPr>
            <c:showLegendKey val="0"/>
            <c:showVal val="1"/>
            <c:showCatName val="0"/>
            <c:showSerName val="0"/>
            <c:showPercent val="1"/>
            <c:showBubbleSize val="0"/>
            <c:showLeaderLines val="1"/>
          </c:dLbls>
          <c:cat>
            <c:strRef>
              <c:f>'Zahájená 2018'!$A$4:$A$11</c:f>
              <c:strCache>
                <c:ptCount val="8"/>
                <c:pt idx="0">
                  <c:v>Životní pojištění</c:v>
                </c:pt>
                <c:pt idx="1">
                  <c:v>Stavební spoření</c:v>
                </c:pt>
                <c:pt idx="2">
                  <c:v>Spotřebitelský úvěr</c:v>
                </c:pt>
                <c:pt idx="3">
                  <c:v>Platební služby</c:v>
                </c:pt>
                <c:pt idx="4">
                  <c:v>Kolektivní investování</c:v>
                </c:pt>
                <c:pt idx="5">
                  <c:v>Retailové investice</c:v>
                </c:pt>
                <c:pt idx="6">
                  <c:v>Směnárny</c:v>
                </c:pt>
                <c:pt idx="7">
                  <c:v>Ostatní (mimo působnost)</c:v>
                </c:pt>
              </c:strCache>
            </c:strRef>
          </c:cat>
          <c:val>
            <c:numRef>
              <c:f>'Zahájená 2018'!$D$4:$D$11</c:f>
              <c:numCache>
                <c:formatCode>General</c:formatCode>
                <c:ptCount val="8"/>
                <c:pt idx="0">
                  <c:v>626</c:v>
                </c:pt>
                <c:pt idx="1">
                  <c:v>56</c:v>
                </c:pt>
                <c:pt idx="2">
                  <c:v>514</c:v>
                </c:pt>
                <c:pt idx="3">
                  <c:v>130</c:v>
                </c:pt>
                <c:pt idx="4">
                  <c:v>3</c:v>
                </c:pt>
                <c:pt idx="5">
                  <c:v>36</c:v>
                </c:pt>
                <c:pt idx="6">
                  <c:v>25</c:v>
                </c:pt>
                <c:pt idx="7">
                  <c:v>9</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4891822306701308"/>
          <c:y val="6.7862052957665994E-2"/>
          <c:w val="0.33001901101256109"/>
          <c:h val="0.89344105473022817"/>
        </c:manualLayout>
      </c:layout>
      <c:overlay val="0"/>
      <c:txPr>
        <a:bodyPr/>
        <a:lstStyle/>
        <a:p>
          <a:pPr>
            <a:defRPr sz="800" b="1" baseline="0"/>
          </a:pPr>
          <a:endParaRPr lang="cs-CZ"/>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dLbls>
            <c:txPr>
              <a:bodyPr/>
              <a:lstStyle/>
              <a:p>
                <a:pPr>
                  <a:defRPr b="1"/>
                </a:pPr>
                <a:endParaRPr lang="cs-CZ"/>
              </a:p>
            </c:txPr>
            <c:showLegendKey val="0"/>
            <c:showVal val="1"/>
            <c:showCatName val="0"/>
            <c:showSerName val="0"/>
            <c:showPercent val="1"/>
            <c:showBubbleSize val="0"/>
            <c:showLeaderLines val="1"/>
          </c:dLbls>
          <c:cat>
            <c:strRef>
              <c:f>'Zahájená 2018'!$A$45:$A$52</c:f>
              <c:strCache>
                <c:ptCount val="8"/>
                <c:pt idx="0">
                  <c:v>Životní pojištění</c:v>
                </c:pt>
                <c:pt idx="1">
                  <c:v>Stavební spoření</c:v>
                </c:pt>
                <c:pt idx="2">
                  <c:v>Spotřebitelský úvěr</c:v>
                </c:pt>
                <c:pt idx="3">
                  <c:v>Platební služby</c:v>
                </c:pt>
                <c:pt idx="4">
                  <c:v>Kolektivní investování</c:v>
                </c:pt>
                <c:pt idx="5">
                  <c:v>Retailové investice</c:v>
                </c:pt>
                <c:pt idx="6">
                  <c:v>Směnárny</c:v>
                </c:pt>
                <c:pt idx="7">
                  <c:v>Ostatní (mimo působnost)</c:v>
                </c:pt>
              </c:strCache>
            </c:strRef>
          </c:cat>
          <c:val>
            <c:numRef>
              <c:f>'Zahájená 2018'!$D$45:$D$52</c:f>
              <c:numCache>
                <c:formatCode>General</c:formatCode>
                <c:ptCount val="8"/>
                <c:pt idx="0">
                  <c:v>2278</c:v>
                </c:pt>
                <c:pt idx="1">
                  <c:v>119</c:v>
                </c:pt>
                <c:pt idx="2">
                  <c:v>807</c:v>
                </c:pt>
                <c:pt idx="3">
                  <c:v>287</c:v>
                </c:pt>
                <c:pt idx="4">
                  <c:v>25</c:v>
                </c:pt>
                <c:pt idx="5">
                  <c:v>54</c:v>
                </c:pt>
                <c:pt idx="6">
                  <c:v>40</c:v>
                </c:pt>
                <c:pt idx="7">
                  <c:v>9</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sz="800" b="1" baseline="0"/>
          </a:pPr>
          <a:endParaRPr lang="cs-CZ"/>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invertIfNegative val="0"/>
          <c:dLbls>
            <c:txPr>
              <a:bodyPr/>
              <a:lstStyle/>
              <a:p>
                <a:pPr>
                  <a:defRPr sz="1200" b="1"/>
                </a:pPr>
                <a:endParaRPr lang="cs-CZ"/>
              </a:p>
            </c:txPr>
            <c:showLegendKey val="0"/>
            <c:showVal val="1"/>
            <c:showCatName val="0"/>
            <c:showSerName val="0"/>
            <c:showPercent val="0"/>
            <c:showBubbleSize val="0"/>
            <c:showLeaderLines val="0"/>
          </c:dLbls>
          <c:cat>
            <c:strRef>
              <c:f>'Zahájená 2018'!$A$18:$A$27</c:f>
              <c:strCache>
                <c:ptCount val="10"/>
                <c:pt idx="0">
                  <c:v>Zastaveno z jiného důvodu</c:v>
                </c:pt>
                <c:pt idx="1">
                  <c:v>Zastavení řízení pro nepříslušnost</c:v>
                </c:pt>
                <c:pt idx="2">
                  <c:v>Zastavení řízení pro nepřípustnost</c:v>
                </c:pt>
                <c:pt idx="3">
                  <c:v>Zastavení řízení pro nesoučinnost</c:v>
                </c:pt>
                <c:pt idx="4">
                  <c:v>Zastavení řízení pro bezpředmětnost</c:v>
                </c:pt>
                <c:pt idx="5">
                  <c:v>Zastavení řízení pro zpětvzetí</c:v>
                </c:pt>
                <c:pt idx="6">
                  <c:v>Zamítnutí návrhu</c:v>
                </c:pt>
                <c:pt idx="7">
                  <c:v>Schválený smír</c:v>
                </c:pt>
                <c:pt idx="8">
                  <c:v>Částečné vyhovění návrhu</c:v>
                </c:pt>
                <c:pt idx="9">
                  <c:v>Úplné vyhovění návrhu</c:v>
                </c:pt>
              </c:strCache>
            </c:strRef>
          </c:cat>
          <c:val>
            <c:numRef>
              <c:f>'Zahájená 2018'!$F$18:$F$27</c:f>
              <c:numCache>
                <c:formatCode>General</c:formatCode>
                <c:ptCount val="10"/>
                <c:pt idx="0">
                  <c:v>2</c:v>
                </c:pt>
                <c:pt idx="1">
                  <c:v>74</c:v>
                </c:pt>
                <c:pt idx="2">
                  <c:v>43</c:v>
                </c:pt>
                <c:pt idx="3">
                  <c:v>354</c:v>
                </c:pt>
                <c:pt idx="4">
                  <c:v>18</c:v>
                </c:pt>
                <c:pt idx="5">
                  <c:v>967</c:v>
                </c:pt>
                <c:pt idx="6">
                  <c:v>105</c:v>
                </c:pt>
                <c:pt idx="7">
                  <c:v>1</c:v>
                </c:pt>
                <c:pt idx="8">
                  <c:v>72</c:v>
                </c:pt>
                <c:pt idx="9">
                  <c:v>20</c:v>
                </c:pt>
              </c:numCache>
            </c:numRef>
          </c:val>
        </c:ser>
        <c:dLbls>
          <c:showLegendKey val="0"/>
          <c:showVal val="0"/>
          <c:showCatName val="0"/>
          <c:showSerName val="0"/>
          <c:showPercent val="0"/>
          <c:showBubbleSize val="0"/>
        </c:dLbls>
        <c:gapWidth val="150"/>
        <c:axId val="115081984"/>
        <c:axId val="115083520"/>
      </c:barChart>
      <c:catAx>
        <c:axId val="115081984"/>
        <c:scaling>
          <c:orientation val="minMax"/>
        </c:scaling>
        <c:delete val="0"/>
        <c:axPos val="l"/>
        <c:majorTickMark val="out"/>
        <c:minorTickMark val="none"/>
        <c:tickLblPos val="nextTo"/>
        <c:txPr>
          <a:bodyPr/>
          <a:lstStyle/>
          <a:p>
            <a:pPr>
              <a:defRPr sz="1200" b="1"/>
            </a:pPr>
            <a:endParaRPr lang="cs-CZ"/>
          </a:p>
        </c:txPr>
        <c:crossAx val="115083520"/>
        <c:crosses val="autoZero"/>
        <c:auto val="1"/>
        <c:lblAlgn val="ctr"/>
        <c:lblOffset val="100"/>
        <c:noMultiLvlLbl val="0"/>
      </c:catAx>
      <c:valAx>
        <c:axId val="115083520"/>
        <c:scaling>
          <c:orientation val="minMax"/>
        </c:scaling>
        <c:delete val="0"/>
        <c:axPos val="b"/>
        <c:majorGridlines/>
        <c:numFmt formatCode="General" sourceLinked="1"/>
        <c:majorTickMark val="out"/>
        <c:minorTickMark val="none"/>
        <c:tickLblPos val="nextTo"/>
        <c:txPr>
          <a:bodyPr/>
          <a:lstStyle/>
          <a:p>
            <a:pPr>
              <a:defRPr sz="1400"/>
            </a:pPr>
            <a:endParaRPr lang="cs-CZ"/>
          </a:p>
        </c:txPr>
        <c:crossAx val="11508198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FA11D-A1AF-44B0-8DF8-8F05FD9CF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37</Pages>
  <Words>14502</Words>
  <Characters>85568</Characters>
  <Application>Microsoft Office Word</Application>
  <DocSecurity>0</DocSecurity>
  <Lines>713</Lines>
  <Paragraphs>199</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99871</CharactersWithSpaces>
  <SharedDoc>false</SharedDoc>
  <HLinks>
    <vt:vector size="96" baseType="variant">
      <vt:variant>
        <vt:i4>5832804</vt:i4>
      </vt:variant>
      <vt:variant>
        <vt:i4>75</vt:i4>
      </vt:variant>
      <vt:variant>
        <vt:i4>0</vt:i4>
      </vt:variant>
      <vt:variant>
        <vt:i4>5</vt:i4>
      </vt:variant>
      <vt:variant>
        <vt:lpwstr>mailto:ak@lucieruzickova.cz</vt:lpwstr>
      </vt:variant>
      <vt:variant>
        <vt:lpwstr/>
      </vt:variant>
      <vt:variant>
        <vt:i4>2097264</vt:i4>
      </vt:variant>
      <vt:variant>
        <vt:i4>72</vt:i4>
      </vt:variant>
      <vt:variant>
        <vt:i4>0</vt:i4>
      </vt:variant>
      <vt:variant>
        <vt:i4>5</vt:i4>
      </vt:variant>
      <vt:variant>
        <vt:lpwstr>http://www.finarbitr.cz/cs/reseni-sporu/sbirka-rozhodnuti.html</vt:lpwstr>
      </vt:variant>
      <vt:variant>
        <vt:lpwstr/>
      </vt:variant>
      <vt:variant>
        <vt:i4>1835028</vt:i4>
      </vt:variant>
      <vt:variant>
        <vt:i4>69</vt:i4>
      </vt:variant>
      <vt:variant>
        <vt:i4>0</vt:i4>
      </vt:variant>
      <vt:variant>
        <vt:i4>5</vt:i4>
      </vt:variant>
      <vt:variant>
        <vt:lpwstr>https://ec.europa.eu/consumers/odr/main/index.cfm?event=main.home.show&amp;lng=CS</vt:lpwstr>
      </vt:variant>
      <vt:variant>
        <vt:lpwstr/>
      </vt:variant>
      <vt:variant>
        <vt:i4>2097264</vt:i4>
      </vt:variant>
      <vt:variant>
        <vt:i4>66</vt:i4>
      </vt:variant>
      <vt:variant>
        <vt:i4>0</vt:i4>
      </vt:variant>
      <vt:variant>
        <vt:i4>5</vt:i4>
      </vt:variant>
      <vt:variant>
        <vt:lpwstr>http://www.finarbitr.cz/cs/reseni-sporu/sbirka-rozhodnuti.html</vt:lpwstr>
      </vt:variant>
      <vt:variant>
        <vt:lpwstr/>
      </vt:variant>
      <vt:variant>
        <vt:i4>2097185</vt:i4>
      </vt:variant>
      <vt:variant>
        <vt:i4>63</vt:i4>
      </vt:variant>
      <vt:variant>
        <vt:i4>0</vt:i4>
      </vt:variant>
      <vt:variant>
        <vt:i4>5</vt:i4>
      </vt:variant>
      <vt:variant>
        <vt:lpwstr>http://www.finarbitr.cz/cs/informace-pro-verejnost/vyrocni-zpravy.html</vt:lpwstr>
      </vt:variant>
      <vt:variant>
        <vt:lpwstr/>
      </vt:variant>
      <vt:variant>
        <vt:i4>1245240</vt:i4>
      </vt:variant>
      <vt:variant>
        <vt:i4>56</vt:i4>
      </vt:variant>
      <vt:variant>
        <vt:i4>0</vt:i4>
      </vt:variant>
      <vt:variant>
        <vt:i4>5</vt:i4>
      </vt:variant>
      <vt:variant>
        <vt:lpwstr/>
      </vt:variant>
      <vt:variant>
        <vt:lpwstr>_Toc479239682</vt:lpwstr>
      </vt:variant>
      <vt:variant>
        <vt:i4>1245240</vt:i4>
      </vt:variant>
      <vt:variant>
        <vt:i4>50</vt:i4>
      </vt:variant>
      <vt:variant>
        <vt:i4>0</vt:i4>
      </vt:variant>
      <vt:variant>
        <vt:i4>5</vt:i4>
      </vt:variant>
      <vt:variant>
        <vt:lpwstr/>
      </vt:variant>
      <vt:variant>
        <vt:lpwstr>_Toc479239681</vt:lpwstr>
      </vt:variant>
      <vt:variant>
        <vt:i4>1245240</vt:i4>
      </vt:variant>
      <vt:variant>
        <vt:i4>44</vt:i4>
      </vt:variant>
      <vt:variant>
        <vt:i4>0</vt:i4>
      </vt:variant>
      <vt:variant>
        <vt:i4>5</vt:i4>
      </vt:variant>
      <vt:variant>
        <vt:lpwstr/>
      </vt:variant>
      <vt:variant>
        <vt:lpwstr>_Toc479239680</vt:lpwstr>
      </vt:variant>
      <vt:variant>
        <vt:i4>1835064</vt:i4>
      </vt:variant>
      <vt:variant>
        <vt:i4>38</vt:i4>
      </vt:variant>
      <vt:variant>
        <vt:i4>0</vt:i4>
      </vt:variant>
      <vt:variant>
        <vt:i4>5</vt:i4>
      </vt:variant>
      <vt:variant>
        <vt:lpwstr/>
      </vt:variant>
      <vt:variant>
        <vt:lpwstr>_Toc479239679</vt:lpwstr>
      </vt:variant>
      <vt:variant>
        <vt:i4>1835064</vt:i4>
      </vt:variant>
      <vt:variant>
        <vt:i4>32</vt:i4>
      </vt:variant>
      <vt:variant>
        <vt:i4>0</vt:i4>
      </vt:variant>
      <vt:variant>
        <vt:i4>5</vt:i4>
      </vt:variant>
      <vt:variant>
        <vt:lpwstr/>
      </vt:variant>
      <vt:variant>
        <vt:lpwstr>_Toc479239678</vt:lpwstr>
      </vt:variant>
      <vt:variant>
        <vt:i4>1835064</vt:i4>
      </vt:variant>
      <vt:variant>
        <vt:i4>26</vt:i4>
      </vt:variant>
      <vt:variant>
        <vt:i4>0</vt:i4>
      </vt:variant>
      <vt:variant>
        <vt:i4>5</vt:i4>
      </vt:variant>
      <vt:variant>
        <vt:lpwstr/>
      </vt:variant>
      <vt:variant>
        <vt:lpwstr>_Toc479239677</vt:lpwstr>
      </vt:variant>
      <vt:variant>
        <vt:i4>1835064</vt:i4>
      </vt:variant>
      <vt:variant>
        <vt:i4>20</vt:i4>
      </vt:variant>
      <vt:variant>
        <vt:i4>0</vt:i4>
      </vt:variant>
      <vt:variant>
        <vt:i4>5</vt:i4>
      </vt:variant>
      <vt:variant>
        <vt:lpwstr/>
      </vt:variant>
      <vt:variant>
        <vt:lpwstr>_Toc479239676</vt:lpwstr>
      </vt:variant>
      <vt:variant>
        <vt:i4>1835064</vt:i4>
      </vt:variant>
      <vt:variant>
        <vt:i4>14</vt:i4>
      </vt:variant>
      <vt:variant>
        <vt:i4>0</vt:i4>
      </vt:variant>
      <vt:variant>
        <vt:i4>5</vt:i4>
      </vt:variant>
      <vt:variant>
        <vt:lpwstr/>
      </vt:variant>
      <vt:variant>
        <vt:lpwstr>_Toc479239675</vt:lpwstr>
      </vt:variant>
      <vt:variant>
        <vt:i4>1835064</vt:i4>
      </vt:variant>
      <vt:variant>
        <vt:i4>8</vt:i4>
      </vt:variant>
      <vt:variant>
        <vt:i4>0</vt:i4>
      </vt:variant>
      <vt:variant>
        <vt:i4>5</vt:i4>
      </vt:variant>
      <vt:variant>
        <vt:lpwstr/>
      </vt:variant>
      <vt:variant>
        <vt:lpwstr>_Toc479239674</vt:lpwstr>
      </vt:variant>
      <vt:variant>
        <vt:i4>1835064</vt:i4>
      </vt:variant>
      <vt:variant>
        <vt:i4>2</vt:i4>
      </vt:variant>
      <vt:variant>
        <vt:i4>0</vt:i4>
      </vt:variant>
      <vt:variant>
        <vt:i4>5</vt:i4>
      </vt:variant>
      <vt:variant>
        <vt:lpwstr/>
      </vt:variant>
      <vt:variant>
        <vt:lpwstr>_Toc479239673</vt:lpwstr>
      </vt:variant>
      <vt:variant>
        <vt:i4>2097264</vt:i4>
      </vt:variant>
      <vt:variant>
        <vt:i4>0</vt:i4>
      </vt:variant>
      <vt:variant>
        <vt:i4>0</vt:i4>
      </vt:variant>
      <vt:variant>
        <vt:i4>5</vt:i4>
      </vt:variant>
      <vt:variant>
        <vt:lpwstr>http://www.finarbitr.cz/cs/reseni-sporu/sbirka-rozhodnuti.html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Nedelková Monika Mgr.</dc:creator>
  <cp:lastModifiedBy>Nedelková Monika Mgr.</cp:lastModifiedBy>
  <cp:revision>15</cp:revision>
  <cp:lastPrinted>2018-03-15T11:39:00Z</cp:lastPrinted>
  <dcterms:created xsi:type="dcterms:W3CDTF">2019-03-26T09:58:00Z</dcterms:created>
  <dcterms:modified xsi:type="dcterms:W3CDTF">2019-03-27T14:28:00Z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-450218014</vt:i4>
  </property>
  <property fmtid="{D5CDD505-2E9C-101B-9397-08002B2CF9AE}" pid="4" name="_EmailSubject">
    <vt:lpwstr>zpráva</vt:lpwstr>
  </property>
  <property fmtid="{D5CDD505-2E9C-101B-9397-08002B2CF9AE}" pid="5" name="_AuthorEmail">
    <vt:lpwstr>Fidlerova@finarbitr.cz</vt:lpwstr>
  </property>
  <property fmtid="{D5CDD505-2E9C-101B-9397-08002B2CF9AE}" pid="6" name="_AuthorEmailDisplayName">
    <vt:lpwstr>Fidlerová Kamila Ing.</vt:lpwstr>
  </property>
  <property fmtid="{D5CDD505-2E9C-101B-9397-08002B2CF9AE}" pid="7" name="_PreviousAdHocReviewCycleID">
    <vt:i4>893029287</vt:i4>
  </property>
  <property fmtid="{D5CDD505-2E9C-101B-9397-08002B2CF9AE}" pid="8" name="_ReviewingToolsShownOnce">
    <vt:lpwstr/>
  </property>
</Properties>
</file>