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DAB" w:rsidRDefault="00DD0DAB" w:rsidP="00CC2FB7">
      <w:pPr>
        <w:autoSpaceDE w:val="0"/>
        <w:autoSpaceDN w:val="0"/>
        <w:adjustRightInd w:val="0"/>
        <w:jc w:val="center"/>
        <w:rPr>
          <w:rFonts w:ascii="Times New Roman" w:hAnsi="Times New Roman" w:cs="Times New Roman"/>
          <w:b/>
          <w:sz w:val="28"/>
          <w:szCs w:val="28"/>
        </w:rPr>
      </w:pPr>
      <w:r>
        <w:rPr>
          <w:rFonts w:ascii="Times New Roman" w:hAnsi="Times New Roman" w:cs="Times New Roman"/>
          <w:b/>
          <w:bCs/>
          <w:sz w:val="28"/>
          <w:szCs w:val="28"/>
        </w:rPr>
        <w:t>ZÁKON</w:t>
      </w:r>
    </w:p>
    <w:p w:rsidR="00DD0DAB" w:rsidRDefault="00DD0DAB" w:rsidP="00CC2FB7">
      <w:pPr>
        <w:pStyle w:val="Default"/>
        <w:jc w:val="center"/>
        <w:rPr>
          <w:rFonts w:ascii="Times New Roman" w:hAnsi="Times New Roman" w:cs="Times New Roman"/>
          <w:b/>
          <w:color w:val="auto"/>
          <w:sz w:val="23"/>
          <w:szCs w:val="23"/>
        </w:rPr>
      </w:pPr>
      <w:r>
        <w:rPr>
          <w:rFonts w:ascii="Times New Roman" w:hAnsi="Times New Roman" w:cs="Times New Roman"/>
          <w:b/>
          <w:color w:val="auto"/>
          <w:sz w:val="23"/>
          <w:szCs w:val="23"/>
        </w:rPr>
        <w:t>ze dne ............. 201</w:t>
      </w:r>
      <w:r w:rsidR="00120B66">
        <w:rPr>
          <w:rFonts w:ascii="Times New Roman" w:hAnsi="Times New Roman" w:cs="Times New Roman"/>
          <w:b/>
          <w:color w:val="auto"/>
          <w:sz w:val="23"/>
          <w:szCs w:val="23"/>
        </w:rPr>
        <w:t>9</w:t>
      </w:r>
    </w:p>
    <w:p w:rsidR="00DD0DAB" w:rsidRDefault="00DD0DAB" w:rsidP="00CC2FB7">
      <w:pPr>
        <w:pStyle w:val="Default"/>
        <w:jc w:val="center"/>
        <w:rPr>
          <w:rFonts w:ascii="Times New Roman" w:hAnsi="Times New Roman" w:cs="Times New Roman"/>
          <w:b/>
          <w:bCs/>
          <w:color w:val="auto"/>
          <w:sz w:val="23"/>
          <w:szCs w:val="23"/>
        </w:rPr>
      </w:pPr>
    </w:p>
    <w:p w:rsidR="00DD0DAB" w:rsidRDefault="00DD0DAB" w:rsidP="00CC2FB7">
      <w:pPr>
        <w:pStyle w:val="Default"/>
        <w:jc w:val="center"/>
        <w:rPr>
          <w:rFonts w:ascii="Times New Roman" w:hAnsi="Times New Roman" w:cs="Times New Roman"/>
          <w:b/>
          <w:color w:val="auto"/>
        </w:rPr>
      </w:pPr>
      <w:r>
        <w:rPr>
          <w:rFonts w:ascii="Times New Roman" w:hAnsi="Times New Roman" w:cs="Times New Roman"/>
          <w:b/>
          <w:bCs/>
          <w:color w:val="auto"/>
        </w:rPr>
        <w:t xml:space="preserve">kterým se mění zákon č. </w:t>
      </w:r>
      <w:r w:rsidR="00353209">
        <w:rPr>
          <w:rFonts w:ascii="Times New Roman" w:hAnsi="Times New Roman" w:cs="Times New Roman"/>
          <w:b/>
          <w:bCs/>
          <w:color w:val="auto"/>
        </w:rPr>
        <w:t>131</w:t>
      </w:r>
      <w:r>
        <w:rPr>
          <w:rFonts w:ascii="Times New Roman" w:hAnsi="Times New Roman" w:cs="Times New Roman"/>
          <w:b/>
          <w:bCs/>
          <w:color w:val="auto"/>
        </w:rPr>
        <w:t>/2000 Sb.,</w:t>
      </w:r>
      <w:r w:rsidR="00353209">
        <w:rPr>
          <w:rFonts w:ascii="Times New Roman" w:hAnsi="Times New Roman" w:cs="Times New Roman"/>
          <w:b/>
          <w:bCs/>
          <w:color w:val="auto"/>
        </w:rPr>
        <w:t xml:space="preserve"> o hlavním městě Praze</w:t>
      </w:r>
      <w:r>
        <w:rPr>
          <w:rFonts w:ascii="Times New Roman" w:hAnsi="Times New Roman" w:cs="Times New Roman"/>
          <w:b/>
          <w:bCs/>
          <w:color w:val="auto"/>
        </w:rPr>
        <w:t xml:space="preserve">, </w:t>
      </w:r>
      <w:r>
        <w:rPr>
          <w:rFonts w:ascii="Times New Roman" w:hAnsi="Times New Roman" w:cs="Times New Roman"/>
          <w:b/>
        </w:rPr>
        <w:t>ve znění pozdějších předpisů</w:t>
      </w:r>
    </w:p>
    <w:p w:rsidR="00DD0DAB" w:rsidRDefault="00DD0DAB" w:rsidP="00CC2FB7">
      <w:pPr>
        <w:pStyle w:val="Default"/>
        <w:jc w:val="center"/>
        <w:rPr>
          <w:rFonts w:ascii="Times New Roman" w:hAnsi="Times New Roman" w:cs="Times New Roman"/>
          <w:b/>
          <w:bCs/>
          <w:color w:val="auto"/>
        </w:rPr>
      </w:pPr>
    </w:p>
    <w:p w:rsidR="00DD0DAB" w:rsidRDefault="00DD0DAB" w:rsidP="00CC2FB7">
      <w:pPr>
        <w:pStyle w:val="Default"/>
        <w:jc w:val="center"/>
        <w:rPr>
          <w:rFonts w:ascii="Times New Roman" w:hAnsi="Times New Roman" w:cs="Times New Roman"/>
          <w:bCs/>
        </w:rPr>
      </w:pPr>
      <w:r>
        <w:rPr>
          <w:rFonts w:ascii="Times New Roman" w:hAnsi="Times New Roman" w:cs="Times New Roman"/>
          <w:bCs/>
        </w:rPr>
        <w:t>Parlament se usnesl na tomto zákoně České republiky:</w:t>
      </w:r>
    </w:p>
    <w:p w:rsidR="00DD0DAB" w:rsidRDefault="00DD0DAB" w:rsidP="00CC2FB7">
      <w:pPr>
        <w:pStyle w:val="Default"/>
        <w:jc w:val="both"/>
        <w:rPr>
          <w:rFonts w:ascii="Times New Roman" w:hAnsi="Times New Roman" w:cs="Times New Roman"/>
          <w:bCs/>
        </w:rPr>
      </w:pPr>
    </w:p>
    <w:p w:rsidR="00DD0DAB" w:rsidRPr="00CC2FB7" w:rsidRDefault="00DD0DAB" w:rsidP="00CC2FB7">
      <w:pPr>
        <w:pStyle w:val="Default"/>
        <w:jc w:val="center"/>
        <w:rPr>
          <w:rFonts w:ascii="Times New Roman" w:hAnsi="Times New Roman" w:cs="Times New Roman"/>
          <w:b/>
          <w:bCs/>
        </w:rPr>
      </w:pPr>
      <w:r w:rsidRPr="00CC2FB7">
        <w:rPr>
          <w:rFonts w:ascii="Times New Roman" w:hAnsi="Times New Roman" w:cs="Times New Roman"/>
          <w:b/>
          <w:bCs/>
        </w:rPr>
        <w:t>Čl. I</w:t>
      </w:r>
    </w:p>
    <w:p w:rsidR="00DD0DAB" w:rsidRDefault="00DD0DAB" w:rsidP="00CC2FB7">
      <w:pPr>
        <w:pStyle w:val="Default"/>
        <w:jc w:val="center"/>
        <w:rPr>
          <w:rFonts w:ascii="Times New Roman" w:hAnsi="Times New Roman" w:cs="Times New Roman"/>
          <w:b/>
          <w:bCs/>
        </w:rPr>
      </w:pPr>
      <w:r w:rsidRPr="00CC2FB7">
        <w:rPr>
          <w:rFonts w:ascii="Times New Roman" w:hAnsi="Times New Roman" w:cs="Times New Roman"/>
          <w:b/>
          <w:bCs/>
        </w:rPr>
        <w:t xml:space="preserve">Změna zákona o </w:t>
      </w:r>
      <w:r w:rsidR="00F752C0">
        <w:rPr>
          <w:rFonts w:ascii="Times New Roman" w:hAnsi="Times New Roman" w:cs="Times New Roman"/>
          <w:b/>
          <w:bCs/>
        </w:rPr>
        <w:t>hlavním městě Praze</w:t>
      </w:r>
    </w:p>
    <w:p w:rsidR="00CC2FB7" w:rsidRPr="00CC2FB7" w:rsidRDefault="00CC2FB7" w:rsidP="00CC2FB7">
      <w:pPr>
        <w:pStyle w:val="Default"/>
        <w:jc w:val="both"/>
        <w:rPr>
          <w:rFonts w:ascii="Times New Roman" w:hAnsi="Times New Roman" w:cs="Times New Roman"/>
          <w:b/>
        </w:rPr>
      </w:pPr>
    </w:p>
    <w:p w:rsidR="00DD0DAB" w:rsidRDefault="00DD0DAB" w:rsidP="00353209">
      <w:pPr>
        <w:pStyle w:val="Default"/>
        <w:jc w:val="both"/>
        <w:rPr>
          <w:rFonts w:ascii="Times New Roman" w:hAnsi="Times New Roman" w:cs="Times New Roman"/>
        </w:rPr>
      </w:pPr>
      <w:r>
        <w:rPr>
          <w:rFonts w:ascii="Times New Roman" w:hAnsi="Times New Roman" w:cs="Times New Roman"/>
        </w:rPr>
        <w:t xml:space="preserve">Zákon č. </w:t>
      </w:r>
      <w:r w:rsidR="00353209">
        <w:rPr>
          <w:rFonts w:ascii="Times New Roman" w:hAnsi="Times New Roman" w:cs="Times New Roman"/>
          <w:bCs/>
        </w:rPr>
        <w:t>131</w:t>
      </w:r>
      <w:r>
        <w:rPr>
          <w:rFonts w:ascii="Times New Roman" w:hAnsi="Times New Roman" w:cs="Times New Roman"/>
          <w:bCs/>
        </w:rPr>
        <w:t xml:space="preserve">/2000 Sb., </w:t>
      </w:r>
      <w:r>
        <w:rPr>
          <w:rFonts w:ascii="Times New Roman" w:hAnsi="Times New Roman" w:cs="Times New Roman"/>
          <w:color w:val="auto"/>
        </w:rPr>
        <w:t xml:space="preserve">o </w:t>
      </w:r>
      <w:r w:rsidR="00353209">
        <w:rPr>
          <w:rFonts w:ascii="Times New Roman" w:hAnsi="Times New Roman" w:cs="Times New Roman"/>
          <w:color w:val="auto"/>
        </w:rPr>
        <w:t>hlavním městě Praze</w:t>
      </w:r>
      <w:r>
        <w:rPr>
          <w:rFonts w:ascii="Times New Roman" w:hAnsi="Times New Roman" w:cs="Times New Roman"/>
          <w:color w:val="auto"/>
        </w:rPr>
        <w:t xml:space="preserve">, </w:t>
      </w:r>
      <w:r w:rsidR="00F752C0">
        <w:rPr>
          <w:rFonts w:ascii="Times New Roman" w:hAnsi="Times New Roman" w:cs="Times New Roman"/>
          <w:color w:val="auto"/>
        </w:rPr>
        <w:t xml:space="preserve">ve </w:t>
      </w:r>
      <w:r w:rsidR="00184728" w:rsidRPr="00184728">
        <w:rPr>
          <w:rFonts w:ascii="Times New Roman" w:hAnsi="Times New Roman" w:cs="Times New Roman"/>
          <w:bCs/>
          <w:color w:val="auto"/>
        </w:rPr>
        <w:t>znění zákonů č. 145/2001 Sb., č. 273/2001 Sb., č. 320/2001 Sb., č. 450/2001 Sb., č. 311/2002 Sb., č. 312/2002 Sb., č. 320/2002 Sb., č. 22/2004 Sb., č. 216/2004 Sb., č. 257/2004 Sb., č. 387/2004 Sb., č. 421/2004 Sb., č. 499/2004 Sb., č. 501/2004 Sb., č. 626/2004 Sb., č. 109/2006 Sb., č. 186/2006 Sb., č. 234/2006 Sb., č. 261/2007 Sb., č. 66/2008 Sb., č. 169/2008 Sb., č. 298/2008 Sb., č. 305/2008 Sb., č. 477/2008 Sb., č. 227/2009 Sb., č. 281/2009 Sb., č. 326/2009 Sb., č. 199/2010 Sb., č. 347/2010 Sb., č. 424/2010 Sb., č. 246/2011 Sb., č. 364/2011 Sb., č. 457/2011 Sb., č. 142/2012 Sb., č. 239/2012 Sb., č. 350/2012 Sb., č. 303/2013 Sb., č. 64/2014 Sb., č. 24/2015 Sb., č. 298/2015 Sb., č. 106/2016 Sb., č. 99/2017 Sb., č. 183/2017 Sb., č. 225/2017 Sb. a č. 257/2017 Sb.</w:t>
      </w:r>
      <w:r w:rsidR="00F752C0">
        <w:rPr>
          <w:rFonts w:ascii="Times New Roman" w:hAnsi="Times New Roman" w:cs="Times New Roman"/>
          <w:bCs/>
          <w:color w:val="auto"/>
        </w:rPr>
        <w:t xml:space="preserve"> </w:t>
      </w:r>
      <w:r>
        <w:rPr>
          <w:rFonts w:ascii="Times New Roman" w:hAnsi="Times New Roman" w:cs="Times New Roman"/>
        </w:rPr>
        <w:t xml:space="preserve">se mění takto: </w:t>
      </w:r>
    </w:p>
    <w:p w:rsidR="00DD0DAB" w:rsidRDefault="00DD0DAB" w:rsidP="00CC2FB7">
      <w:pPr>
        <w:pStyle w:val="Default"/>
        <w:jc w:val="both"/>
        <w:rPr>
          <w:rFonts w:ascii="Times New Roman" w:hAnsi="Times New Roman" w:cs="Times New Roman"/>
        </w:rPr>
      </w:pPr>
    </w:p>
    <w:p w:rsidR="000A3720" w:rsidRDefault="000033C6" w:rsidP="004C0A52">
      <w:pPr>
        <w:pStyle w:val="Default"/>
        <w:numPr>
          <w:ilvl w:val="0"/>
          <w:numId w:val="1"/>
        </w:numPr>
        <w:ind w:left="284" w:hanging="284"/>
        <w:contextualSpacing/>
        <w:jc w:val="both"/>
        <w:rPr>
          <w:rFonts w:ascii="Times New Roman" w:hAnsi="Times New Roman"/>
        </w:rPr>
      </w:pPr>
      <w:r w:rsidRPr="000033C6">
        <w:rPr>
          <w:rFonts w:ascii="Times New Roman" w:hAnsi="Times New Roman"/>
        </w:rPr>
        <w:t xml:space="preserve">V </w:t>
      </w:r>
      <w:r w:rsidR="00DD0DAB" w:rsidRPr="000033C6">
        <w:rPr>
          <w:rFonts w:ascii="Times New Roman" w:hAnsi="Times New Roman"/>
        </w:rPr>
        <w:t xml:space="preserve">§ </w:t>
      </w:r>
      <w:r w:rsidRPr="000033C6">
        <w:rPr>
          <w:rFonts w:ascii="Times New Roman" w:hAnsi="Times New Roman"/>
        </w:rPr>
        <w:t>81</w:t>
      </w:r>
      <w:r w:rsidR="00DD0DAB" w:rsidRPr="000033C6">
        <w:rPr>
          <w:rFonts w:ascii="Times New Roman" w:hAnsi="Times New Roman"/>
        </w:rPr>
        <w:t xml:space="preserve"> odst. 3</w:t>
      </w:r>
      <w:r w:rsidR="000A3720" w:rsidRPr="000033C6">
        <w:rPr>
          <w:rFonts w:ascii="Times New Roman" w:hAnsi="Times New Roman"/>
        </w:rPr>
        <w:t xml:space="preserve"> </w:t>
      </w:r>
      <w:r w:rsidRPr="000033C6">
        <w:rPr>
          <w:rFonts w:ascii="Times New Roman" w:hAnsi="Times New Roman"/>
        </w:rPr>
        <w:t xml:space="preserve">se za </w:t>
      </w:r>
      <w:r w:rsidR="000A3720" w:rsidRPr="000033C6">
        <w:rPr>
          <w:rFonts w:ascii="Times New Roman" w:hAnsi="Times New Roman"/>
        </w:rPr>
        <w:t>písm</w:t>
      </w:r>
      <w:r w:rsidR="008C3D2D">
        <w:rPr>
          <w:rFonts w:ascii="Times New Roman" w:hAnsi="Times New Roman"/>
        </w:rPr>
        <w:t>eno</w:t>
      </w:r>
      <w:r w:rsidR="000A3720" w:rsidRPr="000033C6">
        <w:rPr>
          <w:rFonts w:ascii="Times New Roman" w:hAnsi="Times New Roman"/>
        </w:rPr>
        <w:t xml:space="preserve"> b) </w:t>
      </w:r>
      <w:r w:rsidR="00DD0DAB" w:rsidRPr="000033C6">
        <w:rPr>
          <w:rFonts w:ascii="Times New Roman" w:hAnsi="Times New Roman"/>
        </w:rPr>
        <w:t>vkládá nov</w:t>
      </w:r>
      <w:r w:rsidR="000A3720" w:rsidRPr="000033C6">
        <w:rPr>
          <w:rFonts w:ascii="Times New Roman" w:hAnsi="Times New Roman"/>
        </w:rPr>
        <w:t>é písm</w:t>
      </w:r>
      <w:r w:rsidR="008C3D2D">
        <w:rPr>
          <w:rFonts w:ascii="Times New Roman" w:hAnsi="Times New Roman"/>
        </w:rPr>
        <w:t>eno</w:t>
      </w:r>
      <w:r w:rsidR="000A3720" w:rsidRPr="000033C6">
        <w:rPr>
          <w:rFonts w:ascii="Times New Roman" w:hAnsi="Times New Roman"/>
        </w:rPr>
        <w:t xml:space="preserve"> c), které </w:t>
      </w:r>
      <w:r w:rsidR="00DD0DAB" w:rsidRPr="000033C6">
        <w:rPr>
          <w:rFonts w:ascii="Times New Roman" w:hAnsi="Times New Roman"/>
        </w:rPr>
        <w:t xml:space="preserve">zní: </w:t>
      </w:r>
      <w:r w:rsidR="000A3720" w:rsidRPr="000033C6">
        <w:rPr>
          <w:rFonts w:ascii="Times New Roman" w:hAnsi="Times New Roman"/>
        </w:rPr>
        <w:t>„</w:t>
      </w:r>
      <w:r>
        <w:rPr>
          <w:rFonts w:ascii="Times New Roman" w:hAnsi="Times New Roman"/>
          <w:i/>
        </w:rPr>
        <w:t>jako orgán druhého stupně rozhoduje o odvolání proti rozhodnutím vydaným Magistrátem ve správním řízení podle stavebního zákona, který vykonává svoji působnost na úseku územního rozhodování jako orgán prvního stupně</w:t>
      </w:r>
      <w:r w:rsidR="00F01B64">
        <w:rPr>
          <w:rFonts w:ascii="Times New Roman" w:hAnsi="Times New Roman"/>
          <w:i/>
        </w:rPr>
        <w:t>,</w:t>
      </w:r>
      <w:r w:rsidR="000A3720" w:rsidRPr="000033C6">
        <w:rPr>
          <w:rFonts w:ascii="Times New Roman" w:hAnsi="Times New Roman"/>
        </w:rPr>
        <w:t>“</w:t>
      </w:r>
      <w:r w:rsidR="00DD0DAB" w:rsidRPr="000033C6">
        <w:rPr>
          <w:rFonts w:ascii="Times New Roman" w:hAnsi="Times New Roman"/>
        </w:rPr>
        <w:t>.</w:t>
      </w:r>
    </w:p>
    <w:p w:rsidR="0034586C" w:rsidRDefault="0034586C" w:rsidP="0034586C">
      <w:pPr>
        <w:pStyle w:val="Default"/>
        <w:ind w:left="284"/>
        <w:contextualSpacing/>
        <w:jc w:val="both"/>
        <w:rPr>
          <w:rFonts w:ascii="Times New Roman" w:hAnsi="Times New Roman"/>
        </w:rPr>
      </w:pPr>
      <w:r>
        <w:rPr>
          <w:rFonts w:ascii="Times New Roman" w:hAnsi="Times New Roman"/>
        </w:rPr>
        <w:t>Dosavadní písm</w:t>
      </w:r>
      <w:r w:rsidR="008C3D2D">
        <w:rPr>
          <w:rFonts w:ascii="Times New Roman" w:hAnsi="Times New Roman"/>
        </w:rPr>
        <w:t>ena</w:t>
      </w:r>
      <w:r>
        <w:rPr>
          <w:rFonts w:ascii="Times New Roman" w:hAnsi="Times New Roman"/>
        </w:rPr>
        <w:t xml:space="preserve"> c) až g) se označují jako písmena d) až </w:t>
      </w:r>
      <w:r w:rsidR="00F01B64">
        <w:rPr>
          <w:rFonts w:ascii="Times New Roman" w:hAnsi="Times New Roman"/>
        </w:rPr>
        <w:t>h</w:t>
      </w:r>
      <w:r>
        <w:rPr>
          <w:rFonts w:ascii="Times New Roman" w:hAnsi="Times New Roman"/>
        </w:rPr>
        <w:t>).</w:t>
      </w:r>
    </w:p>
    <w:p w:rsidR="00DD0DAB" w:rsidRPr="000A3720" w:rsidRDefault="0034586C" w:rsidP="00CC2FB7">
      <w:pPr>
        <w:pStyle w:val="Default"/>
        <w:numPr>
          <w:ilvl w:val="0"/>
          <w:numId w:val="1"/>
        </w:numPr>
        <w:ind w:left="284" w:hanging="284"/>
        <w:contextualSpacing/>
        <w:jc w:val="both"/>
        <w:rPr>
          <w:rFonts w:ascii="Times New Roman" w:hAnsi="Times New Roman"/>
        </w:rPr>
      </w:pPr>
      <w:r>
        <w:rPr>
          <w:rFonts w:ascii="Times New Roman" w:hAnsi="Times New Roman"/>
        </w:rPr>
        <w:t>V § 118 odst. 3</w:t>
      </w:r>
      <w:r w:rsidR="007B0F32">
        <w:rPr>
          <w:rFonts w:ascii="Times New Roman" w:hAnsi="Times New Roman"/>
        </w:rPr>
        <w:t xml:space="preserve"> </w:t>
      </w:r>
      <w:r w:rsidR="00EC07EC">
        <w:rPr>
          <w:rFonts w:ascii="Times New Roman" w:hAnsi="Times New Roman"/>
        </w:rPr>
        <w:t>písm</w:t>
      </w:r>
      <w:r w:rsidR="008C3D2D">
        <w:rPr>
          <w:rFonts w:ascii="Times New Roman" w:hAnsi="Times New Roman"/>
        </w:rPr>
        <w:t>eno</w:t>
      </w:r>
      <w:r w:rsidR="00EC07EC">
        <w:rPr>
          <w:rFonts w:ascii="Times New Roman" w:hAnsi="Times New Roman"/>
        </w:rPr>
        <w:t xml:space="preserve"> b) zní: „</w:t>
      </w:r>
      <w:r w:rsidR="00EC07EC">
        <w:rPr>
          <w:rFonts w:ascii="Times New Roman" w:hAnsi="Times New Roman"/>
          <w:i/>
        </w:rPr>
        <w:t>přezkoumávají rozhodnutí orgánů hlavního města Prahy vydaná ve správním řízení s výjimkou rozhodnutí vydaných ve správním řízení, která přezkoumává Magistrát jako nadřízený orgán podle § 81 odst. 3 písm. b)</w:t>
      </w:r>
      <w:r w:rsidR="009D2166">
        <w:rPr>
          <w:rFonts w:ascii="Times New Roman" w:hAnsi="Times New Roman"/>
          <w:i/>
        </w:rPr>
        <w:t>.</w:t>
      </w:r>
      <w:r w:rsidR="00EC07EC">
        <w:rPr>
          <w:rFonts w:ascii="Times New Roman" w:hAnsi="Times New Roman"/>
        </w:rPr>
        <w:t>“</w:t>
      </w:r>
    </w:p>
    <w:p w:rsidR="00AD1407" w:rsidRDefault="00AD1407" w:rsidP="00CC2FB7">
      <w:pPr>
        <w:pStyle w:val="Default"/>
        <w:jc w:val="both"/>
        <w:rPr>
          <w:rFonts w:ascii="Times New Roman" w:hAnsi="Times New Roman" w:cs="Times New Roman"/>
          <w:bCs/>
        </w:rPr>
      </w:pPr>
    </w:p>
    <w:p w:rsidR="00DD0DAB" w:rsidRPr="00CC2FB7" w:rsidRDefault="00DD0DAB" w:rsidP="00CC2FB7">
      <w:pPr>
        <w:pStyle w:val="Default"/>
        <w:jc w:val="center"/>
        <w:rPr>
          <w:rFonts w:ascii="Times New Roman" w:hAnsi="Times New Roman" w:cs="Times New Roman"/>
          <w:b/>
        </w:rPr>
      </w:pPr>
      <w:r w:rsidRPr="00CC2FB7">
        <w:rPr>
          <w:rFonts w:ascii="Times New Roman" w:hAnsi="Times New Roman" w:cs="Times New Roman"/>
          <w:b/>
          <w:bCs/>
        </w:rPr>
        <w:t>Čl. II</w:t>
      </w:r>
    </w:p>
    <w:p w:rsidR="00DD0DAB" w:rsidRPr="00CC2FB7" w:rsidRDefault="00DD0DAB" w:rsidP="00CC2FB7">
      <w:pPr>
        <w:pStyle w:val="Default"/>
        <w:jc w:val="center"/>
        <w:rPr>
          <w:rFonts w:ascii="Times New Roman" w:hAnsi="Times New Roman" w:cs="Times New Roman"/>
          <w:b/>
          <w:bCs/>
        </w:rPr>
      </w:pPr>
      <w:r w:rsidRPr="00CC2FB7">
        <w:rPr>
          <w:rFonts w:ascii="Times New Roman" w:hAnsi="Times New Roman" w:cs="Times New Roman"/>
          <w:b/>
          <w:bCs/>
        </w:rPr>
        <w:t>Účinnost</w:t>
      </w:r>
    </w:p>
    <w:p w:rsidR="00CC2FB7" w:rsidRDefault="00CC2FB7"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Tento zákon nabývá účinnosti</w:t>
      </w:r>
      <w:r w:rsidR="001E3430">
        <w:rPr>
          <w:rFonts w:ascii="Times New Roman" w:hAnsi="Times New Roman" w:cs="Times New Roman"/>
        </w:rPr>
        <w:t xml:space="preserve"> dne</w:t>
      </w:r>
      <w:r>
        <w:rPr>
          <w:rFonts w:ascii="Times New Roman" w:hAnsi="Times New Roman" w:cs="Times New Roman"/>
        </w:rPr>
        <w:t xml:space="preserve"> </w:t>
      </w:r>
      <w:r w:rsidR="00EC07EC" w:rsidRPr="00EC07EC">
        <w:rPr>
          <w:rFonts w:ascii="Times New Roman" w:hAnsi="Times New Roman" w:cs="Times New Roman"/>
        </w:rPr>
        <w:t>1</w:t>
      </w:r>
      <w:r>
        <w:rPr>
          <w:rFonts w:ascii="Times New Roman" w:hAnsi="Times New Roman" w:cs="Times New Roman"/>
        </w:rPr>
        <w:t xml:space="preserve">. </w:t>
      </w:r>
      <w:r w:rsidR="00EC07EC">
        <w:rPr>
          <w:rFonts w:ascii="Times New Roman" w:hAnsi="Times New Roman" w:cs="Times New Roman"/>
        </w:rPr>
        <w:t>ledna</w:t>
      </w:r>
      <w:r>
        <w:rPr>
          <w:rFonts w:ascii="Times New Roman" w:hAnsi="Times New Roman" w:cs="Times New Roman"/>
        </w:rPr>
        <w:t xml:space="preserve"> </w:t>
      </w:r>
      <w:r w:rsidR="00EC07EC">
        <w:rPr>
          <w:rFonts w:ascii="Times New Roman" w:hAnsi="Times New Roman" w:cs="Times New Roman"/>
        </w:rPr>
        <w:t>202</w:t>
      </w:r>
      <w:r w:rsidR="008C3D2D">
        <w:rPr>
          <w:rFonts w:ascii="Times New Roman" w:hAnsi="Times New Roman" w:cs="Times New Roman"/>
        </w:rPr>
        <w:t>1</w:t>
      </w:r>
      <w:r w:rsidR="00AD1407">
        <w:rPr>
          <w:rFonts w:ascii="Times New Roman" w:hAnsi="Times New Roman" w:cs="Times New Roman"/>
        </w:rPr>
        <w:t>.</w:t>
      </w:r>
    </w:p>
    <w:p w:rsidR="00DD0DAB" w:rsidRDefault="00DD0DAB" w:rsidP="00CC2FB7">
      <w:pPr>
        <w:pStyle w:val="Default"/>
        <w:pageBreakBefore/>
        <w:jc w:val="center"/>
        <w:rPr>
          <w:rFonts w:ascii="Times New Roman" w:hAnsi="Times New Roman" w:cs="Times New Roman"/>
          <w:b/>
          <w:sz w:val="28"/>
          <w:szCs w:val="28"/>
        </w:rPr>
      </w:pPr>
      <w:r>
        <w:rPr>
          <w:rFonts w:ascii="Times New Roman" w:hAnsi="Times New Roman" w:cs="Times New Roman"/>
          <w:b/>
          <w:bCs/>
          <w:sz w:val="28"/>
          <w:szCs w:val="28"/>
        </w:rPr>
        <w:lastRenderedPageBreak/>
        <w:t>DŮVODOVÁ ZPRÁVA</w:t>
      </w:r>
    </w:p>
    <w:p w:rsidR="00CC2FB7" w:rsidRDefault="00CC2FB7" w:rsidP="00CC2FB7">
      <w:pPr>
        <w:pStyle w:val="Default"/>
        <w:ind w:left="426" w:hanging="428"/>
        <w:contextualSpacing/>
        <w:jc w:val="both"/>
        <w:rPr>
          <w:rFonts w:ascii="Times New Roman" w:hAnsi="Times New Roman" w:cs="Times New Roman"/>
          <w:b/>
          <w:bCs/>
          <w:sz w:val="28"/>
          <w:szCs w:val="28"/>
        </w:rPr>
      </w:pPr>
    </w:p>
    <w:p w:rsidR="00DD0DAB" w:rsidRDefault="00385244" w:rsidP="00CC2FB7">
      <w:pPr>
        <w:pStyle w:val="Default"/>
        <w:numPr>
          <w:ilvl w:val="0"/>
          <w:numId w:val="2"/>
        </w:numPr>
        <w:contextualSpacing/>
        <w:jc w:val="both"/>
        <w:rPr>
          <w:rFonts w:ascii="Times New Roman" w:hAnsi="Times New Roman" w:cs="Times New Roman"/>
          <w:b/>
          <w:sz w:val="28"/>
          <w:szCs w:val="28"/>
        </w:rPr>
      </w:pPr>
      <w:r>
        <w:rPr>
          <w:rFonts w:ascii="Times New Roman" w:hAnsi="Times New Roman" w:cs="Times New Roman"/>
          <w:b/>
          <w:bCs/>
          <w:sz w:val="28"/>
          <w:szCs w:val="28"/>
        </w:rPr>
        <w:t>OBECNÁ ČÁST</w:t>
      </w:r>
    </w:p>
    <w:p w:rsidR="00DD0DAB" w:rsidRDefault="00DD0DAB" w:rsidP="00CC2FB7">
      <w:pPr>
        <w:pStyle w:val="Default"/>
        <w:jc w:val="both"/>
        <w:rPr>
          <w:rFonts w:ascii="Times New Roman" w:hAnsi="Times New Roman" w:cs="Times New Roman"/>
          <w:b/>
          <w:bCs/>
          <w:sz w:val="23"/>
          <w:szCs w:val="23"/>
        </w:rPr>
      </w:pPr>
    </w:p>
    <w:p w:rsidR="00DD0DAB" w:rsidRPr="00CC2FB7" w:rsidRDefault="00DD0DAB" w:rsidP="00CC2FB7">
      <w:pPr>
        <w:pStyle w:val="Default"/>
        <w:jc w:val="both"/>
        <w:rPr>
          <w:rFonts w:ascii="Times New Roman" w:hAnsi="Times New Roman" w:cs="Times New Roman"/>
          <w:b/>
          <w:i/>
        </w:rPr>
      </w:pPr>
      <w:r w:rsidRPr="00CC2FB7">
        <w:rPr>
          <w:rFonts w:ascii="Times New Roman" w:hAnsi="Times New Roman" w:cs="Times New Roman"/>
          <w:b/>
          <w:bCs/>
          <w:i/>
        </w:rPr>
        <w:t xml:space="preserve">Název </w:t>
      </w:r>
    </w:p>
    <w:p w:rsidR="00DD0DAB" w:rsidRDefault="00DD0DAB"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color w:val="auto"/>
        </w:rPr>
      </w:pPr>
      <w:r>
        <w:rPr>
          <w:rFonts w:ascii="Times New Roman" w:hAnsi="Times New Roman" w:cs="Times New Roman"/>
        </w:rPr>
        <w:t xml:space="preserve">Zákon, </w:t>
      </w:r>
      <w:r w:rsidR="00034683" w:rsidRPr="00034683">
        <w:rPr>
          <w:rFonts w:ascii="Times New Roman" w:hAnsi="Times New Roman" w:cs="Times New Roman"/>
          <w:bCs/>
          <w:color w:val="auto"/>
        </w:rPr>
        <w:t>kterým se mění zákon č. 131/2000 Sb., o hlavním městě Praze, ve znění pozdějších předpisů</w:t>
      </w:r>
      <w:r w:rsidR="00034683">
        <w:rPr>
          <w:rFonts w:ascii="Times New Roman" w:hAnsi="Times New Roman" w:cs="Times New Roman"/>
          <w:bCs/>
          <w:color w:val="auto"/>
        </w:rPr>
        <w:t>.</w:t>
      </w:r>
      <w:r>
        <w:rPr>
          <w:rFonts w:ascii="Times New Roman" w:hAnsi="Times New Roman" w:cs="Times New Roman"/>
          <w:bCs/>
          <w:color w:val="auto"/>
        </w:rPr>
        <w:t xml:space="preserve"> </w:t>
      </w:r>
    </w:p>
    <w:p w:rsidR="00DD0DAB" w:rsidRDefault="00DD0DAB" w:rsidP="00CC2FB7">
      <w:pPr>
        <w:pStyle w:val="Default"/>
        <w:jc w:val="both"/>
        <w:rPr>
          <w:rFonts w:ascii="Times New Roman" w:hAnsi="Times New Roman" w:cs="Times New Roman"/>
          <w:bCs/>
        </w:rPr>
      </w:pPr>
    </w:p>
    <w:p w:rsidR="00CC2FB7" w:rsidRPr="00CC2FB7" w:rsidRDefault="00DD0DAB" w:rsidP="00CC2FB7">
      <w:pPr>
        <w:pStyle w:val="Default"/>
        <w:jc w:val="both"/>
        <w:rPr>
          <w:rFonts w:ascii="Times New Roman" w:hAnsi="Times New Roman" w:cs="Times New Roman"/>
          <w:b/>
          <w:i/>
        </w:rPr>
      </w:pPr>
      <w:r w:rsidRPr="00CC2FB7">
        <w:rPr>
          <w:rFonts w:ascii="Times New Roman" w:hAnsi="Times New Roman" w:cs="Times New Roman"/>
          <w:b/>
          <w:i/>
        </w:rPr>
        <w:t>Zhodnocení platného právního stavu, včetně zhodnocení současného vztahu k rovnosti mužů a žen</w:t>
      </w:r>
    </w:p>
    <w:p w:rsidR="00CC2FB7" w:rsidRDefault="00CC2FB7" w:rsidP="00CC2FB7">
      <w:pPr>
        <w:pStyle w:val="Default"/>
        <w:jc w:val="both"/>
        <w:rPr>
          <w:rFonts w:ascii="Times New Roman" w:hAnsi="Times New Roman" w:cs="Times New Roman"/>
          <w:color w:val="auto"/>
        </w:rPr>
      </w:pPr>
    </w:p>
    <w:p w:rsidR="00DD0DAB" w:rsidRDefault="00B06855" w:rsidP="00CC2FB7">
      <w:pPr>
        <w:pStyle w:val="Default"/>
        <w:jc w:val="both"/>
        <w:rPr>
          <w:rFonts w:ascii="Times New Roman" w:hAnsi="Times New Roman" w:cs="Times New Roman"/>
          <w:color w:val="auto"/>
        </w:rPr>
      </w:pPr>
      <w:r>
        <w:rPr>
          <w:rFonts w:ascii="Times New Roman" w:hAnsi="Times New Roman" w:cs="Times New Roman"/>
          <w:color w:val="auto"/>
        </w:rPr>
        <w:t>Podle současné právní úpravy účinné od 1. 9. 2003 vykonávají na území hlavního města Prahy až na</w:t>
      </w:r>
      <w:r w:rsidR="003B69B0">
        <w:rPr>
          <w:rFonts w:ascii="Times New Roman" w:hAnsi="Times New Roman" w:cs="Times New Roman"/>
          <w:color w:val="auto"/>
        </w:rPr>
        <w:t xml:space="preserve"> některé</w:t>
      </w:r>
      <w:r>
        <w:rPr>
          <w:rFonts w:ascii="Times New Roman" w:hAnsi="Times New Roman" w:cs="Times New Roman"/>
          <w:color w:val="auto"/>
        </w:rPr>
        <w:t xml:space="preserve"> výjimky uvedené v Příloze č. 4, položce č. 464 </w:t>
      </w:r>
      <w:r>
        <w:rPr>
          <w:rFonts w:ascii="Times New Roman" w:hAnsi="Times New Roman"/>
        </w:rPr>
        <w:t xml:space="preserve">obecně závazné vyhlášky č. 55/2000 Sb. hl. m. Prahy, kterou se vydává Statut hlavního města Prahy, ve znění pozdějších předpisů, </w:t>
      </w:r>
      <w:r>
        <w:rPr>
          <w:rFonts w:ascii="Times New Roman" w:hAnsi="Times New Roman" w:cs="Times New Roman"/>
          <w:color w:val="auto"/>
        </w:rPr>
        <w:t xml:space="preserve">působnost obecného stavebního </w:t>
      </w:r>
      <w:r w:rsidR="008C3D7C">
        <w:rPr>
          <w:rFonts w:ascii="Times New Roman" w:hAnsi="Times New Roman" w:cs="Times New Roman"/>
          <w:color w:val="auto"/>
        </w:rPr>
        <w:t>úřadu městské části Praha 1 až 22. Vůči těmto obecným stavebním úřadům městských částí vykonává pravomoc nadřízeného správního orgánu Magistrát hlavního města Prahy.</w:t>
      </w:r>
    </w:p>
    <w:p w:rsidR="008C3D7C" w:rsidRDefault="008C3D7C" w:rsidP="00CC2FB7">
      <w:pPr>
        <w:pStyle w:val="Default"/>
        <w:jc w:val="both"/>
        <w:rPr>
          <w:rFonts w:ascii="Times New Roman" w:hAnsi="Times New Roman" w:cs="Times New Roman"/>
          <w:color w:val="auto"/>
        </w:rPr>
      </w:pPr>
    </w:p>
    <w:p w:rsidR="00FB733A" w:rsidRDefault="00A54A5F" w:rsidP="00CC2FB7">
      <w:pPr>
        <w:pStyle w:val="Default"/>
        <w:jc w:val="both"/>
        <w:rPr>
          <w:rFonts w:ascii="Times New Roman" w:hAnsi="Times New Roman" w:cs="Times New Roman"/>
          <w:color w:val="auto"/>
        </w:rPr>
      </w:pPr>
      <w:r>
        <w:rPr>
          <w:rFonts w:ascii="Times New Roman" w:hAnsi="Times New Roman" w:cs="Times New Roman"/>
          <w:color w:val="auto"/>
        </w:rPr>
        <w:t xml:space="preserve">Úprava platná a účinná po 1. 9. 2003 souvisí s procesem reformy veřejné správy na přelomu tisíciletí, podle které měl být výkon státní správy co nejvíce přiblížen veřejnosti a výkon územního a navazujícího stavebního řízení byl svěřen obecním úřadům obcí s rozšířenou působností. Tato tzv. decentralizace se na území hlavního města Prahy projevila tak, že </w:t>
      </w:r>
      <w:r w:rsidR="008C3D7C">
        <w:rPr>
          <w:rFonts w:ascii="Times New Roman" w:hAnsi="Times New Roman" w:cs="Times New Roman"/>
          <w:color w:val="auto"/>
        </w:rPr>
        <w:t xml:space="preserve">byla působnost stavebního úřadu na úseku územního rozhodování a povolování staveb s určitými výjimkami obecně svěřena městským částem a působnost stavebního úřadu ve věci rozhodování o umístění staveb </w:t>
      </w:r>
      <w:r w:rsidR="00CF74DB">
        <w:rPr>
          <w:rFonts w:ascii="Times New Roman" w:hAnsi="Times New Roman" w:cs="Times New Roman"/>
          <w:color w:val="auto"/>
        </w:rPr>
        <w:t>celoměstského významu ponechána Magistrátu.</w:t>
      </w:r>
    </w:p>
    <w:p w:rsidR="00FB733A" w:rsidRDefault="00FB733A" w:rsidP="00CC2FB7">
      <w:pPr>
        <w:pStyle w:val="Default"/>
        <w:jc w:val="both"/>
        <w:rPr>
          <w:rFonts w:ascii="Times New Roman" w:hAnsi="Times New Roman" w:cs="Times New Roman"/>
          <w:color w:val="auto"/>
        </w:rPr>
      </w:pPr>
    </w:p>
    <w:p w:rsidR="00B225BA" w:rsidRDefault="00FB733A" w:rsidP="00CC2FB7">
      <w:pPr>
        <w:pStyle w:val="Default"/>
        <w:jc w:val="both"/>
        <w:rPr>
          <w:rFonts w:ascii="Times New Roman" w:hAnsi="Times New Roman" w:cs="Times New Roman"/>
          <w:color w:val="auto"/>
        </w:rPr>
      </w:pPr>
      <w:r>
        <w:rPr>
          <w:rFonts w:ascii="Times New Roman" w:hAnsi="Times New Roman" w:cs="Times New Roman"/>
          <w:color w:val="auto"/>
        </w:rPr>
        <w:t>P</w:t>
      </w:r>
      <w:r w:rsidR="001C577A">
        <w:rPr>
          <w:rFonts w:ascii="Times New Roman" w:hAnsi="Times New Roman" w:cs="Times New Roman"/>
          <w:color w:val="auto"/>
        </w:rPr>
        <w:t xml:space="preserve">ravomoci stavebního úřadu na úseku územního rozhodování </w:t>
      </w:r>
      <w:r>
        <w:rPr>
          <w:rFonts w:ascii="Times New Roman" w:hAnsi="Times New Roman" w:cs="Times New Roman"/>
          <w:color w:val="auto"/>
        </w:rPr>
        <w:t xml:space="preserve">vymezuje </w:t>
      </w:r>
      <w:r w:rsidR="001C577A">
        <w:rPr>
          <w:rFonts w:ascii="Times New Roman" w:hAnsi="Times New Roman" w:cs="Times New Roman"/>
          <w:color w:val="auto"/>
        </w:rPr>
        <w:t>zákon č. 186/2006, o územním plánování a stavebním řádu (stavební zákon), ve znění pozdějších předpisů</w:t>
      </w:r>
      <w:r w:rsidR="00B225BA">
        <w:rPr>
          <w:rFonts w:ascii="Times New Roman" w:hAnsi="Times New Roman" w:cs="Times New Roman"/>
          <w:color w:val="auto"/>
        </w:rPr>
        <w:t>, a to konkrétně v ustanovení § 6 odst. 3 písm. a) zákona, podle kterého obecní úřad, který je stavebním úřadem, vydává mj. také rozhodnutí a provádí jiná opatření podle části třetí hlavy III dílů 4 a 5 stavebního zákona, není-li dále stanoveno jinak, tedy např. územní souhlas, zjednodušené územní řízení aj. Podle ustanovení § 13 odst. 1 písm. c) stavebního zákona je pak obecným stavebním úřadem obecní úřad obce s rozšířenou působností. Působnost podle stavebního zákona je podle citovaného zákonného ustanovení působností přenesenou.</w:t>
      </w:r>
    </w:p>
    <w:p w:rsidR="00B225BA" w:rsidRDefault="00B225BA" w:rsidP="00CC2FB7">
      <w:pPr>
        <w:pStyle w:val="Default"/>
        <w:jc w:val="both"/>
        <w:rPr>
          <w:rFonts w:ascii="Times New Roman" w:hAnsi="Times New Roman" w:cs="Times New Roman"/>
          <w:color w:val="auto"/>
        </w:rPr>
      </w:pPr>
    </w:p>
    <w:p w:rsidR="00B225BA" w:rsidRDefault="00B225BA" w:rsidP="00CC2FB7">
      <w:pPr>
        <w:pStyle w:val="Default"/>
        <w:jc w:val="both"/>
        <w:rPr>
          <w:rFonts w:ascii="Times New Roman" w:hAnsi="Times New Roman" w:cs="Times New Roman"/>
          <w:color w:val="auto"/>
        </w:rPr>
      </w:pPr>
      <w:r>
        <w:rPr>
          <w:rFonts w:ascii="Times New Roman" w:hAnsi="Times New Roman" w:cs="Times New Roman"/>
          <w:color w:val="auto"/>
        </w:rPr>
        <w:t xml:space="preserve">Přenesenou působnost, jež je zvláštním zákonem svěřena orgánům obcí, orgánům obcí s pověřeným obecním úřadem a orgánům obcí s rozšířenou působností, vykonávají podle ustanovení § 31 odst. 2 </w:t>
      </w:r>
      <w:r w:rsidRPr="00B225BA">
        <w:rPr>
          <w:rFonts w:ascii="Times New Roman" w:hAnsi="Times New Roman" w:cs="Times New Roman"/>
          <w:color w:val="auto"/>
        </w:rPr>
        <w:t>zákon</w:t>
      </w:r>
      <w:r>
        <w:rPr>
          <w:rFonts w:ascii="Times New Roman" w:hAnsi="Times New Roman" w:cs="Times New Roman"/>
          <w:color w:val="auto"/>
        </w:rPr>
        <w:t>a</w:t>
      </w:r>
      <w:r w:rsidRPr="00B225BA">
        <w:rPr>
          <w:rFonts w:ascii="Times New Roman" w:hAnsi="Times New Roman" w:cs="Times New Roman"/>
          <w:color w:val="auto"/>
        </w:rPr>
        <w:t xml:space="preserve"> č. 131/2000 Sb., o hlavním městě Praze, ve znění pozdějších předpisů</w:t>
      </w:r>
      <w:r>
        <w:rPr>
          <w:rFonts w:ascii="Times New Roman" w:hAnsi="Times New Roman" w:cs="Times New Roman"/>
          <w:color w:val="auto"/>
        </w:rPr>
        <w:t xml:space="preserve">, orgány hlavního města Prahy. </w:t>
      </w:r>
      <w:r w:rsidR="00520F78">
        <w:rPr>
          <w:rFonts w:ascii="Times New Roman" w:hAnsi="Times New Roman" w:cs="Times New Roman"/>
          <w:color w:val="auto"/>
        </w:rPr>
        <w:t>Přenesenou působnost hlavního města Prahy pak podle § 81 odst. 3 zákona vykonává Magistrát hlavního města Prahy, není-li zákonem o hlavním městě Praze nebo zvláštním zákonem svěřena jiným orgánům hlavního města Prahy. Podle § 2 odst. 3 zákona o hlavním městě Praze je v případě, že zákon svěří orgánům hlavního města Prahy výkon státní správy, správním obvodem celé území hlavního města.</w:t>
      </w:r>
    </w:p>
    <w:p w:rsidR="004C0A52" w:rsidRDefault="004C0A52" w:rsidP="00CC2FB7">
      <w:pPr>
        <w:pStyle w:val="Default"/>
        <w:jc w:val="both"/>
        <w:rPr>
          <w:rFonts w:ascii="Times New Roman" w:hAnsi="Times New Roman" w:cs="Times New Roman"/>
          <w:color w:val="auto"/>
        </w:rPr>
      </w:pPr>
    </w:p>
    <w:p w:rsidR="0064549E" w:rsidRDefault="0064549E" w:rsidP="00CC2FB7">
      <w:pPr>
        <w:pStyle w:val="Default"/>
        <w:jc w:val="both"/>
        <w:rPr>
          <w:rFonts w:ascii="Times New Roman" w:hAnsi="Times New Roman" w:cs="Times New Roman"/>
          <w:color w:val="auto"/>
        </w:rPr>
      </w:pPr>
      <w:r>
        <w:rPr>
          <w:rFonts w:ascii="Times New Roman" w:hAnsi="Times New Roman" w:cs="Times New Roman"/>
          <w:color w:val="auto"/>
        </w:rPr>
        <w:t xml:space="preserve">V souladu se současným zněním zákona o hlavním městě Praze lze podle ustanovení § 32 výkon přenesené působnosti svěřit městským částem hlavního města Prahy, přičemž platí, že orgány městských částí vykonávají přenesenou působnost v rozsahu, který stanoví zákon o hlavním městě Praze a rovněž v mezích zákona Statut hlavního města Prahy. </w:t>
      </w:r>
    </w:p>
    <w:p w:rsidR="0064549E" w:rsidRDefault="0064549E" w:rsidP="00CC2FB7">
      <w:pPr>
        <w:pStyle w:val="Default"/>
        <w:jc w:val="both"/>
        <w:rPr>
          <w:rFonts w:ascii="Times New Roman" w:hAnsi="Times New Roman" w:cs="Times New Roman"/>
          <w:color w:val="auto"/>
        </w:rPr>
      </w:pPr>
    </w:p>
    <w:p w:rsidR="004C0A52" w:rsidRDefault="0064549E" w:rsidP="00CC2FB7">
      <w:pPr>
        <w:pStyle w:val="Default"/>
        <w:jc w:val="both"/>
        <w:rPr>
          <w:rFonts w:ascii="Times New Roman" w:hAnsi="Times New Roman" w:cs="Times New Roman"/>
          <w:color w:val="auto"/>
        </w:rPr>
      </w:pPr>
      <w:r>
        <w:rPr>
          <w:rFonts w:ascii="Times New Roman" w:hAnsi="Times New Roman" w:cs="Times New Roman"/>
          <w:color w:val="auto"/>
        </w:rPr>
        <w:lastRenderedPageBreak/>
        <w:t>Konkrétně pak ustanovení § 32 odst. 1 stanoví, že „</w:t>
      </w:r>
      <w:r w:rsidRPr="0064549E">
        <w:rPr>
          <w:rFonts w:ascii="Times New Roman" w:hAnsi="Times New Roman" w:cs="Times New Roman"/>
          <w:i/>
          <w:color w:val="auto"/>
        </w:rPr>
        <w:t>orgány městské části vykonávají přenesenou působnost městské části v rozsahu stanoveném zákonem a v mezích zákona Statutem</w:t>
      </w:r>
      <w:r>
        <w:rPr>
          <w:rFonts w:ascii="Times New Roman" w:hAnsi="Times New Roman" w:cs="Times New Roman"/>
          <w:color w:val="auto"/>
        </w:rPr>
        <w:t>.“ Ustanovení § 32. odst. 2 pak stanovuje, že „</w:t>
      </w:r>
      <w:r w:rsidRPr="0064549E">
        <w:rPr>
          <w:rFonts w:ascii="Times New Roman" w:hAnsi="Times New Roman" w:cs="Times New Roman"/>
          <w:i/>
          <w:color w:val="auto"/>
        </w:rPr>
        <w:t>orgánům městských částí lze v mezích zákona svěřit Statutem přenesenou působnost, která je zvláštním zákonem svěřena orgánům obcí, orgánům obcí s pověřeným obecním úřadem nebo orgánům obcí s rozšířenou působností, není-li dále stanoveno jinak</w:t>
      </w:r>
      <w:r w:rsidRPr="0064549E">
        <w:rPr>
          <w:rFonts w:ascii="Times New Roman" w:hAnsi="Times New Roman" w:cs="Times New Roman"/>
          <w:color w:val="auto"/>
        </w:rPr>
        <w:t>.</w:t>
      </w:r>
      <w:r>
        <w:rPr>
          <w:rFonts w:ascii="Times New Roman" w:hAnsi="Times New Roman" w:cs="Times New Roman"/>
          <w:color w:val="auto"/>
        </w:rPr>
        <w:t>“</w:t>
      </w:r>
    </w:p>
    <w:p w:rsidR="0064549E" w:rsidRDefault="0064549E" w:rsidP="00CC2FB7">
      <w:pPr>
        <w:pStyle w:val="Default"/>
        <w:jc w:val="both"/>
        <w:rPr>
          <w:rFonts w:ascii="Times New Roman" w:hAnsi="Times New Roman" w:cs="Times New Roman"/>
          <w:color w:val="auto"/>
        </w:rPr>
      </w:pPr>
    </w:p>
    <w:p w:rsidR="0064549E" w:rsidRDefault="0064549E" w:rsidP="00752B7F">
      <w:pPr>
        <w:pStyle w:val="Default"/>
        <w:jc w:val="both"/>
        <w:rPr>
          <w:rFonts w:ascii="Times New Roman" w:hAnsi="Times New Roman" w:cs="Times New Roman"/>
          <w:color w:val="auto"/>
        </w:rPr>
      </w:pPr>
      <w:r>
        <w:rPr>
          <w:rFonts w:ascii="Times New Roman" w:hAnsi="Times New Roman" w:cs="Times New Roman"/>
          <w:color w:val="auto"/>
        </w:rPr>
        <w:t xml:space="preserve">Oprávnění (nikoliv však povinnost) svěřit orgánům městských částí působnost na </w:t>
      </w:r>
      <w:r w:rsidR="00752B7F">
        <w:rPr>
          <w:rFonts w:ascii="Times New Roman" w:hAnsi="Times New Roman" w:cs="Times New Roman"/>
          <w:color w:val="auto"/>
        </w:rPr>
        <w:t>úsecích</w:t>
      </w:r>
      <w:r>
        <w:rPr>
          <w:rFonts w:ascii="Times New Roman" w:hAnsi="Times New Roman" w:cs="Times New Roman"/>
          <w:color w:val="auto"/>
        </w:rPr>
        <w:t xml:space="preserve"> územního rozhodování </w:t>
      </w:r>
      <w:r w:rsidR="00752B7F">
        <w:rPr>
          <w:rFonts w:ascii="Times New Roman" w:hAnsi="Times New Roman" w:cs="Times New Roman"/>
          <w:color w:val="auto"/>
        </w:rPr>
        <w:t xml:space="preserve">a povolování staveb </w:t>
      </w:r>
      <w:r>
        <w:rPr>
          <w:rFonts w:ascii="Times New Roman" w:hAnsi="Times New Roman" w:cs="Times New Roman"/>
          <w:color w:val="auto"/>
        </w:rPr>
        <w:t xml:space="preserve">využívá hlavní město Praha v platném a účinném znění Statutu hlavního města, konkrétně pak v ustanovení § 4 odst. 1 Statutu hlavního města Prahy. V tomto ustanovení Statut hlavního města Prahy odkazuje na </w:t>
      </w:r>
      <w:r w:rsidR="00752B7F">
        <w:rPr>
          <w:rFonts w:ascii="Times New Roman" w:hAnsi="Times New Roman" w:cs="Times New Roman"/>
          <w:color w:val="auto"/>
        </w:rPr>
        <w:t>P</w:t>
      </w:r>
      <w:r>
        <w:rPr>
          <w:rFonts w:ascii="Times New Roman" w:hAnsi="Times New Roman" w:cs="Times New Roman"/>
          <w:color w:val="auto"/>
        </w:rPr>
        <w:t>říloh</w:t>
      </w:r>
      <w:r w:rsidR="00752B7F">
        <w:rPr>
          <w:rFonts w:ascii="Times New Roman" w:hAnsi="Times New Roman" w:cs="Times New Roman"/>
          <w:color w:val="auto"/>
        </w:rPr>
        <w:t>y</w:t>
      </w:r>
      <w:r>
        <w:rPr>
          <w:rFonts w:ascii="Times New Roman" w:hAnsi="Times New Roman" w:cs="Times New Roman"/>
          <w:color w:val="auto"/>
        </w:rPr>
        <w:t xml:space="preserve"> č. 4 Statutu hlavního města Prahy, ve které jsou taxativně obsaženy konkrétní </w:t>
      </w:r>
      <w:r w:rsidR="00752B7F">
        <w:rPr>
          <w:rFonts w:ascii="Times New Roman" w:hAnsi="Times New Roman" w:cs="Times New Roman"/>
          <w:color w:val="auto"/>
        </w:rPr>
        <w:t>záležitosti, které hlavní město</w:t>
      </w:r>
      <w:r>
        <w:rPr>
          <w:rFonts w:ascii="Times New Roman" w:hAnsi="Times New Roman" w:cs="Times New Roman"/>
          <w:color w:val="auto"/>
        </w:rPr>
        <w:t xml:space="preserve"> </w:t>
      </w:r>
      <w:r w:rsidR="00752B7F" w:rsidRPr="00752B7F">
        <w:rPr>
          <w:rFonts w:ascii="Times New Roman" w:hAnsi="Times New Roman" w:cs="Times New Roman"/>
          <w:color w:val="auto"/>
        </w:rPr>
        <w:t>svěřuj</w:t>
      </w:r>
      <w:r w:rsidR="00752B7F">
        <w:rPr>
          <w:rFonts w:ascii="Times New Roman" w:hAnsi="Times New Roman" w:cs="Times New Roman"/>
          <w:color w:val="auto"/>
        </w:rPr>
        <w:t>e</w:t>
      </w:r>
      <w:r w:rsidR="00752B7F" w:rsidRPr="00752B7F">
        <w:rPr>
          <w:rFonts w:ascii="Times New Roman" w:hAnsi="Times New Roman" w:cs="Times New Roman"/>
          <w:color w:val="auto"/>
        </w:rPr>
        <w:t xml:space="preserve"> do přenesené působnosti městských částí uvedených v § 4 odst. 1</w:t>
      </w:r>
      <w:r w:rsidR="00752B7F">
        <w:rPr>
          <w:rFonts w:ascii="Times New Roman" w:hAnsi="Times New Roman" w:cs="Times New Roman"/>
          <w:color w:val="auto"/>
        </w:rPr>
        <w:t xml:space="preserve"> </w:t>
      </w:r>
      <w:r w:rsidR="00752B7F" w:rsidRPr="00752B7F">
        <w:rPr>
          <w:rFonts w:ascii="Times New Roman" w:hAnsi="Times New Roman" w:cs="Times New Roman"/>
          <w:color w:val="auto"/>
        </w:rPr>
        <w:t>nad rozsah stanovený zákonem</w:t>
      </w:r>
      <w:r w:rsidR="00752B7F">
        <w:rPr>
          <w:rFonts w:ascii="Times New Roman" w:hAnsi="Times New Roman" w:cs="Times New Roman"/>
          <w:color w:val="auto"/>
        </w:rPr>
        <w:t xml:space="preserve">. Položka č. 464 </w:t>
      </w:r>
      <w:r w:rsidR="006A6A82">
        <w:rPr>
          <w:rFonts w:ascii="Times New Roman" w:hAnsi="Times New Roman" w:cs="Times New Roman"/>
          <w:color w:val="auto"/>
        </w:rPr>
        <w:t>Přílohy č. 4 Statutu hlavního města Prahy svěřuje městským částem „</w:t>
      </w:r>
      <w:r w:rsidR="006A6A82">
        <w:rPr>
          <w:rFonts w:ascii="Times New Roman" w:hAnsi="Times New Roman" w:cs="Times New Roman"/>
          <w:i/>
          <w:color w:val="auto"/>
        </w:rPr>
        <w:t>výkon působnosti obecného stavebního úřadu s výjimkou světelných signalizačních zařízení a nosných konstrukcí pro dopravně informační systémy a dopravní značení.</w:t>
      </w:r>
      <w:r w:rsidR="006A6A82">
        <w:rPr>
          <w:rFonts w:ascii="Times New Roman" w:hAnsi="Times New Roman" w:cs="Times New Roman"/>
          <w:color w:val="auto"/>
        </w:rPr>
        <w:t>“</w:t>
      </w:r>
    </w:p>
    <w:p w:rsidR="006A6A82" w:rsidRDefault="006A6A82" w:rsidP="00752B7F">
      <w:pPr>
        <w:pStyle w:val="Default"/>
        <w:jc w:val="both"/>
        <w:rPr>
          <w:rFonts w:ascii="Times New Roman" w:hAnsi="Times New Roman" w:cs="Times New Roman"/>
          <w:color w:val="auto"/>
        </w:rPr>
      </w:pPr>
    </w:p>
    <w:p w:rsidR="006A6A82" w:rsidRDefault="006A6A82" w:rsidP="00752B7F">
      <w:pPr>
        <w:pStyle w:val="Default"/>
        <w:jc w:val="both"/>
        <w:rPr>
          <w:rFonts w:ascii="Times New Roman" w:hAnsi="Times New Roman" w:cs="Times New Roman"/>
          <w:color w:val="auto"/>
        </w:rPr>
      </w:pPr>
      <w:r>
        <w:rPr>
          <w:rFonts w:ascii="Times New Roman" w:hAnsi="Times New Roman" w:cs="Times New Roman"/>
          <w:color w:val="auto"/>
        </w:rPr>
        <w:t>Statut hlavního města Prahy v ustanovení § 4 odst. 2 až 23 stanoví, že příslušné městské části vykonávají svěřenou přenesenou působnost na svém území. Z hlediska místní příslušnosti jsou orgány městských částí místně příslušné na základě místa, kde se nachází pozemek, na kterém má být příslušný záměr umístěn.</w:t>
      </w:r>
    </w:p>
    <w:p w:rsidR="006A6A82" w:rsidRDefault="006A6A82" w:rsidP="00752B7F">
      <w:pPr>
        <w:pStyle w:val="Default"/>
        <w:jc w:val="both"/>
        <w:rPr>
          <w:rFonts w:ascii="Times New Roman" w:hAnsi="Times New Roman" w:cs="Times New Roman"/>
          <w:color w:val="auto"/>
        </w:rPr>
      </w:pPr>
    </w:p>
    <w:p w:rsidR="0064549E" w:rsidRDefault="003B69B0" w:rsidP="00CC2FB7">
      <w:pPr>
        <w:pStyle w:val="Default"/>
        <w:jc w:val="both"/>
        <w:rPr>
          <w:rFonts w:ascii="Times New Roman" w:hAnsi="Times New Roman" w:cs="Times New Roman"/>
          <w:color w:val="auto"/>
        </w:rPr>
      </w:pPr>
      <w:r>
        <w:rPr>
          <w:rFonts w:ascii="Times New Roman" w:hAnsi="Times New Roman" w:cs="Times New Roman"/>
          <w:color w:val="auto"/>
        </w:rPr>
        <w:t>Rozhodnutí a jiná opatření, které vydávají orgány městských částí v prvním stupni, přezkoumává podle současné právní úpravy na základě ustanovení § 81 odst. 3 písm. a) zákona o hlavním městě Praze a ustanovení § 178 odst. 1 zákona č. 500/2004 Sb., správní řad, ve znění pozdějších předpisů, Magistrát hlavního města Prahy.</w:t>
      </w:r>
    </w:p>
    <w:p w:rsidR="008C3D7C" w:rsidRDefault="008C3D7C" w:rsidP="00CC2FB7">
      <w:pPr>
        <w:pStyle w:val="Default"/>
        <w:jc w:val="both"/>
        <w:rPr>
          <w:rFonts w:ascii="Times New Roman" w:hAnsi="Times New Roman" w:cs="Times New Roman"/>
          <w:color w:val="auto"/>
        </w:rPr>
      </w:pPr>
    </w:p>
    <w:p w:rsidR="008C3D7C" w:rsidRDefault="008C3D7C" w:rsidP="00CC2FB7">
      <w:pPr>
        <w:pStyle w:val="Default"/>
        <w:jc w:val="both"/>
        <w:rPr>
          <w:rFonts w:ascii="Times New Roman" w:hAnsi="Times New Roman" w:cs="Times New Roman"/>
          <w:color w:val="auto"/>
        </w:rPr>
      </w:pPr>
      <w:r>
        <w:rPr>
          <w:rFonts w:ascii="Times New Roman" w:hAnsi="Times New Roman" w:cs="Times New Roman"/>
          <w:color w:val="auto"/>
        </w:rPr>
        <w:t>Současná právní úprava nemá negativní vztah k rovnosti mužů a žen.</w:t>
      </w:r>
    </w:p>
    <w:p w:rsidR="00034683" w:rsidRDefault="00034683" w:rsidP="00CC2FB7">
      <w:pPr>
        <w:pStyle w:val="Default"/>
        <w:jc w:val="both"/>
        <w:rPr>
          <w:rFonts w:ascii="Times New Roman" w:hAnsi="Times New Roman" w:cs="Times New Roman"/>
          <w:color w:val="auto"/>
        </w:rPr>
      </w:pPr>
    </w:p>
    <w:p w:rsidR="00CC2FB7" w:rsidRPr="00CC2FB7" w:rsidRDefault="00CC2FB7" w:rsidP="00CC2FB7">
      <w:pPr>
        <w:pStyle w:val="Default"/>
        <w:jc w:val="both"/>
        <w:rPr>
          <w:rFonts w:ascii="Times New Roman" w:hAnsi="Times New Roman" w:cs="Times New Roman"/>
          <w:b/>
          <w:i/>
          <w:color w:val="auto"/>
        </w:rPr>
      </w:pPr>
      <w:r w:rsidRPr="00CC2FB7">
        <w:rPr>
          <w:rFonts w:ascii="Times New Roman" w:hAnsi="Times New Roman" w:cs="Times New Roman"/>
          <w:b/>
          <w:i/>
          <w:color w:val="auto"/>
        </w:rPr>
        <w:t>Nezbytnost právní úpravy</w:t>
      </w:r>
    </w:p>
    <w:p w:rsidR="00CC2FB7" w:rsidRDefault="00CC2FB7" w:rsidP="00CC2FB7">
      <w:pPr>
        <w:pStyle w:val="Default"/>
        <w:jc w:val="both"/>
        <w:rPr>
          <w:rFonts w:ascii="Times New Roman" w:hAnsi="Times New Roman" w:cs="Times New Roman"/>
          <w:color w:val="auto"/>
        </w:rPr>
      </w:pPr>
    </w:p>
    <w:p w:rsidR="00A54A5F" w:rsidRDefault="003B69B0" w:rsidP="007D5C04">
      <w:pPr>
        <w:pStyle w:val="Default"/>
        <w:jc w:val="both"/>
        <w:rPr>
          <w:rFonts w:ascii="Times New Roman" w:hAnsi="Times New Roman" w:cs="Times New Roman"/>
          <w:color w:val="auto"/>
        </w:rPr>
      </w:pPr>
      <w:r>
        <w:rPr>
          <w:rFonts w:ascii="Times New Roman" w:hAnsi="Times New Roman" w:cs="Times New Roman"/>
          <w:color w:val="auto"/>
        </w:rPr>
        <w:t>Současná právní úprava dlouhodobě vyvolává spekulace</w:t>
      </w:r>
      <w:r w:rsidR="007D5C04">
        <w:rPr>
          <w:rFonts w:ascii="Times New Roman" w:hAnsi="Times New Roman" w:cs="Times New Roman"/>
          <w:color w:val="auto"/>
        </w:rPr>
        <w:t xml:space="preserve"> o nezávislosti rozhodování odpovědných úředníků zařazených v orgánech městských částí</w:t>
      </w:r>
      <w:r w:rsidR="00FC6E2D">
        <w:rPr>
          <w:rFonts w:ascii="Times New Roman" w:hAnsi="Times New Roman" w:cs="Times New Roman"/>
          <w:color w:val="auto"/>
        </w:rPr>
        <w:t>, jež jsou obecným stavebním úřadem</w:t>
      </w:r>
      <w:r w:rsidR="007D5C04">
        <w:rPr>
          <w:rFonts w:ascii="Times New Roman" w:hAnsi="Times New Roman" w:cs="Times New Roman"/>
          <w:color w:val="auto"/>
        </w:rPr>
        <w:t xml:space="preserve">. Podezření, že tito úředníci nejsou při výkonu své činnosti </w:t>
      </w:r>
      <w:r w:rsidR="008C3D2D">
        <w:rPr>
          <w:rFonts w:ascii="Times New Roman" w:hAnsi="Times New Roman" w:cs="Times New Roman"/>
          <w:color w:val="auto"/>
        </w:rPr>
        <w:t xml:space="preserve">v rámci územního rozhodování, tedy postupu podle části třetí hlavy III dílů 4 a 5 stavebního zákona, </w:t>
      </w:r>
      <w:r w:rsidR="007D5C04">
        <w:rPr>
          <w:rFonts w:ascii="Times New Roman" w:hAnsi="Times New Roman" w:cs="Times New Roman"/>
          <w:color w:val="auto"/>
        </w:rPr>
        <w:t>skutečně nezávislí na politických vlivech a těmto vlivům mohou při své činnosti podléhat, vedl v minulosti celou řadu odborníků k vyslovení požadavku, aby se</w:t>
      </w:r>
      <w:r w:rsidR="00A54A5F">
        <w:rPr>
          <w:rFonts w:ascii="Times New Roman" w:hAnsi="Times New Roman" w:cs="Times New Roman"/>
          <w:color w:val="auto"/>
        </w:rPr>
        <w:t xml:space="preserve"> územní</w:t>
      </w:r>
      <w:r w:rsidR="007D5C04">
        <w:rPr>
          <w:rFonts w:ascii="Times New Roman" w:hAnsi="Times New Roman" w:cs="Times New Roman"/>
          <w:color w:val="auto"/>
        </w:rPr>
        <w:t xml:space="preserve"> rozhodování přeneslo zpět na Magistrát hlavního města Prahy. </w:t>
      </w:r>
    </w:p>
    <w:p w:rsidR="00A54A5F" w:rsidRDefault="00A54A5F" w:rsidP="007D5C04">
      <w:pPr>
        <w:pStyle w:val="Default"/>
        <w:jc w:val="both"/>
        <w:rPr>
          <w:rFonts w:ascii="Times New Roman" w:hAnsi="Times New Roman" w:cs="Times New Roman"/>
          <w:color w:val="auto"/>
        </w:rPr>
      </w:pPr>
    </w:p>
    <w:p w:rsidR="00CC2FB7" w:rsidRDefault="007D5C04" w:rsidP="007D5C04">
      <w:pPr>
        <w:pStyle w:val="Default"/>
        <w:jc w:val="both"/>
        <w:rPr>
          <w:rFonts w:ascii="Times New Roman" w:hAnsi="Times New Roman" w:cs="Times New Roman"/>
          <w:color w:val="auto"/>
        </w:rPr>
      </w:pPr>
      <w:r>
        <w:rPr>
          <w:rFonts w:ascii="Times New Roman" w:hAnsi="Times New Roman" w:cs="Times New Roman"/>
          <w:color w:val="auto"/>
        </w:rPr>
        <w:t>K tomuto požadavku se veřejně přihlásilo i vedení Institutu plánování a rozvoje hlavního města Prahy</w:t>
      </w:r>
      <w:r w:rsidR="00A54A5F">
        <w:rPr>
          <w:rFonts w:ascii="Times New Roman" w:hAnsi="Times New Roman" w:cs="Times New Roman"/>
          <w:color w:val="auto"/>
        </w:rPr>
        <w:t xml:space="preserve"> a rovněž i</w:t>
      </w:r>
      <w:r>
        <w:rPr>
          <w:rFonts w:ascii="Times New Roman" w:hAnsi="Times New Roman" w:cs="Times New Roman"/>
          <w:color w:val="auto"/>
        </w:rPr>
        <w:t xml:space="preserve"> politické strany, které po volbách do Zastupitelstva hlavního města Prahy v říjnu roku 2018 sestavily koalici a ujmuly se vedení hlavního města Prahy ve volebním období 2018-2022.</w:t>
      </w:r>
    </w:p>
    <w:p w:rsidR="007D5C04" w:rsidRDefault="007D5C04" w:rsidP="007D5C04">
      <w:pPr>
        <w:pStyle w:val="Default"/>
        <w:jc w:val="both"/>
        <w:rPr>
          <w:rFonts w:ascii="Times New Roman" w:hAnsi="Times New Roman" w:cs="Times New Roman"/>
          <w:color w:val="auto"/>
        </w:rPr>
      </w:pPr>
    </w:p>
    <w:p w:rsidR="00FC6E2D" w:rsidRDefault="007D5C04" w:rsidP="00FC6E2D">
      <w:pPr>
        <w:pStyle w:val="Default"/>
        <w:jc w:val="both"/>
        <w:rPr>
          <w:rFonts w:ascii="Times New Roman" w:hAnsi="Times New Roman" w:cs="Times New Roman"/>
          <w:color w:val="auto"/>
        </w:rPr>
      </w:pPr>
      <w:r>
        <w:rPr>
          <w:rFonts w:ascii="Times New Roman" w:hAnsi="Times New Roman" w:cs="Times New Roman"/>
          <w:color w:val="auto"/>
        </w:rPr>
        <w:t xml:space="preserve">Požadavek na opětovnou centralizaci </w:t>
      </w:r>
      <w:r w:rsidR="00A54A5F">
        <w:rPr>
          <w:rFonts w:ascii="Times New Roman" w:hAnsi="Times New Roman" w:cs="Times New Roman"/>
          <w:color w:val="auto"/>
        </w:rPr>
        <w:t xml:space="preserve">územního </w:t>
      </w:r>
      <w:r>
        <w:rPr>
          <w:rFonts w:ascii="Times New Roman" w:hAnsi="Times New Roman" w:cs="Times New Roman"/>
          <w:color w:val="auto"/>
        </w:rPr>
        <w:t>rozhodování</w:t>
      </w:r>
      <w:r w:rsidR="00A54A5F">
        <w:rPr>
          <w:rFonts w:ascii="Times New Roman" w:hAnsi="Times New Roman" w:cs="Times New Roman"/>
          <w:color w:val="auto"/>
        </w:rPr>
        <w:t xml:space="preserve"> na území hlavního města Prahy</w:t>
      </w:r>
      <w:r>
        <w:rPr>
          <w:rFonts w:ascii="Times New Roman" w:hAnsi="Times New Roman" w:cs="Times New Roman"/>
          <w:color w:val="auto"/>
        </w:rPr>
        <w:t xml:space="preserve"> podporuje i skutečnost, že se dlouhodobě nedaří personálně zajistit činnost dvaadvaceti stavebních úřadů na úrovni městských částí hlavního města, což vede ke stavu, kdy je rozhodování vleklé a nedostatečně profesionální.</w:t>
      </w:r>
      <w:r w:rsidR="003D5B5C">
        <w:rPr>
          <w:rFonts w:ascii="Times New Roman" w:hAnsi="Times New Roman" w:cs="Times New Roman"/>
          <w:color w:val="auto"/>
        </w:rPr>
        <w:t xml:space="preserve"> To způsobuje </w:t>
      </w:r>
      <w:r w:rsidR="00FC6E2D">
        <w:rPr>
          <w:rFonts w:ascii="Times New Roman" w:hAnsi="Times New Roman" w:cs="Times New Roman"/>
          <w:color w:val="auto"/>
        </w:rPr>
        <w:t xml:space="preserve">mj. </w:t>
      </w:r>
      <w:r w:rsidR="003D5B5C">
        <w:rPr>
          <w:rFonts w:ascii="Times New Roman" w:hAnsi="Times New Roman" w:cs="Times New Roman"/>
          <w:color w:val="auto"/>
        </w:rPr>
        <w:t>nepřijatelné zdržování procesu rozhodování, které jde k tíži fyzických i právnických osob působících na území hlavního města.</w:t>
      </w:r>
    </w:p>
    <w:p w:rsidR="00FC6E2D" w:rsidRDefault="00FC6E2D" w:rsidP="00FC6E2D">
      <w:pPr>
        <w:pStyle w:val="Default"/>
        <w:jc w:val="both"/>
        <w:rPr>
          <w:rFonts w:ascii="Times New Roman" w:hAnsi="Times New Roman" w:cs="Times New Roman"/>
          <w:b/>
          <w:i/>
        </w:rPr>
      </w:pPr>
    </w:p>
    <w:p w:rsidR="00CC2FB7" w:rsidRPr="001E3430" w:rsidRDefault="00DD0DAB" w:rsidP="00FC6E2D">
      <w:pPr>
        <w:pStyle w:val="Default"/>
        <w:jc w:val="both"/>
        <w:rPr>
          <w:rFonts w:ascii="Times New Roman" w:hAnsi="Times New Roman" w:cs="Times New Roman"/>
          <w:b/>
          <w:i/>
        </w:rPr>
      </w:pPr>
      <w:r w:rsidRPr="001E3430">
        <w:rPr>
          <w:rFonts w:ascii="Times New Roman" w:hAnsi="Times New Roman" w:cs="Times New Roman"/>
          <w:b/>
          <w:i/>
        </w:rPr>
        <w:lastRenderedPageBreak/>
        <w:t>Odůvodnění hlavních principů navrhované právní úpravy, včetně dopadů navrhovaného řešení ve vztahu k rovnosti mužů a žen a vysvětlení její nezbytnosti jako celku</w:t>
      </w:r>
    </w:p>
    <w:p w:rsidR="00CC2FB7" w:rsidRDefault="00CC2FB7" w:rsidP="00CC2FB7">
      <w:pPr>
        <w:pStyle w:val="Default"/>
        <w:keepNext/>
        <w:jc w:val="both"/>
        <w:rPr>
          <w:rFonts w:ascii="Times New Roman" w:hAnsi="Times New Roman" w:cs="Times New Roman"/>
          <w:b/>
        </w:rPr>
      </w:pPr>
    </w:p>
    <w:p w:rsidR="00A54A5F" w:rsidRDefault="00FB733A" w:rsidP="00FB733A">
      <w:pPr>
        <w:pStyle w:val="Default"/>
        <w:contextualSpacing/>
        <w:jc w:val="both"/>
        <w:rPr>
          <w:rFonts w:ascii="Times New Roman" w:hAnsi="Times New Roman"/>
        </w:rPr>
      </w:pPr>
      <w:r>
        <w:rPr>
          <w:rFonts w:ascii="Times New Roman" w:hAnsi="Times New Roman"/>
        </w:rPr>
        <w:t>Navrhovaná právní úprava</w:t>
      </w:r>
      <w:r w:rsidR="00A54A5F">
        <w:rPr>
          <w:rFonts w:ascii="Times New Roman" w:hAnsi="Times New Roman"/>
        </w:rPr>
        <w:t xml:space="preserve"> vytváří předpoklady pro opětovnou centralizaci územního rozhodování podle stavebního zákona na úrovni Magistrátu hlavního města Prahy.</w:t>
      </w:r>
    </w:p>
    <w:p w:rsidR="00A54A5F" w:rsidRDefault="00A54A5F" w:rsidP="00FB733A">
      <w:pPr>
        <w:pStyle w:val="Default"/>
        <w:contextualSpacing/>
        <w:jc w:val="both"/>
        <w:rPr>
          <w:rFonts w:ascii="Times New Roman" w:hAnsi="Times New Roman"/>
        </w:rPr>
      </w:pPr>
    </w:p>
    <w:p w:rsidR="00FC6E2D" w:rsidRDefault="00A54A5F" w:rsidP="00FB733A">
      <w:pPr>
        <w:pStyle w:val="Default"/>
        <w:contextualSpacing/>
        <w:jc w:val="both"/>
        <w:rPr>
          <w:rFonts w:ascii="Times New Roman" w:hAnsi="Times New Roman"/>
        </w:rPr>
      </w:pPr>
      <w:r>
        <w:rPr>
          <w:rFonts w:ascii="Times New Roman" w:hAnsi="Times New Roman"/>
        </w:rPr>
        <w:t>Návrh</w:t>
      </w:r>
      <w:r w:rsidR="00FB733A">
        <w:rPr>
          <w:rFonts w:ascii="Times New Roman" w:hAnsi="Times New Roman"/>
        </w:rPr>
        <w:t xml:space="preserve"> počítá s doplněním nového písmena do současného ustanovení § 81 odst. 3 zákona o hlavním městě Praze, kdy se</w:t>
      </w:r>
      <w:r w:rsidR="003C17A9" w:rsidRPr="000033C6">
        <w:rPr>
          <w:rFonts w:ascii="Times New Roman" w:hAnsi="Times New Roman"/>
        </w:rPr>
        <w:t xml:space="preserve"> za písm</w:t>
      </w:r>
      <w:r w:rsidR="00263386">
        <w:rPr>
          <w:rFonts w:ascii="Times New Roman" w:hAnsi="Times New Roman"/>
        </w:rPr>
        <w:t xml:space="preserve">eno </w:t>
      </w:r>
      <w:r w:rsidR="003C17A9" w:rsidRPr="000033C6">
        <w:rPr>
          <w:rFonts w:ascii="Times New Roman" w:hAnsi="Times New Roman"/>
        </w:rPr>
        <w:t xml:space="preserve">b) </w:t>
      </w:r>
      <w:r w:rsidR="00FB733A">
        <w:rPr>
          <w:rFonts w:ascii="Times New Roman" w:hAnsi="Times New Roman"/>
        </w:rPr>
        <w:t>navrhuje vložit</w:t>
      </w:r>
      <w:r w:rsidR="003C17A9" w:rsidRPr="000033C6">
        <w:rPr>
          <w:rFonts w:ascii="Times New Roman" w:hAnsi="Times New Roman"/>
        </w:rPr>
        <w:t xml:space="preserve"> nové písm</w:t>
      </w:r>
      <w:r w:rsidR="00263386">
        <w:rPr>
          <w:rFonts w:ascii="Times New Roman" w:hAnsi="Times New Roman"/>
        </w:rPr>
        <w:t>eno</w:t>
      </w:r>
      <w:r w:rsidR="003C17A9" w:rsidRPr="000033C6">
        <w:rPr>
          <w:rFonts w:ascii="Times New Roman" w:hAnsi="Times New Roman"/>
        </w:rPr>
        <w:t xml:space="preserve"> c), které zní: „</w:t>
      </w:r>
      <w:r w:rsidR="003C17A9">
        <w:rPr>
          <w:rFonts w:ascii="Times New Roman" w:hAnsi="Times New Roman"/>
          <w:i/>
        </w:rPr>
        <w:t>jako orgán druhého stupně rozhoduje o odvolání proti rozhodnutím vydaným Magistrátem ve správním řízení podle stavebního zákona, který vykonává svoji působnost na úseku územního rozhodování jako orgán prvního stupně</w:t>
      </w:r>
      <w:r w:rsidR="00FB733A">
        <w:rPr>
          <w:rFonts w:ascii="Times New Roman" w:hAnsi="Times New Roman"/>
          <w:i/>
        </w:rPr>
        <w:t>,</w:t>
      </w:r>
      <w:r w:rsidR="003C17A9" w:rsidRPr="000033C6">
        <w:rPr>
          <w:rFonts w:ascii="Times New Roman" w:hAnsi="Times New Roman"/>
        </w:rPr>
        <w:t>“</w:t>
      </w:r>
      <w:r w:rsidR="00FB733A">
        <w:rPr>
          <w:rFonts w:ascii="Times New Roman" w:hAnsi="Times New Roman"/>
        </w:rPr>
        <w:t xml:space="preserve"> a to při současném přejmenování navazujících písmen téhož zákonného ustanovení. </w:t>
      </w:r>
    </w:p>
    <w:p w:rsidR="00FC6E2D" w:rsidRDefault="00FC6E2D" w:rsidP="00FB733A">
      <w:pPr>
        <w:pStyle w:val="Default"/>
        <w:contextualSpacing/>
        <w:jc w:val="both"/>
        <w:rPr>
          <w:rFonts w:ascii="Times New Roman" w:hAnsi="Times New Roman"/>
        </w:rPr>
      </w:pPr>
    </w:p>
    <w:p w:rsidR="003C17A9" w:rsidRDefault="00FC6E2D" w:rsidP="00FB733A">
      <w:pPr>
        <w:pStyle w:val="Default"/>
        <w:contextualSpacing/>
        <w:jc w:val="both"/>
        <w:rPr>
          <w:rFonts w:ascii="Times New Roman" w:hAnsi="Times New Roman"/>
        </w:rPr>
      </w:pPr>
      <w:r>
        <w:rPr>
          <w:rFonts w:ascii="Times New Roman" w:hAnsi="Times New Roman"/>
        </w:rPr>
        <w:t xml:space="preserve">Dále navrhovaná právní úprava počítá s novým zněním ustanovení </w:t>
      </w:r>
      <w:r w:rsidR="003C17A9">
        <w:rPr>
          <w:rFonts w:ascii="Times New Roman" w:hAnsi="Times New Roman"/>
        </w:rPr>
        <w:t>§ 118 odst. 3 písm</w:t>
      </w:r>
      <w:r w:rsidR="00263386">
        <w:rPr>
          <w:rFonts w:ascii="Times New Roman" w:hAnsi="Times New Roman"/>
        </w:rPr>
        <w:t>eno</w:t>
      </w:r>
      <w:r w:rsidR="003C17A9">
        <w:rPr>
          <w:rFonts w:ascii="Times New Roman" w:hAnsi="Times New Roman"/>
        </w:rPr>
        <w:t xml:space="preserve"> b) </w:t>
      </w:r>
      <w:r>
        <w:rPr>
          <w:rFonts w:ascii="Times New Roman" w:hAnsi="Times New Roman"/>
        </w:rPr>
        <w:t xml:space="preserve">zákona o hlavním městě Praze, která dle návrhu nově </w:t>
      </w:r>
      <w:r w:rsidR="003C17A9">
        <w:rPr>
          <w:rFonts w:ascii="Times New Roman" w:hAnsi="Times New Roman"/>
        </w:rPr>
        <w:t>zní: „</w:t>
      </w:r>
      <w:r w:rsidR="003C17A9">
        <w:rPr>
          <w:rFonts w:ascii="Times New Roman" w:hAnsi="Times New Roman"/>
          <w:i/>
        </w:rPr>
        <w:t>přezkoumávají rozhodnutí orgánů hlavního města Prahy vydaná ve správním řízení s výjimkou rozhodnutí vydaných ve správním řízení, která přezkoumává Magistrát jako nadřízený orgán podle § 81 odst. 3 písm. b)</w:t>
      </w:r>
      <w:r>
        <w:rPr>
          <w:rFonts w:ascii="Times New Roman" w:hAnsi="Times New Roman"/>
          <w:i/>
        </w:rPr>
        <w:t>,</w:t>
      </w:r>
      <w:r w:rsidR="003C17A9">
        <w:rPr>
          <w:rFonts w:ascii="Times New Roman" w:hAnsi="Times New Roman"/>
        </w:rPr>
        <w:t>“</w:t>
      </w:r>
      <w:r>
        <w:rPr>
          <w:rFonts w:ascii="Times New Roman" w:hAnsi="Times New Roman"/>
        </w:rPr>
        <w:t xml:space="preserve"> čímž dochází k vyloučení přezkumu ministerstvem v případě, že bylo ve správním řízení rozhodnuto v prvním stupni podle stavebního zákona orgánem Magistrátu hlavního města Prahy.</w:t>
      </w:r>
    </w:p>
    <w:p w:rsidR="00FC6E2D" w:rsidRDefault="00FC6E2D" w:rsidP="00FB733A">
      <w:pPr>
        <w:pStyle w:val="Default"/>
        <w:contextualSpacing/>
        <w:jc w:val="both"/>
        <w:rPr>
          <w:rFonts w:ascii="Times New Roman" w:hAnsi="Times New Roman"/>
        </w:rPr>
      </w:pPr>
    </w:p>
    <w:p w:rsidR="0057275E" w:rsidRDefault="00FC6E2D" w:rsidP="00FC6E2D">
      <w:pPr>
        <w:pStyle w:val="Default"/>
        <w:contextualSpacing/>
        <w:jc w:val="both"/>
        <w:rPr>
          <w:rFonts w:ascii="Times New Roman" w:hAnsi="Times New Roman"/>
        </w:rPr>
      </w:pPr>
      <w:r>
        <w:rPr>
          <w:rFonts w:ascii="Times New Roman" w:hAnsi="Times New Roman"/>
        </w:rPr>
        <w:t>Tato zákonná úprava umožní po příslušné změně Statutu hlavního města Prahy a po příslušné změně Organizačního řádu Magistrátu hlavního města Prahy využít věcné a personální zázemí Magistrátu hlavního města Prahy pro druhostupňový přezkum rozhodnutí vydaných Magistrátem hlavního města Prahy v prvém stupni územního rozhodování bez toho, aby bylo v rámci této agendy odvolacím orgánem ministerstvo.</w:t>
      </w:r>
    </w:p>
    <w:p w:rsidR="0057275E" w:rsidRDefault="0057275E" w:rsidP="00FC6E2D">
      <w:pPr>
        <w:pStyle w:val="Default"/>
        <w:contextualSpacing/>
        <w:jc w:val="both"/>
        <w:rPr>
          <w:rFonts w:ascii="Times New Roman" w:hAnsi="Times New Roman"/>
        </w:rPr>
      </w:pPr>
    </w:p>
    <w:p w:rsidR="0057275E" w:rsidRDefault="0057275E" w:rsidP="00FC6E2D">
      <w:pPr>
        <w:pStyle w:val="Default"/>
        <w:contextualSpacing/>
        <w:jc w:val="both"/>
        <w:rPr>
          <w:rFonts w:ascii="Times New Roman" w:hAnsi="Times New Roman"/>
        </w:rPr>
      </w:pPr>
      <w:r>
        <w:rPr>
          <w:rFonts w:ascii="Times New Roman" w:hAnsi="Times New Roman"/>
        </w:rPr>
        <w:t xml:space="preserve">Navrhovaná právní úprava </w:t>
      </w:r>
      <w:r w:rsidR="00A54A5F">
        <w:rPr>
          <w:rFonts w:ascii="Times New Roman" w:hAnsi="Times New Roman"/>
        </w:rPr>
        <w:t xml:space="preserve">by časově měla bezprostředně navazovat na </w:t>
      </w:r>
      <w:r>
        <w:rPr>
          <w:rFonts w:ascii="Times New Roman" w:hAnsi="Times New Roman"/>
        </w:rPr>
        <w:t>příslušn</w:t>
      </w:r>
      <w:r w:rsidR="00A54A5F">
        <w:rPr>
          <w:rFonts w:ascii="Times New Roman" w:hAnsi="Times New Roman"/>
        </w:rPr>
        <w:t>é</w:t>
      </w:r>
      <w:r>
        <w:rPr>
          <w:rFonts w:ascii="Times New Roman" w:hAnsi="Times New Roman"/>
        </w:rPr>
        <w:t xml:space="preserve"> úprav</w:t>
      </w:r>
      <w:r w:rsidR="00A54A5F">
        <w:rPr>
          <w:rFonts w:ascii="Times New Roman" w:hAnsi="Times New Roman"/>
        </w:rPr>
        <w:t>y</w:t>
      </w:r>
      <w:r>
        <w:rPr>
          <w:rFonts w:ascii="Times New Roman" w:hAnsi="Times New Roman"/>
        </w:rPr>
        <w:t xml:space="preserve"> Statutu hlavního města Prahy a Organizačního řádu Magistrátu hlavního města Prahy </w:t>
      </w:r>
      <w:r w:rsidR="00A54A5F">
        <w:rPr>
          <w:rFonts w:ascii="Times New Roman" w:hAnsi="Times New Roman"/>
        </w:rPr>
        <w:t>spočívající v odejmutí působnosti vydávání rozhodnutí a provádění jiných opatření podle části třetí hlavy III dílů 4 a 5 stavebního zákona městským částem za současného ponechání agendy povolování staveb v pravomoci orgán</w:t>
      </w:r>
      <w:r w:rsidR="008C3D2D">
        <w:rPr>
          <w:rFonts w:ascii="Times New Roman" w:hAnsi="Times New Roman"/>
        </w:rPr>
        <w:t>ů městských částí. Navrhovaná právní úprava navazuje na předpokládané v</w:t>
      </w:r>
      <w:r w:rsidR="00A54A5F">
        <w:rPr>
          <w:rFonts w:ascii="Times New Roman" w:hAnsi="Times New Roman"/>
        </w:rPr>
        <w:t xml:space="preserve">ytvoření organizačních podmínek pro zavedení </w:t>
      </w:r>
      <w:r w:rsidR="008C3D2D">
        <w:rPr>
          <w:rFonts w:ascii="Times New Roman" w:hAnsi="Times New Roman"/>
        </w:rPr>
        <w:t xml:space="preserve">dvojinstančního </w:t>
      </w:r>
      <w:r w:rsidR="00A54A5F">
        <w:rPr>
          <w:rFonts w:ascii="Times New Roman" w:hAnsi="Times New Roman"/>
        </w:rPr>
        <w:t>územního rozhodování v rámci Magistrátu hlavního města Prahy.</w:t>
      </w:r>
    </w:p>
    <w:p w:rsidR="00FB733A" w:rsidRDefault="00FB733A" w:rsidP="00200646">
      <w:pPr>
        <w:pStyle w:val="Default"/>
        <w:jc w:val="both"/>
        <w:rPr>
          <w:rFonts w:ascii="Times New Roman" w:hAnsi="Times New Roman" w:cs="Times New Roman"/>
        </w:rPr>
      </w:pPr>
    </w:p>
    <w:p w:rsidR="00DD0DAB" w:rsidRPr="00200646" w:rsidRDefault="00DD0DAB" w:rsidP="00200646">
      <w:pPr>
        <w:pStyle w:val="Default"/>
        <w:jc w:val="both"/>
        <w:rPr>
          <w:rFonts w:ascii="Times New Roman" w:hAnsi="Times New Roman" w:cs="Times New Roman"/>
        </w:rPr>
      </w:pPr>
      <w:r w:rsidRPr="00200646">
        <w:rPr>
          <w:rFonts w:ascii="Times New Roman" w:hAnsi="Times New Roman" w:cs="Times New Roman"/>
        </w:rPr>
        <w:t>Navrhovaná právní úprava nemá bezprostřední, ani sekundární dopady na rovnost mužů a žen a nevede k diskriminaci jednoho z pohlaví, neboť nijak nerozlišuje, ani nezvýhodňuje, jedno z pohlaví, a nestanoví pro něj odlišné podmínky. Navrhovaná právní úprava má zcela stejné dopady na muže i na ženy.</w:t>
      </w:r>
    </w:p>
    <w:p w:rsidR="00DD0DAB" w:rsidRDefault="00DD0DAB" w:rsidP="00CC2FB7">
      <w:pPr>
        <w:pStyle w:val="Default"/>
        <w:jc w:val="both"/>
        <w:rPr>
          <w:rFonts w:ascii="Times New Roman" w:hAnsi="Times New Roman" w:cs="Times New Roman"/>
          <w:b/>
        </w:rPr>
      </w:pPr>
    </w:p>
    <w:p w:rsidR="00DD0DAB" w:rsidRPr="001E3430" w:rsidRDefault="00DD0DAB" w:rsidP="00CC2FB7">
      <w:pPr>
        <w:pStyle w:val="Default"/>
        <w:keepNext/>
        <w:jc w:val="both"/>
        <w:rPr>
          <w:rFonts w:ascii="Times New Roman" w:hAnsi="Times New Roman" w:cs="Times New Roman"/>
          <w:b/>
          <w:i/>
        </w:rPr>
      </w:pPr>
      <w:r w:rsidRPr="001E3430">
        <w:rPr>
          <w:rFonts w:ascii="Times New Roman" w:hAnsi="Times New Roman" w:cs="Times New Roman"/>
          <w:b/>
          <w:i/>
        </w:rPr>
        <w:t>Zhodnocení souladu navrhované úpravy s ústavním pořádkem České republiky, s mezinárodními smlouvami, jimiž je Česká republika vázána, a s akty práva Evropské unie</w:t>
      </w:r>
    </w:p>
    <w:p w:rsidR="00DD0DAB" w:rsidRDefault="00DD0DAB"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Navrhovaná právní úprava je v souladu s ústavním pořádkem České republiky</w:t>
      </w:r>
      <w:r w:rsidR="00E65CB2">
        <w:rPr>
          <w:rFonts w:ascii="Times New Roman" w:hAnsi="Times New Roman" w:cs="Times New Roman"/>
        </w:rPr>
        <w:t xml:space="preserve">. </w:t>
      </w:r>
      <w:r>
        <w:rPr>
          <w:rFonts w:ascii="Times New Roman" w:hAnsi="Times New Roman" w:cs="Times New Roman"/>
        </w:rPr>
        <w:t>Navrhovaná právní úprava je v souladu s mezinárodními smlouvami, kterými je Česká republika vázána, jakož i s obecně uznávanými a dodržovanými zásadami mezinárodního práva a s akty práva Evropské unie.</w:t>
      </w:r>
    </w:p>
    <w:p w:rsidR="00DD0DAB" w:rsidRDefault="00DD0DAB" w:rsidP="00CC2FB7">
      <w:pPr>
        <w:pStyle w:val="Default"/>
        <w:jc w:val="both"/>
        <w:rPr>
          <w:rFonts w:ascii="Times New Roman" w:hAnsi="Times New Roman" w:cs="Times New Roman"/>
        </w:rPr>
      </w:pPr>
    </w:p>
    <w:p w:rsidR="00DD0DAB" w:rsidRPr="001E3430" w:rsidRDefault="00DD0DAB" w:rsidP="00CC2FB7">
      <w:pPr>
        <w:pStyle w:val="Default"/>
        <w:jc w:val="both"/>
        <w:rPr>
          <w:rFonts w:ascii="Times New Roman" w:hAnsi="Times New Roman" w:cs="Times New Roman"/>
          <w:bCs/>
          <w:i/>
        </w:rPr>
      </w:pPr>
      <w:r w:rsidRPr="001E3430">
        <w:rPr>
          <w:rFonts w:ascii="Times New Roman" w:hAnsi="Times New Roman" w:cs="Times New Roman"/>
          <w:b/>
          <w:bCs/>
          <w:i/>
        </w:rPr>
        <w:t xml:space="preserve">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w:t>
      </w:r>
      <w:r w:rsidRPr="001E3430">
        <w:rPr>
          <w:rFonts w:ascii="Times New Roman" w:hAnsi="Times New Roman" w:cs="Times New Roman"/>
          <w:b/>
          <w:bCs/>
          <w:i/>
        </w:rPr>
        <w:lastRenderedPageBreak/>
        <w:t>slabé, osoby se zdravotním postižením a národnostní menšiny, a dopady na životní prostředí a dopady na bezpečnost nebo obranu státu</w:t>
      </w:r>
    </w:p>
    <w:p w:rsidR="00DD0DAB" w:rsidRDefault="00DD0DAB" w:rsidP="00CC2FB7">
      <w:pPr>
        <w:pStyle w:val="Bezmezer"/>
        <w:jc w:val="both"/>
        <w:rPr>
          <w:rFonts w:ascii="Times New Roman" w:eastAsia="Times New Roman" w:hAnsi="Times New Roman"/>
          <w:color w:val="000000"/>
          <w:sz w:val="24"/>
          <w:szCs w:val="24"/>
        </w:rPr>
      </w:pPr>
    </w:p>
    <w:p w:rsidR="00E80449" w:rsidRDefault="00DD0DAB" w:rsidP="00E65CB2">
      <w:pPr>
        <w:pStyle w:val="Bezmeze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Navrhovaná právní úprava nebude mít dopad na státní rozpočet ani na ostatní veřejné rozpočty</w:t>
      </w:r>
      <w:r w:rsidR="003C17A9">
        <w:rPr>
          <w:rFonts w:ascii="Times New Roman" w:eastAsia="Times New Roman" w:hAnsi="Times New Roman"/>
          <w:color w:val="000000"/>
          <w:sz w:val="24"/>
          <w:szCs w:val="24"/>
        </w:rPr>
        <w:t xml:space="preserve">, neboť k výdaje určené na pokrytí nákladů souvisejících s výkonem přenesené působnosti budou namísto městským částem </w:t>
      </w:r>
      <w:r w:rsidR="00FB733A">
        <w:rPr>
          <w:rFonts w:ascii="Times New Roman" w:eastAsia="Times New Roman" w:hAnsi="Times New Roman"/>
          <w:color w:val="000000"/>
          <w:sz w:val="24"/>
          <w:szCs w:val="24"/>
        </w:rPr>
        <w:t>podle nové právní úpravy poskytovány výlučně Magistrátu hlavního města Prahy</w:t>
      </w:r>
      <w:r>
        <w:rPr>
          <w:rFonts w:ascii="Times New Roman" w:eastAsia="Times New Roman" w:hAnsi="Times New Roman"/>
          <w:color w:val="000000"/>
          <w:sz w:val="24"/>
          <w:szCs w:val="24"/>
        </w:rPr>
        <w:t xml:space="preserve">. </w:t>
      </w:r>
    </w:p>
    <w:p w:rsidR="00E80449" w:rsidRDefault="00E80449" w:rsidP="00E65CB2">
      <w:pPr>
        <w:pStyle w:val="Bezmezer"/>
        <w:jc w:val="both"/>
        <w:rPr>
          <w:rFonts w:ascii="Times New Roman" w:eastAsia="Times New Roman" w:hAnsi="Times New Roman"/>
          <w:color w:val="000000"/>
          <w:sz w:val="24"/>
          <w:szCs w:val="24"/>
        </w:rPr>
      </w:pPr>
    </w:p>
    <w:p w:rsidR="00DD0DAB" w:rsidRDefault="00FB733A" w:rsidP="00E65CB2">
      <w:pPr>
        <w:pStyle w:val="Bezmeze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Navrhovaná právní úprava</w:t>
      </w:r>
      <w:r w:rsidR="00DD0DAB">
        <w:rPr>
          <w:rFonts w:ascii="Times New Roman" w:eastAsia="Times New Roman" w:hAnsi="Times New Roman"/>
          <w:color w:val="000000"/>
          <w:sz w:val="24"/>
          <w:szCs w:val="24"/>
        </w:rPr>
        <w:t xml:space="preserve"> nebude mít negativní dopad na podnikatelské prostředí České republiky.</w:t>
      </w:r>
      <w:r w:rsidR="00E65CB2">
        <w:rPr>
          <w:rFonts w:ascii="Times New Roman" w:eastAsia="Times New Roman" w:hAnsi="Times New Roman"/>
          <w:color w:val="000000"/>
          <w:sz w:val="24"/>
          <w:szCs w:val="24"/>
        </w:rPr>
        <w:t xml:space="preserve"> </w:t>
      </w:r>
      <w:r w:rsidR="00DD0DAB">
        <w:rPr>
          <w:rFonts w:ascii="Times New Roman" w:eastAsia="Times New Roman" w:hAnsi="Times New Roman"/>
          <w:color w:val="000000"/>
          <w:sz w:val="24"/>
          <w:szCs w:val="24"/>
        </w:rPr>
        <w:t>Navrhovaná právní úprava nebude mít žádné sociální dopady, nemá dopady na specifické skupiny obyvatel (osoby sociálně slabé, osoby se zdravotním postižením, národnostní menšiny), ani dopady na životní prostředí či na bezpečnost nebo obranu státu.</w:t>
      </w:r>
    </w:p>
    <w:p w:rsidR="00DD0DAB" w:rsidRDefault="00DD0DAB" w:rsidP="00CC2FB7">
      <w:pPr>
        <w:widowControl w:val="0"/>
        <w:autoSpaceDE w:val="0"/>
        <w:autoSpaceDN w:val="0"/>
        <w:adjustRightInd w:val="0"/>
        <w:contextualSpacing/>
        <w:jc w:val="both"/>
        <w:rPr>
          <w:rFonts w:ascii="Times New Roman" w:eastAsia="Times New Roman" w:hAnsi="Times New Roman"/>
          <w:color w:val="000000"/>
          <w:sz w:val="24"/>
          <w:szCs w:val="24"/>
        </w:rPr>
      </w:pPr>
      <w:r>
        <w:rPr>
          <w:rFonts w:ascii="Times New Roman" w:hAnsi="Times New Roman"/>
          <w:color w:val="000000"/>
          <w:sz w:val="24"/>
          <w:szCs w:val="24"/>
        </w:rPr>
        <w:t xml:space="preserve">         </w:t>
      </w:r>
    </w:p>
    <w:p w:rsidR="00DD0DAB" w:rsidRPr="001E3430" w:rsidRDefault="00DD0DAB" w:rsidP="00CC2FB7">
      <w:pPr>
        <w:pStyle w:val="Default"/>
        <w:jc w:val="both"/>
        <w:rPr>
          <w:rFonts w:ascii="Times New Roman" w:hAnsi="Times New Roman" w:cs="Times New Roman"/>
          <w:b/>
          <w:i/>
        </w:rPr>
      </w:pPr>
      <w:r w:rsidRPr="001E3430">
        <w:rPr>
          <w:rFonts w:ascii="Times New Roman" w:hAnsi="Times New Roman" w:cs="Times New Roman"/>
          <w:b/>
          <w:bCs/>
          <w:i/>
        </w:rPr>
        <w:t xml:space="preserve">Zhodnocení dopadů navrhovaného řešení ve vztahu k ochraně soukromí a osobních údajů </w:t>
      </w:r>
    </w:p>
    <w:p w:rsidR="00DD0DAB" w:rsidRDefault="00DD0DAB" w:rsidP="00CC2FB7">
      <w:pPr>
        <w:pStyle w:val="Default"/>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 xml:space="preserve">Úprava nemá dopady ve vztazích k ochraně soukromí či osobních údajů a žádným způsobem nemění dosavadní praxi v oblasti ochrany soukromí či osobních údajů. </w:t>
      </w:r>
    </w:p>
    <w:p w:rsidR="00DD0DAB" w:rsidRDefault="00DD0DAB" w:rsidP="00CC2FB7">
      <w:pPr>
        <w:pStyle w:val="Default"/>
        <w:jc w:val="both"/>
        <w:rPr>
          <w:rFonts w:ascii="Times New Roman" w:hAnsi="Times New Roman" w:cs="Times New Roman"/>
        </w:rPr>
      </w:pPr>
    </w:p>
    <w:p w:rsidR="00DD0DAB" w:rsidRPr="001E3430" w:rsidRDefault="00DD0DAB" w:rsidP="00CC2FB7">
      <w:pPr>
        <w:pStyle w:val="Default"/>
        <w:ind w:left="426" w:hanging="428"/>
        <w:contextualSpacing/>
        <w:jc w:val="both"/>
        <w:rPr>
          <w:rFonts w:ascii="Times New Roman" w:hAnsi="Times New Roman" w:cs="Times New Roman"/>
          <w:b/>
          <w:bCs/>
          <w:i/>
        </w:rPr>
      </w:pPr>
      <w:r w:rsidRPr="001E3430">
        <w:rPr>
          <w:rFonts w:ascii="Times New Roman" w:hAnsi="Times New Roman" w:cs="Times New Roman"/>
          <w:b/>
          <w:bCs/>
          <w:i/>
        </w:rPr>
        <w:t xml:space="preserve">Zhodnocení korupčních rizik </w:t>
      </w:r>
    </w:p>
    <w:p w:rsidR="00DD0DAB" w:rsidRDefault="00DD0DAB" w:rsidP="00CC2FB7">
      <w:pPr>
        <w:pStyle w:val="Default"/>
        <w:ind w:left="426" w:hanging="428"/>
        <w:contextualSpacing/>
        <w:jc w:val="both"/>
        <w:rPr>
          <w:rFonts w:ascii="Times New Roman" w:hAnsi="Times New Roman" w:cs="Times New Roman"/>
        </w:rPr>
      </w:pPr>
    </w:p>
    <w:p w:rsidR="00DD0DAB" w:rsidRDefault="00DD0DAB" w:rsidP="00CC2FB7">
      <w:pPr>
        <w:pStyle w:val="Default"/>
        <w:jc w:val="both"/>
        <w:rPr>
          <w:rFonts w:ascii="Times New Roman" w:hAnsi="Times New Roman" w:cs="Times New Roman"/>
        </w:rPr>
      </w:pPr>
      <w:r>
        <w:rPr>
          <w:rFonts w:ascii="Times New Roman" w:hAnsi="Times New Roman" w:cs="Times New Roman"/>
        </w:rPr>
        <w:t>Navrhovaná právní úprava respektuje protikorupční legislativu a nepřináší nová korupční rizika.</w:t>
      </w:r>
      <w:r w:rsidR="003C17A9">
        <w:rPr>
          <w:rFonts w:ascii="Times New Roman" w:hAnsi="Times New Roman" w:cs="Times New Roman"/>
        </w:rPr>
        <w:t xml:space="preserve"> S ohledem na možný negativní vliv místního politického a ekonomického prostředí na proces rozhodování orgánů městských částí, jimž je podle současné právní úpravy svěřen výkon přenesené působnosti na úseku </w:t>
      </w:r>
      <w:r w:rsidR="008C3D2D">
        <w:rPr>
          <w:rFonts w:ascii="Times New Roman" w:hAnsi="Times New Roman" w:cs="Times New Roman"/>
        </w:rPr>
        <w:t>územního řízení</w:t>
      </w:r>
      <w:r w:rsidR="003C17A9">
        <w:rPr>
          <w:rFonts w:ascii="Times New Roman" w:hAnsi="Times New Roman" w:cs="Times New Roman"/>
        </w:rPr>
        <w:t>, lze v souvislosti s navrhovanou úpravu hovořit o snížení korupčních rizik související s řešenou agendou.</w:t>
      </w:r>
      <w:bookmarkStart w:id="0" w:name="_GoBack"/>
      <w:bookmarkEnd w:id="0"/>
    </w:p>
    <w:p w:rsidR="00DD0DAB" w:rsidRDefault="00DD0DAB" w:rsidP="00CC2FB7">
      <w:pPr>
        <w:pStyle w:val="Default"/>
        <w:jc w:val="both"/>
        <w:rPr>
          <w:rFonts w:ascii="Times New Roman" w:hAnsi="Times New Roman" w:cs="Times New Roman"/>
        </w:rPr>
      </w:pPr>
    </w:p>
    <w:p w:rsidR="00DD0DAB" w:rsidRDefault="00DD0DAB" w:rsidP="00CC2FB7">
      <w:pPr>
        <w:contextualSpacing/>
        <w:jc w:val="both"/>
        <w:rPr>
          <w:rFonts w:ascii="Times New Roman" w:hAnsi="Times New Roman"/>
          <w:b/>
          <w:bCs/>
          <w:sz w:val="24"/>
          <w:szCs w:val="24"/>
        </w:rPr>
      </w:pPr>
      <w:r>
        <w:rPr>
          <w:rFonts w:ascii="Times New Roman" w:hAnsi="Times New Roman"/>
          <w:b/>
          <w:bCs/>
          <w:sz w:val="24"/>
          <w:szCs w:val="24"/>
        </w:rPr>
        <w:t>B. ZVLÁŠTNÍ ČÁST</w:t>
      </w:r>
    </w:p>
    <w:p w:rsidR="00DD0DAB" w:rsidRDefault="00DD0DAB" w:rsidP="00CC2FB7">
      <w:pPr>
        <w:contextualSpacing/>
        <w:jc w:val="both"/>
        <w:rPr>
          <w:rFonts w:ascii="Times New Roman" w:hAnsi="Times New Roman"/>
          <w:sz w:val="24"/>
          <w:szCs w:val="24"/>
        </w:rPr>
      </w:pPr>
    </w:p>
    <w:p w:rsidR="00DD0DAB" w:rsidRDefault="00E65CB2" w:rsidP="00CC2FB7">
      <w:pPr>
        <w:contextualSpacing/>
        <w:jc w:val="both"/>
        <w:rPr>
          <w:rFonts w:ascii="Times New Roman" w:hAnsi="Times New Roman"/>
          <w:b/>
          <w:sz w:val="24"/>
          <w:szCs w:val="24"/>
          <w:u w:val="single"/>
        </w:rPr>
      </w:pPr>
      <w:r>
        <w:rPr>
          <w:rFonts w:ascii="Times New Roman" w:hAnsi="Times New Roman"/>
          <w:b/>
          <w:sz w:val="24"/>
          <w:szCs w:val="24"/>
          <w:u w:val="single"/>
        </w:rPr>
        <w:t>Č</w:t>
      </w:r>
      <w:r w:rsidR="00DD0DAB">
        <w:rPr>
          <w:rFonts w:ascii="Times New Roman" w:hAnsi="Times New Roman"/>
          <w:b/>
          <w:sz w:val="24"/>
          <w:szCs w:val="24"/>
          <w:u w:val="single"/>
        </w:rPr>
        <w:t>l. I</w:t>
      </w:r>
    </w:p>
    <w:p w:rsidR="00DD0DAB" w:rsidRPr="00E65CB2" w:rsidRDefault="00DD0DAB" w:rsidP="00CC2FB7">
      <w:pPr>
        <w:autoSpaceDE w:val="0"/>
        <w:autoSpaceDN w:val="0"/>
        <w:adjustRightInd w:val="0"/>
        <w:contextualSpacing/>
        <w:jc w:val="both"/>
        <w:rPr>
          <w:rFonts w:ascii="Times New Roman" w:hAnsi="Times New Roman"/>
          <w:b/>
          <w:sz w:val="24"/>
          <w:szCs w:val="24"/>
        </w:rPr>
      </w:pPr>
    </w:p>
    <w:p w:rsidR="00DD0DAB" w:rsidRPr="00E65CB2" w:rsidRDefault="00E65CB2" w:rsidP="00CC2FB7">
      <w:pPr>
        <w:autoSpaceDE w:val="0"/>
        <w:autoSpaceDN w:val="0"/>
        <w:adjustRightInd w:val="0"/>
        <w:contextualSpacing/>
        <w:jc w:val="both"/>
        <w:rPr>
          <w:rFonts w:ascii="Times New Roman" w:hAnsi="Times New Roman"/>
          <w:b/>
          <w:sz w:val="24"/>
          <w:szCs w:val="24"/>
        </w:rPr>
      </w:pPr>
      <w:r w:rsidRPr="00E65CB2">
        <w:rPr>
          <w:rFonts w:ascii="Times New Roman" w:hAnsi="Times New Roman"/>
          <w:b/>
          <w:sz w:val="24"/>
          <w:szCs w:val="24"/>
        </w:rPr>
        <w:t>B</w:t>
      </w:r>
      <w:r w:rsidR="00DD0DAB" w:rsidRPr="00E65CB2">
        <w:rPr>
          <w:rFonts w:ascii="Times New Roman" w:hAnsi="Times New Roman"/>
          <w:b/>
          <w:sz w:val="24"/>
          <w:szCs w:val="24"/>
        </w:rPr>
        <w:t>od 1.</w:t>
      </w:r>
    </w:p>
    <w:p w:rsidR="008C3D2D" w:rsidRDefault="008C3D2D" w:rsidP="008C3D2D">
      <w:pPr>
        <w:pStyle w:val="Default"/>
        <w:contextualSpacing/>
        <w:jc w:val="both"/>
        <w:rPr>
          <w:rFonts w:ascii="Times New Roman" w:hAnsi="Times New Roman"/>
        </w:rPr>
      </w:pPr>
      <w:r>
        <w:rPr>
          <w:rFonts w:ascii="Times New Roman" w:hAnsi="Times New Roman"/>
        </w:rPr>
        <w:t xml:space="preserve">Navrhovaná právní úprava předpokládá s ohledem na potřebu zavedení dvojinstančního rozhodování v územním řízení v rámci Magistrátu hlavního města Prahy doplnění nového písmene do stávajícího ustanovení § 81 odst. 3, kde </w:t>
      </w:r>
      <w:r w:rsidRPr="000033C6">
        <w:rPr>
          <w:rFonts w:ascii="Times New Roman" w:hAnsi="Times New Roman"/>
        </w:rPr>
        <w:t xml:space="preserve">se za písm. b) </w:t>
      </w:r>
      <w:r>
        <w:rPr>
          <w:rFonts w:ascii="Times New Roman" w:hAnsi="Times New Roman"/>
        </w:rPr>
        <w:t xml:space="preserve">navrhuje vložit </w:t>
      </w:r>
      <w:r w:rsidRPr="000033C6">
        <w:rPr>
          <w:rFonts w:ascii="Times New Roman" w:hAnsi="Times New Roman"/>
        </w:rPr>
        <w:t>nové písm</w:t>
      </w:r>
      <w:r>
        <w:rPr>
          <w:rFonts w:ascii="Times New Roman" w:hAnsi="Times New Roman"/>
        </w:rPr>
        <w:t>eno</w:t>
      </w:r>
      <w:r w:rsidRPr="000033C6">
        <w:rPr>
          <w:rFonts w:ascii="Times New Roman" w:hAnsi="Times New Roman"/>
        </w:rPr>
        <w:t xml:space="preserve"> c), které zní: „</w:t>
      </w:r>
      <w:r>
        <w:rPr>
          <w:rFonts w:ascii="Times New Roman" w:hAnsi="Times New Roman"/>
          <w:i/>
        </w:rPr>
        <w:t>jako orgán druhého stupně rozhoduje o odvolání proti rozhodnutím vydaným Magistrátem ve správním řízení podle stavebního zákona, který vykonává svoji působnost na úseku územního rozhodování jako orgán prvního stupně</w:t>
      </w:r>
      <w:r w:rsidR="009D2166">
        <w:rPr>
          <w:rFonts w:ascii="Times New Roman" w:hAnsi="Times New Roman"/>
          <w:i/>
        </w:rPr>
        <w:t>,</w:t>
      </w:r>
      <w:r w:rsidRPr="000033C6">
        <w:rPr>
          <w:rFonts w:ascii="Times New Roman" w:hAnsi="Times New Roman"/>
        </w:rPr>
        <w:t>“</w:t>
      </w:r>
      <w:r w:rsidR="009D2166">
        <w:rPr>
          <w:rFonts w:ascii="Times New Roman" w:hAnsi="Times New Roman"/>
        </w:rPr>
        <w:t>.</w:t>
      </w:r>
      <w:r>
        <w:rPr>
          <w:rFonts w:ascii="Times New Roman" w:hAnsi="Times New Roman"/>
        </w:rPr>
        <w:t xml:space="preserve"> Dosavadní písmena c) až g) se navrhuje napříště označovat jako písmena d) až </w:t>
      </w:r>
      <w:r w:rsidR="005A6B9A">
        <w:rPr>
          <w:rFonts w:ascii="Times New Roman" w:hAnsi="Times New Roman"/>
        </w:rPr>
        <w:t>h</w:t>
      </w:r>
      <w:r>
        <w:rPr>
          <w:rFonts w:ascii="Times New Roman" w:hAnsi="Times New Roman"/>
        </w:rPr>
        <w:t>).</w:t>
      </w:r>
    </w:p>
    <w:p w:rsidR="00683E8F" w:rsidRDefault="00683E8F" w:rsidP="00CC2FB7">
      <w:pPr>
        <w:autoSpaceDE w:val="0"/>
        <w:autoSpaceDN w:val="0"/>
        <w:adjustRightInd w:val="0"/>
        <w:contextualSpacing/>
        <w:jc w:val="both"/>
        <w:rPr>
          <w:rFonts w:ascii="Times New Roman" w:hAnsi="Times New Roman"/>
          <w:sz w:val="24"/>
          <w:szCs w:val="24"/>
        </w:rPr>
      </w:pPr>
    </w:p>
    <w:p w:rsidR="00E65CB2" w:rsidRPr="00E65CB2" w:rsidRDefault="00E65CB2" w:rsidP="00E65CB2">
      <w:pPr>
        <w:autoSpaceDE w:val="0"/>
        <w:autoSpaceDN w:val="0"/>
        <w:adjustRightInd w:val="0"/>
        <w:contextualSpacing/>
        <w:jc w:val="both"/>
        <w:rPr>
          <w:rFonts w:ascii="Times New Roman" w:hAnsi="Times New Roman"/>
          <w:b/>
          <w:sz w:val="24"/>
          <w:szCs w:val="24"/>
        </w:rPr>
      </w:pPr>
      <w:r w:rsidRPr="00E65CB2">
        <w:rPr>
          <w:rFonts w:ascii="Times New Roman" w:hAnsi="Times New Roman"/>
          <w:b/>
          <w:sz w:val="24"/>
          <w:szCs w:val="24"/>
        </w:rPr>
        <w:t xml:space="preserve">Bod </w:t>
      </w:r>
      <w:r>
        <w:rPr>
          <w:rFonts w:ascii="Times New Roman" w:hAnsi="Times New Roman"/>
          <w:b/>
          <w:sz w:val="24"/>
          <w:szCs w:val="24"/>
        </w:rPr>
        <w:t>2</w:t>
      </w:r>
      <w:r w:rsidRPr="00E65CB2">
        <w:rPr>
          <w:rFonts w:ascii="Times New Roman" w:hAnsi="Times New Roman"/>
          <w:b/>
          <w:sz w:val="24"/>
          <w:szCs w:val="24"/>
        </w:rPr>
        <w:t>.</w:t>
      </w:r>
    </w:p>
    <w:p w:rsidR="00263386" w:rsidRPr="000A3720" w:rsidRDefault="00263386" w:rsidP="00263386">
      <w:pPr>
        <w:pStyle w:val="Default"/>
        <w:contextualSpacing/>
        <w:jc w:val="both"/>
        <w:rPr>
          <w:rFonts w:ascii="Times New Roman" w:hAnsi="Times New Roman"/>
        </w:rPr>
      </w:pPr>
      <w:r>
        <w:rPr>
          <w:rFonts w:ascii="Times New Roman" w:hAnsi="Times New Roman"/>
        </w:rPr>
        <w:t>Aby s ohledem na zavedení dvojinstančního rozhodování v územním řízení v rámci Magistrátu hlavního města Prahy byl na tomto úseku správního řízení vyloučen přezkum ministerstvem ve druhém stupni, navrhuje se změnit znění stávajícího ustanovení § 118 odst. 3 písm. b), které dle návrhu nově zní: „</w:t>
      </w:r>
      <w:r>
        <w:rPr>
          <w:rFonts w:ascii="Times New Roman" w:hAnsi="Times New Roman"/>
          <w:i/>
        </w:rPr>
        <w:t>přezkoumávají rozhodnutí orgánů hlavního města Prahy vydaná ve správním řízení s výjimkou rozhodnutí vydaných ve správním řízení, která přezkoumává Magistrát jako nadřízený orgán podle § 81 odst. 3 písm. b)</w:t>
      </w:r>
      <w:r w:rsidR="009D2166">
        <w:rPr>
          <w:rFonts w:ascii="Times New Roman" w:hAnsi="Times New Roman"/>
          <w:i/>
        </w:rPr>
        <w:t>.</w:t>
      </w:r>
      <w:r>
        <w:rPr>
          <w:rFonts w:ascii="Times New Roman" w:hAnsi="Times New Roman"/>
        </w:rPr>
        <w:t>“</w:t>
      </w:r>
    </w:p>
    <w:p w:rsidR="00E80449" w:rsidRDefault="00E80449" w:rsidP="00CC2FB7">
      <w:pPr>
        <w:contextualSpacing/>
        <w:jc w:val="both"/>
        <w:rPr>
          <w:rFonts w:ascii="Times New Roman" w:hAnsi="Times New Roman"/>
          <w:b/>
          <w:sz w:val="24"/>
          <w:szCs w:val="24"/>
          <w:u w:val="single"/>
        </w:rPr>
      </w:pPr>
    </w:p>
    <w:p w:rsidR="00DD0DAB" w:rsidRDefault="00385244" w:rsidP="00CC2FB7">
      <w:pPr>
        <w:contextualSpacing/>
        <w:jc w:val="both"/>
        <w:rPr>
          <w:rFonts w:ascii="Times New Roman" w:hAnsi="Times New Roman"/>
          <w:b/>
          <w:sz w:val="24"/>
          <w:szCs w:val="24"/>
          <w:u w:val="single"/>
        </w:rPr>
      </w:pPr>
      <w:r>
        <w:rPr>
          <w:rFonts w:ascii="Times New Roman" w:hAnsi="Times New Roman"/>
          <w:b/>
          <w:sz w:val="24"/>
          <w:szCs w:val="24"/>
          <w:u w:val="single"/>
        </w:rPr>
        <w:t>Č</w:t>
      </w:r>
      <w:r w:rsidR="00DD0DAB">
        <w:rPr>
          <w:rFonts w:ascii="Times New Roman" w:hAnsi="Times New Roman"/>
          <w:b/>
          <w:sz w:val="24"/>
          <w:szCs w:val="24"/>
          <w:u w:val="single"/>
        </w:rPr>
        <w:t>l. II</w:t>
      </w:r>
    </w:p>
    <w:p w:rsidR="00E65CB2" w:rsidRDefault="00E65CB2" w:rsidP="00CC2FB7">
      <w:pPr>
        <w:tabs>
          <w:tab w:val="left" w:pos="284"/>
        </w:tabs>
        <w:jc w:val="both"/>
        <w:rPr>
          <w:rFonts w:ascii="Times New Roman" w:hAnsi="Times New Roman"/>
          <w:sz w:val="24"/>
          <w:szCs w:val="24"/>
        </w:rPr>
      </w:pPr>
    </w:p>
    <w:p w:rsidR="00DD0DAB" w:rsidRPr="00E65CB2" w:rsidRDefault="00DD0DAB" w:rsidP="00CC2FB7">
      <w:pPr>
        <w:tabs>
          <w:tab w:val="left" w:pos="284"/>
        </w:tabs>
        <w:jc w:val="both"/>
        <w:rPr>
          <w:rFonts w:ascii="Times New Roman" w:hAnsi="Times New Roman"/>
          <w:sz w:val="24"/>
          <w:szCs w:val="24"/>
        </w:rPr>
      </w:pPr>
      <w:r w:rsidRPr="00E65CB2">
        <w:rPr>
          <w:rFonts w:ascii="Times New Roman" w:hAnsi="Times New Roman"/>
          <w:sz w:val="24"/>
          <w:szCs w:val="24"/>
        </w:rPr>
        <w:t>Účinnost</w:t>
      </w:r>
      <w:r w:rsidR="00806550">
        <w:rPr>
          <w:rFonts w:ascii="Times New Roman" w:hAnsi="Times New Roman"/>
          <w:sz w:val="24"/>
          <w:szCs w:val="24"/>
        </w:rPr>
        <w:t xml:space="preserve"> navrhované právní úpravy </w:t>
      </w:r>
      <w:r w:rsidR="005C176B">
        <w:rPr>
          <w:rFonts w:ascii="Times New Roman" w:hAnsi="Times New Roman"/>
          <w:sz w:val="24"/>
          <w:szCs w:val="24"/>
        </w:rPr>
        <w:t xml:space="preserve">se </w:t>
      </w:r>
      <w:r w:rsidRPr="00E65CB2">
        <w:rPr>
          <w:rFonts w:ascii="Times New Roman" w:hAnsi="Times New Roman"/>
          <w:sz w:val="24"/>
          <w:szCs w:val="24"/>
        </w:rPr>
        <w:t>navrhuje</w:t>
      </w:r>
      <w:r w:rsidR="00806550">
        <w:rPr>
          <w:rFonts w:ascii="Times New Roman" w:hAnsi="Times New Roman"/>
          <w:sz w:val="24"/>
          <w:szCs w:val="24"/>
        </w:rPr>
        <w:t xml:space="preserve"> ke dni</w:t>
      </w:r>
      <w:r w:rsidRPr="00E65CB2">
        <w:rPr>
          <w:rFonts w:ascii="Times New Roman" w:hAnsi="Times New Roman"/>
          <w:sz w:val="24"/>
          <w:szCs w:val="24"/>
        </w:rPr>
        <w:t xml:space="preserve"> </w:t>
      </w:r>
      <w:r w:rsidR="005C176B">
        <w:rPr>
          <w:rFonts w:ascii="Times New Roman" w:hAnsi="Times New Roman"/>
          <w:sz w:val="24"/>
          <w:szCs w:val="24"/>
        </w:rPr>
        <w:t>1</w:t>
      </w:r>
      <w:r w:rsidRPr="00E65CB2">
        <w:rPr>
          <w:rFonts w:ascii="Times New Roman" w:hAnsi="Times New Roman"/>
          <w:sz w:val="24"/>
          <w:szCs w:val="24"/>
        </w:rPr>
        <w:t xml:space="preserve">. </w:t>
      </w:r>
      <w:r w:rsidR="005C176B">
        <w:rPr>
          <w:rFonts w:ascii="Times New Roman" w:hAnsi="Times New Roman"/>
          <w:sz w:val="24"/>
          <w:szCs w:val="24"/>
        </w:rPr>
        <w:t>ledna</w:t>
      </w:r>
      <w:r w:rsidRPr="00E65CB2">
        <w:rPr>
          <w:rFonts w:ascii="Times New Roman" w:hAnsi="Times New Roman"/>
          <w:sz w:val="24"/>
          <w:szCs w:val="24"/>
        </w:rPr>
        <w:t xml:space="preserve"> 20</w:t>
      </w:r>
      <w:r w:rsidR="005C176B">
        <w:rPr>
          <w:rFonts w:ascii="Times New Roman" w:hAnsi="Times New Roman"/>
          <w:sz w:val="24"/>
          <w:szCs w:val="24"/>
        </w:rPr>
        <w:t>21</w:t>
      </w:r>
      <w:r w:rsidR="00806550">
        <w:rPr>
          <w:rFonts w:ascii="Times New Roman" w:hAnsi="Times New Roman"/>
          <w:sz w:val="24"/>
          <w:szCs w:val="24"/>
        </w:rPr>
        <w:t xml:space="preserve">, </w:t>
      </w:r>
      <w:r w:rsidR="005C176B">
        <w:rPr>
          <w:rFonts w:ascii="Times New Roman" w:hAnsi="Times New Roman"/>
          <w:sz w:val="24"/>
          <w:szCs w:val="24"/>
        </w:rPr>
        <w:t xml:space="preserve">přičemž takto stanovená legisvakanční lhůta umožňuje orgánům hlavního města Prahy v dostatečné časové rezervě </w:t>
      </w:r>
      <w:r w:rsidR="005C176B">
        <w:rPr>
          <w:rFonts w:ascii="Times New Roman" w:hAnsi="Times New Roman"/>
          <w:sz w:val="24"/>
          <w:szCs w:val="24"/>
        </w:rPr>
        <w:lastRenderedPageBreak/>
        <w:t>přijmout příslušné změny obecně závazné vyhlášky č. 55/2000 Sb. hl. m. Prahy, kterou se vydává Statut hlavního města Prahy, ve znění pozdějších předpisů, a rovněž příslušné změny Organizačního řádu Magistrátu hlavního města Prahy</w:t>
      </w:r>
      <w:r w:rsidR="00806550">
        <w:rPr>
          <w:rFonts w:ascii="Times New Roman" w:hAnsi="Times New Roman"/>
          <w:sz w:val="24"/>
          <w:szCs w:val="24"/>
        </w:rPr>
        <w:t>.</w:t>
      </w:r>
    </w:p>
    <w:p w:rsidR="00DD0DAB" w:rsidRDefault="00DD0DAB" w:rsidP="00CC2FB7">
      <w:pPr>
        <w:tabs>
          <w:tab w:val="left" w:pos="284"/>
        </w:tabs>
        <w:jc w:val="both"/>
        <w:rPr>
          <w:rFonts w:ascii="Times New Roman" w:hAnsi="Times New Roman"/>
          <w:sz w:val="24"/>
          <w:szCs w:val="24"/>
        </w:rPr>
      </w:pPr>
    </w:p>
    <w:p w:rsidR="00922E78" w:rsidRDefault="00922E78" w:rsidP="00CC2FB7">
      <w:pPr>
        <w:tabs>
          <w:tab w:val="left" w:pos="284"/>
        </w:tabs>
        <w:jc w:val="both"/>
        <w:rPr>
          <w:rFonts w:ascii="Times New Roman" w:hAnsi="Times New Roman"/>
          <w:sz w:val="24"/>
          <w:szCs w:val="24"/>
        </w:rPr>
      </w:pPr>
    </w:p>
    <w:p w:rsidR="00922E78" w:rsidRDefault="00922E78" w:rsidP="00CC2FB7">
      <w:pPr>
        <w:tabs>
          <w:tab w:val="left" w:pos="284"/>
        </w:tabs>
        <w:jc w:val="both"/>
        <w:rPr>
          <w:rFonts w:ascii="Times New Roman" w:hAnsi="Times New Roman"/>
          <w:sz w:val="24"/>
          <w:szCs w:val="24"/>
        </w:rPr>
      </w:pPr>
    </w:p>
    <w:p w:rsidR="00DD0DAB" w:rsidRPr="00E65CB2" w:rsidRDefault="00DD0DAB" w:rsidP="00E65CB2">
      <w:pPr>
        <w:tabs>
          <w:tab w:val="left" w:pos="284"/>
        </w:tabs>
        <w:jc w:val="right"/>
        <w:rPr>
          <w:rFonts w:ascii="Times New Roman" w:hAnsi="Times New Roman"/>
          <w:sz w:val="24"/>
          <w:szCs w:val="24"/>
        </w:rPr>
      </w:pPr>
      <w:r w:rsidRPr="00E65CB2">
        <w:rPr>
          <w:rFonts w:ascii="Times New Roman" w:hAnsi="Times New Roman"/>
          <w:sz w:val="24"/>
          <w:szCs w:val="24"/>
        </w:rPr>
        <w:t xml:space="preserve">V Praze dne </w:t>
      </w:r>
      <w:r w:rsidR="00EB079D">
        <w:rPr>
          <w:rFonts w:ascii="Times New Roman" w:hAnsi="Times New Roman"/>
          <w:sz w:val="24"/>
          <w:szCs w:val="24"/>
        </w:rPr>
        <w:t>15</w:t>
      </w:r>
      <w:r w:rsidRPr="00E65CB2">
        <w:rPr>
          <w:rFonts w:ascii="Times New Roman" w:hAnsi="Times New Roman"/>
          <w:sz w:val="24"/>
          <w:szCs w:val="24"/>
        </w:rPr>
        <w:t xml:space="preserve">. </w:t>
      </w:r>
      <w:r w:rsidR="00EB079D">
        <w:rPr>
          <w:rFonts w:ascii="Times New Roman" w:hAnsi="Times New Roman"/>
          <w:sz w:val="24"/>
          <w:szCs w:val="24"/>
        </w:rPr>
        <w:t>února</w:t>
      </w:r>
      <w:r w:rsidRPr="00E65CB2">
        <w:rPr>
          <w:rFonts w:ascii="Times New Roman" w:hAnsi="Times New Roman"/>
          <w:sz w:val="24"/>
          <w:szCs w:val="24"/>
        </w:rPr>
        <w:t xml:space="preserve"> 201</w:t>
      </w:r>
      <w:r w:rsidR="00EB079D">
        <w:rPr>
          <w:rFonts w:ascii="Times New Roman" w:hAnsi="Times New Roman"/>
          <w:sz w:val="24"/>
          <w:szCs w:val="24"/>
        </w:rPr>
        <w:t>9</w:t>
      </w:r>
    </w:p>
    <w:p w:rsidR="00DD0DAB" w:rsidRPr="00E65CB2" w:rsidRDefault="00DD0DAB" w:rsidP="00CC2FB7">
      <w:pPr>
        <w:tabs>
          <w:tab w:val="left" w:pos="284"/>
        </w:tabs>
        <w:jc w:val="both"/>
        <w:rPr>
          <w:rFonts w:ascii="Times New Roman" w:hAnsi="Times New Roman"/>
          <w:sz w:val="24"/>
          <w:szCs w:val="24"/>
        </w:rPr>
      </w:pPr>
      <w:r w:rsidRPr="00E65CB2">
        <w:rPr>
          <w:rFonts w:ascii="Times New Roman" w:hAnsi="Times New Roman"/>
          <w:sz w:val="24"/>
          <w:szCs w:val="24"/>
        </w:rPr>
        <w:t xml:space="preserve"> </w:t>
      </w:r>
    </w:p>
    <w:p w:rsidR="00DD0DAB" w:rsidRPr="00E65CB2" w:rsidRDefault="00DD0DAB" w:rsidP="00E65CB2">
      <w:pPr>
        <w:pStyle w:val="Zkladntext"/>
        <w:jc w:val="right"/>
        <w:rPr>
          <w:rFonts w:eastAsiaTheme="minorHAnsi" w:cstheme="minorBidi"/>
          <w:b/>
          <w:lang w:val="cs-CZ" w:eastAsia="en-US"/>
        </w:rPr>
      </w:pPr>
      <w:r w:rsidRPr="00E65CB2">
        <w:rPr>
          <w:rFonts w:eastAsiaTheme="minorHAnsi" w:cstheme="minorBidi"/>
          <w:b/>
          <w:lang w:val="cs-CZ" w:eastAsia="en-US"/>
        </w:rPr>
        <w:t>Předkladatel:</w:t>
      </w:r>
    </w:p>
    <w:p w:rsidR="00B06855" w:rsidRDefault="00E65CB2" w:rsidP="00E65CB2">
      <w:pPr>
        <w:tabs>
          <w:tab w:val="left" w:pos="284"/>
        </w:tabs>
        <w:jc w:val="right"/>
        <w:rPr>
          <w:rFonts w:ascii="Times New Roman" w:hAnsi="Times New Roman"/>
          <w:sz w:val="24"/>
          <w:szCs w:val="24"/>
        </w:rPr>
      </w:pPr>
      <w:r>
        <w:rPr>
          <w:rFonts w:ascii="Times New Roman" w:hAnsi="Times New Roman"/>
          <w:sz w:val="24"/>
          <w:szCs w:val="24"/>
        </w:rPr>
        <w:t>Petr Dolínek</w:t>
      </w:r>
      <w:r w:rsidR="00DD0DAB" w:rsidRPr="00E65CB2">
        <w:rPr>
          <w:rFonts w:ascii="Times New Roman" w:hAnsi="Times New Roman"/>
          <w:sz w:val="24"/>
          <w:szCs w:val="24"/>
        </w:rPr>
        <w:t xml:space="preserve">, v.r.  </w:t>
      </w:r>
    </w:p>
    <w:p w:rsidR="00B06855" w:rsidRDefault="00B06855">
      <w:pPr>
        <w:rPr>
          <w:rFonts w:ascii="Times New Roman" w:hAnsi="Times New Roman"/>
          <w:sz w:val="24"/>
          <w:szCs w:val="24"/>
        </w:rPr>
      </w:pPr>
    </w:p>
    <w:sectPr w:rsidR="00B06855" w:rsidSect="001E34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AB3" w:rsidRDefault="00682AB3" w:rsidP="00E80449">
      <w:r>
        <w:separator/>
      </w:r>
    </w:p>
  </w:endnote>
  <w:endnote w:type="continuationSeparator" w:id="0">
    <w:p w:rsidR="00682AB3" w:rsidRDefault="00682AB3" w:rsidP="00E8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AB3" w:rsidRDefault="00682AB3" w:rsidP="00E80449">
      <w:r>
        <w:separator/>
      </w:r>
    </w:p>
  </w:footnote>
  <w:footnote w:type="continuationSeparator" w:id="0">
    <w:p w:rsidR="00682AB3" w:rsidRDefault="00682AB3" w:rsidP="00E80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6200D"/>
    <w:multiLevelType w:val="hybridMultilevel"/>
    <w:tmpl w:val="AFA4C16C"/>
    <w:lvl w:ilvl="0" w:tplc="C63EB79E">
      <w:start w:val="1"/>
      <w:numFmt w:val="upperLetter"/>
      <w:lvlText w:val="%1."/>
      <w:lvlJc w:val="left"/>
      <w:pPr>
        <w:ind w:left="358" w:hanging="360"/>
      </w:pPr>
      <w:rPr>
        <w:rFonts w:hint="default"/>
      </w:rPr>
    </w:lvl>
    <w:lvl w:ilvl="1" w:tplc="04050019" w:tentative="1">
      <w:start w:val="1"/>
      <w:numFmt w:val="lowerLetter"/>
      <w:lvlText w:val="%2."/>
      <w:lvlJc w:val="left"/>
      <w:pPr>
        <w:ind w:left="1078" w:hanging="360"/>
      </w:pPr>
    </w:lvl>
    <w:lvl w:ilvl="2" w:tplc="0405001B" w:tentative="1">
      <w:start w:val="1"/>
      <w:numFmt w:val="lowerRoman"/>
      <w:lvlText w:val="%3."/>
      <w:lvlJc w:val="right"/>
      <w:pPr>
        <w:ind w:left="1798" w:hanging="180"/>
      </w:pPr>
    </w:lvl>
    <w:lvl w:ilvl="3" w:tplc="0405000F" w:tentative="1">
      <w:start w:val="1"/>
      <w:numFmt w:val="decimal"/>
      <w:lvlText w:val="%4."/>
      <w:lvlJc w:val="left"/>
      <w:pPr>
        <w:ind w:left="2518" w:hanging="360"/>
      </w:pPr>
    </w:lvl>
    <w:lvl w:ilvl="4" w:tplc="04050019" w:tentative="1">
      <w:start w:val="1"/>
      <w:numFmt w:val="lowerLetter"/>
      <w:lvlText w:val="%5."/>
      <w:lvlJc w:val="left"/>
      <w:pPr>
        <w:ind w:left="3238" w:hanging="360"/>
      </w:pPr>
    </w:lvl>
    <w:lvl w:ilvl="5" w:tplc="0405001B" w:tentative="1">
      <w:start w:val="1"/>
      <w:numFmt w:val="lowerRoman"/>
      <w:lvlText w:val="%6."/>
      <w:lvlJc w:val="right"/>
      <w:pPr>
        <w:ind w:left="3958" w:hanging="180"/>
      </w:pPr>
    </w:lvl>
    <w:lvl w:ilvl="6" w:tplc="0405000F" w:tentative="1">
      <w:start w:val="1"/>
      <w:numFmt w:val="decimal"/>
      <w:lvlText w:val="%7."/>
      <w:lvlJc w:val="left"/>
      <w:pPr>
        <w:ind w:left="4678" w:hanging="360"/>
      </w:pPr>
    </w:lvl>
    <w:lvl w:ilvl="7" w:tplc="04050019" w:tentative="1">
      <w:start w:val="1"/>
      <w:numFmt w:val="lowerLetter"/>
      <w:lvlText w:val="%8."/>
      <w:lvlJc w:val="left"/>
      <w:pPr>
        <w:ind w:left="5398" w:hanging="360"/>
      </w:pPr>
    </w:lvl>
    <w:lvl w:ilvl="8" w:tplc="0405001B" w:tentative="1">
      <w:start w:val="1"/>
      <w:numFmt w:val="lowerRoman"/>
      <w:lvlText w:val="%9."/>
      <w:lvlJc w:val="right"/>
      <w:pPr>
        <w:ind w:left="6118" w:hanging="180"/>
      </w:pPr>
    </w:lvl>
  </w:abstractNum>
  <w:abstractNum w:abstractNumId="1" w15:restartNumberingAfterBreak="0">
    <w:nsid w:val="5DE26347"/>
    <w:multiLevelType w:val="hybridMultilevel"/>
    <w:tmpl w:val="1B90B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DAB6667"/>
    <w:multiLevelType w:val="hybridMultilevel"/>
    <w:tmpl w:val="6576F41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137"/>
    <w:rsid w:val="000033C6"/>
    <w:rsid w:val="00017D9B"/>
    <w:rsid w:val="00021A10"/>
    <w:rsid w:val="00024B2B"/>
    <w:rsid w:val="00034683"/>
    <w:rsid w:val="000944C0"/>
    <w:rsid w:val="000A3720"/>
    <w:rsid w:val="000B74E4"/>
    <w:rsid w:val="00120B66"/>
    <w:rsid w:val="0013752C"/>
    <w:rsid w:val="00184728"/>
    <w:rsid w:val="001C577A"/>
    <w:rsid w:val="001E3430"/>
    <w:rsid w:val="00200646"/>
    <w:rsid w:val="00263386"/>
    <w:rsid w:val="0034586C"/>
    <w:rsid w:val="00353209"/>
    <w:rsid w:val="00385244"/>
    <w:rsid w:val="003B48BF"/>
    <w:rsid w:val="003B69B0"/>
    <w:rsid w:val="003C17A9"/>
    <w:rsid w:val="003D5B5C"/>
    <w:rsid w:val="00464E4F"/>
    <w:rsid w:val="004C0A52"/>
    <w:rsid w:val="00520F78"/>
    <w:rsid w:val="0056712F"/>
    <w:rsid w:val="0057275E"/>
    <w:rsid w:val="005A6B9A"/>
    <w:rsid w:val="005C176B"/>
    <w:rsid w:val="00605BA1"/>
    <w:rsid w:val="006277CF"/>
    <w:rsid w:val="0064549E"/>
    <w:rsid w:val="00682AB3"/>
    <w:rsid w:val="00683E8F"/>
    <w:rsid w:val="006A6A82"/>
    <w:rsid w:val="006D7E97"/>
    <w:rsid w:val="006F5E2B"/>
    <w:rsid w:val="00752B7F"/>
    <w:rsid w:val="0075671C"/>
    <w:rsid w:val="00757B11"/>
    <w:rsid w:val="007967A7"/>
    <w:rsid w:val="007B0F32"/>
    <w:rsid w:val="007D5C04"/>
    <w:rsid w:val="00806550"/>
    <w:rsid w:val="008A2A82"/>
    <w:rsid w:val="008C3D2D"/>
    <w:rsid w:val="008C3D7C"/>
    <w:rsid w:val="00922E78"/>
    <w:rsid w:val="009D0071"/>
    <w:rsid w:val="009D2166"/>
    <w:rsid w:val="00A54A5F"/>
    <w:rsid w:val="00AD1407"/>
    <w:rsid w:val="00B06855"/>
    <w:rsid w:val="00B225BA"/>
    <w:rsid w:val="00C31B14"/>
    <w:rsid w:val="00C77A47"/>
    <w:rsid w:val="00CC2FB7"/>
    <w:rsid w:val="00CF74DB"/>
    <w:rsid w:val="00D03137"/>
    <w:rsid w:val="00D81207"/>
    <w:rsid w:val="00DB745F"/>
    <w:rsid w:val="00DD0DAB"/>
    <w:rsid w:val="00E01330"/>
    <w:rsid w:val="00E05530"/>
    <w:rsid w:val="00E65CB2"/>
    <w:rsid w:val="00E80449"/>
    <w:rsid w:val="00EB079D"/>
    <w:rsid w:val="00EC07EC"/>
    <w:rsid w:val="00F01B64"/>
    <w:rsid w:val="00F752C0"/>
    <w:rsid w:val="00FB733A"/>
    <w:rsid w:val="00FC6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5FA10"/>
  <w15:chartTrackingRefBased/>
  <w15:docId w15:val="{30A95D53-7463-48CB-889C-0B10B121D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unhideWhenUsed/>
    <w:rsid w:val="00DD0DAB"/>
    <w:pPr>
      <w:spacing w:after="200"/>
    </w:pPr>
    <w:rPr>
      <w:rFonts w:ascii="Calibri" w:eastAsia="Calibri" w:hAnsi="Calibri" w:cs="Times New Roman"/>
      <w:sz w:val="20"/>
      <w:szCs w:val="20"/>
      <w:lang w:val="x-none" w:eastAsia="x-none"/>
    </w:rPr>
  </w:style>
  <w:style w:type="character" w:customStyle="1" w:styleId="TextkomenteChar">
    <w:name w:val="Text komentáře Char"/>
    <w:basedOn w:val="Standardnpsmoodstavce"/>
    <w:link w:val="Textkomente"/>
    <w:semiHidden/>
    <w:rsid w:val="00DD0DAB"/>
    <w:rPr>
      <w:rFonts w:ascii="Calibri" w:eastAsia="Calibri" w:hAnsi="Calibri" w:cs="Times New Roman"/>
      <w:sz w:val="20"/>
      <w:szCs w:val="20"/>
      <w:lang w:val="x-none" w:eastAsia="x-none"/>
    </w:rPr>
  </w:style>
  <w:style w:type="paragraph" w:styleId="Zkladntext">
    <w:name w:val="Body Text"/>
    <w:basedOn w:val="Normln"/>
    <w:link w:val="ZkladntextChar"/>
    <w:semiHidden/>
    <w:unhideWhenUsed/>
    <w:rsid w:val="00DD0DAB"/>
    <w:pPr>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DD0DAB"/>
    <w:rPr>
      <w:rFonts w:ascii="Times New Roman" w:eastAsia="Times New Roman" w:hAnsi="Times New Roman" w:cs="Times New Roman"/>
      <w:sz w:val="24"/>
      <w:szCs w:val="24"/>
      <w:lang w:val="x-none" w:eastAsia="x-none"/>
    </w:rPr>
  </w:style>
  <w:style w:type="paragraph" w:styleId="Bezmezer">
    <w:name w:val="No Spacing"/>
    <w:qFormat/>
    <w:rsid w:val="00DD0DAB"/>
    <w:rPr>
      <w:rFonts w:ascii="Calibri" w:eastAsia="Calibri" w:hAnsi="Calibri" w:cs="Times New Roman"/>
    </w:rPr>
  </w:style>
  <w:style w:type="paragraph" w:customStyle="1" w:styleId="Default">
    <w:name w:val="Default"/>
    <w:rsid w:val="00DD0DAB"/>
    <w:pPr>
      <w:autoSpaceDE w:val="0"/>
      <w:autoSpaceDN w:val="0"/>
      <w:adjustRightInd w:val="0"/>
    </w:pPr>
    <w:rPr>
      <w:rFonts w:ascii="Verdana" w:eastAsia="Times New Roman" w:hAnsi="Verdana" w:cs="Verdana"/>
      <w:color w:val="000000"/>
      <w:sz w:val="24"/>
      <w:szCs w:val="24"/>
    </w:rPr>
  </w:style>
  <w:style w:type="character" w:customStyle="1" w:styleId="dn">
    <w:name w:val="Žádný"/>
    <w:rsid w:val="00DD0DAB"/>
  </w:style>
  <w:style w:type="paragraph" w:styleId="Odstavecseseznamem">
    <w:name w:val="List Paragraph"/>
    <w:basedOn w:val="Normln"/>
    <w:uiPriority w:val="34"/>
    <w:qFormat/>
    <w:rsid w:val="00C77A47"/>
    <w:pPr>
      <w:ind w:left="720"/>
      <w:contextualSpacing/>
    </w:pPr>
  </w:style>
  <w:style w:type="paragraph" w:styleId="Zhlav">
    <w:name w:val="header"/>
    <w:basedOn w:val="Normln"/>
    <w:link w:val="ZhlavChar"/>
    <w:uiPriority w:val="99"/>
    <w:unhideWhenUsed/>
    <w:rsid w:val="00E80449"/>
    <w:pPr>
      <w:tabs>
        <w:tab w:val="center" w:pos="4536"/>
        <w:tab w:val="right" w:pos="9072"/>
      </w:tabs>
    </w:pPr>
  </w:style>
  <w:style w:type="character" w:customStyle="1" w:styleId="ZhlavChar">
    <w:name w:val="Záhlaví Char"/>
    <w:basedOn w:val="Standardnpsmoodstavce"/>
    <w:link w:val="Zhlav"/>
    <w:uiPriority w:val="99"/>
    <w:rsid w:val="00E80449"/>
  </w:style>
  <w:style w:type="paragraph" w:styleId="Zpat">
    <w:name w:val="footer"/>
    <w:basedOn w:val="Normln"/>
    <w:link w:val="ZpatChar"/>
    <w:uiPriority w:val="99"/>
    <w:unhideWhenUsed/>
    <w:rsid w:val="00E80449"/>
    <w:pPr>
      <w:tabs>
        <w:tab w:val="center" w:pos="4536"/>
        <w:tab w:val="right" w:pos="9072"/>
      </w:tabs>
    </w:pPr>
  </w:style>
  <w:style w:type="character" w:customStyle="1" w:styleId="ZpatChar">
    <w:name w:val="Zápatí Char"/>
    <w:basedOn w:val="Standardnpsmoodstavce"/>
    <w:link w:val="Zpat"/>
    <w:uiPriority w:val="99"/>
    <w:rsid w:val="00E80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636819">
      <w:bodyDiv w:val="1"/>
      <w:marLeft w:val="0"/>
      <w:marRight w:val="0"/>
      <w:marTop w:val="0"/>
      <w:marBottom w:val="0"/>
      <w:divBdr>
        <w:top w:val="none" w:sz="0" w:space="0" w:color="auto"/>
        <w:left w:val="none" w:sz="0" w:space="0" w:color="auto"/>
        <w:bottom w:val="none" w:sz="0" w:space="0" w:color="auto"/>
        <w:right w:val="none" w:sz="0" w:space="0" w:color="auto"/>
      </w:divBdr>
    </w:div>
    <w:div w:id="908685550">
      <w:bodyDiv w:val="1"/>
      <w:marLeft w:val="0"/>
      <w:marRight w:val="0"/>
      <w:marTop w:val="0"/>
      <w:marBottom w:val="0"/>
      <w:divBdr>
        <w:top w:val="none" w:sz="0" w:space="0" w:color="auto"/>
        <w:left w:val="none" w:sz="0" w:space="0" w:color="auto"/>
        <w:bottom w:val="none" w:sz="0" w:space="0" w:color="auto"/>
        <w:right w:val="none" w:sz="0" w:space="0" w:color="auto"/>
      </w:divBdr>
    </w:div>
    <w:div w:id="201498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3C46-6BED-4680-8ABE-48D45CE85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2097</Words>
  <Characters>12374</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cp:keywords/>
  <dc:description/>
  <cp:lastModifiedBy>Lempera Jaroslav</cp:lastModifiedBy>
  <cp:revision>3</cp:revision>
  <dcterms:created xsi:type="dcterms:W3CDTF">2019-02-19T10:39:00Z</dcterms:created>
  <dcterms:modified xsi:type="dcterms:W3CDTF">2019-02-19T10:41:00Z</dcterms:modified>
</cp:coreProperties>
</file>