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Pr="000E073D" w:rsidRDefault="000C6893" w:rsidP="000E073D">
      <w:pPr>
        <w:pStyle w:val="Styl2"/>
        <w:spacing w:after="0"/>
        <w:ind w:left="0" w:firstLine="0"/>
        <w:jc w:val="center"/>
        <w:rPr>
          <w:b/>
          <w:bCs/>
          <w:sz w:val="24"/>
        </w:rPr>
      </w:pPr>
      <w:r>
        <w:rPr>
          <w:b/>
          <w:bCs/>
          <w:sz w:val="24"/>
        </w:rPr>
        <w:t xml:space="preserve">k </w:t>
      </w:r>
      <w:r w:rsidR="000E073D" w:rsidRPr="000E073D">
        <w:rPr>
          <w:b/>
          <w:sz w:val="24"/>
        </w:rPr>
        <w:t>návrhu poslance Karla Raise na vydání zákona, kterým se mění</w:t>
      </w:r>
      <w:r w:rsidR="000E073D">
        <w:rPr>
          <w:b/>
          <w:sz w:val="24"/>
        </w:rPr>
        <w:t xml:space="preserve"> </w:t>
      </w:r>
      <w:r w:rsidR="000E073D" w:rsidRPr="000E073D">
        <w:rPr>
          <w:b/>
          <w:sz w:val="24"/>
        </w:rPr>
        <w:t>zákonné opatření Senátu č. 340/2013 Sb., o dani z nabytí nemovitých věcí,</w:t>
      </w:r>
      <w:r w:rsidR="000E073D">
        <w:rPr>
          <w:b/>
          <w:sz w:val="24"/>
        </w:rPr>
        <w:t xml:space="preserve"> </w:t>
      </w:r>
      <w:r w:rsidR="000E073D" w:rsidRPr="000E073D">
        <w:rPr>
          <w:b/>
          <w:sz w:val="24"/>
        </w:rPr>
        <w:t>ve znění zákona č. 254/2016 Sb.</w:t>
      </w:r>
    </w:p>
    <w:p w:rsidR="000C6893" w:rsidRDefault="000C6893">
      <w:pPr>
        <w:pStyle w:val="Nadpis"/>
        <w:spacing w:before="0" w:after="0"/>
        <w:jc w:val="center"/>
        <w:rPr>
          <w:b/>
          <w:bCs/>
        </w:rPr>
      </w:pPr>
      <w:r>
        <w:rPr>
          <w:b/>
          <w:bCs/>
          <w:sz w:val="24"/>
        </w:rPr>
        <w:t xml:space="preserve">(tisk </w:t>
      </w:r>
      <w:r w:rsidR="000E073D">
        <w:rPr>
          <w:b/>
          <w:bCs/>
          <w:sz w:val="24"/>
        </w:rPr>
        <w:t>179)</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 w:rsidR="000C6893" w:rsidRDefault="000C6893">
      <w:pPr>
        <w:pStyle w:val="Nadpis4"/>
        <w:jc w:val="center"/>
      </w:pPr>
      <w:r>
        <w:rPr>
          <w:b/>
        </w:rPr>
        <w:t xml:space="preserve">Pozměňovací návrhy přednesené ve druhém čtení dne </w:t>
      </w:r>
      <w:r w:rsidR="005E45AE">
        <w:rPr>
          <w:b/>
        </w:rPr>
        <w:t>12. února 2019</w:t>
      </w:r>
    </w:p>
    <w:p w:rsidR="000C6893" w:rsidRDefault="000C6893"/>
    <w:p w:rsidR="000C6893" w:rsidRDefault="000C6893"/>
    <w:p w:rsidR="000C6893" w:rsidRDefault="000C6893"/>
    <w:p w:rsidR="000C6893" w:rsidRDefault="000C6893" w:rsidP="00511F8C">
      <w:pPr>
        <w:pStyle w:val="PNposlanec"/>
      </w:pPr>
      <w:r>
        <w:t>Poslanec</w:t>
      </w:r>
      <w:r w:rsidR="000E073D">
        <w:t xml:space="preserve"> Vojtěch Munzar</w:t>
      </w:r>
    </w:p>
    <w:p w:rsidR="000C6893" w:rsidRPr="000E073D" w:rsidRDefault="000E073D">
      <w:pPr>
        <w:rPr>
          <w:i/>
        </w:rPr>
      </w:pPr>
      <w:r w:rsidRPr="000E073D">
        <w:rPr>
          <w:i/>
        </w:rPr>
        <w:t>SD 1655</w:t>
      </w:r>
    </w:p>
    <w:p w:rsidR="000C6893" w:rsidRDefault="000C6893"/>
    <w:p w:rsidR="000E073D" w:rsidRPr="00D71406" w:rsidRDefault="000E073D" w:rsidP="000E073D">
      <w:pPr>
        <w:rPr>
          <w:b/>
          <w:u w:val="single"/>
        </w:rPr>
      </w:pPr>
      <w:r w:rsidRPr="00D71406">
        <w:rPr>
          <w:b/>
          <w:u w:val="single"/>
        </w:rPr>
        <w:t>Varianta I</w:t>
      </w:r>
    </w:p>
    <w:p w:rsidR="000E073D" w:rsidRPr="007C31AD" w:rsidRDefault="000E073D" w:rsidP="000E073D">
      <w:pPr>
        <w:rPr>
          <w:u w:val="single"/>
        </w:rPr>
      </w:pPr>
      <w:r w:rsidRPr="007C31AD">
        <w:rPr>
          <w:u w:val="single"/>
        </w:rPr>
        <w:t>Čl. I nově zní:</w:t>
      </w:r>
    </w:p>
    <w:p w:rsidR="000E073D" w:rsidRDefault="000E073D" w:rsidP="000E073D">
      <w:r>
        <w:t>Zákonné opatření Senátu č. 340/2013 Sb., o dani z nabytí nemovitých věcí, ve znění pozdějších předpisů, se zrušuje.</w:t>
      </w:r>
    </w:p>
    <w:p w:rsidR="000E073D" w:rsidRDefault="000E073D" w:rsidP="000E073D"/>
    <w:p w:rsidR="000E073D" w:rsidRPr="00D71406" w:rsidRDefault="000E073D" w:rsidP="000E073D">
      <w:pPr>
        <w:rPr>
          <w:b/>
          <w:u w:val="single"/>
        </w:rPr>
      </w:pPr>
      <w:r w:rsidRPr="00D71406">
        <w:rPr>
          <w:b/>
          <w:u w:val="single"/>
        </w:rPr>
        <w:t>Varianta II</w:t>
      </w:r>
    </w:p>
    <w:p w:rsidR="000E073D" w:rsidRPr="007C31AD" w:rsidRDefault="000E073D" w:rsidP="000E073D">
      <w:pPr>
        <w:rPr>
          <w:u w:val="single"/>
        </w:rPr>
      </w:pPr>
      <w:r w:rsidRPr="007C31AD">
        <w:rPr>
          <w:u w:val="single"/>
        </w:rPr>
        <w:t>V čl. I se doplňuje novelizační bod 3, který zní takto:</w:t>
      </w:r>
    </w:p>
    <w:p w:rsidR="000E073D" w:rsidRDefault="000E073D" w:rsidP="000E073D">
      <w:r>
        <w:t>„3. V § 26 se slova „4 %“ nahrazují slovy „1 %“.“</w:t>
      </w:r>
      <w:r w:rsidR="00667EF6">
        <w:t>.</w:t>
      </w:r>
    </w:p>
    <w:p w:rsidR="000E073D" w:rsidRDefault="000E073D" w:rsidP="000E073D"/>
    <w:p w:rsidR="000E073D" w:rsidRPr="00D71406" w:rsidRDefault="000E073D" w:rsidP="000E073D">
      <w:pPr>
        <w:rPr>
          <w:b/>
          <w:u w:val="single"/>
        </w:rPr>
      </w:pPr>
      <w:r w:rsidRPr="00D71406">
        <w:rPr>
          <w:b/>
          <w:u w:val="single"/>
        </w:rPr>
        <w:t>Varianta III</w:t>
      </w:r>
    </w:p>
    <w:p w:rsidR="000E073D" w:rsidRPr="007C31AD" w:rsidRDefault="000E073D" w:rsidP="000E073D">
      <w:pPr>
        <w:rPr>
          <w:u w:val="single"/>
        </w:rPr>
      </w:pPr>
      <w:r w:rsidRPr="007C31AD">
        <w:rPr>
          <w:u w:val="single"/>
        </w:rPr>
        <w:t>V čl. I se doplňuje novelizační bod 3, který zní takto:</w:t>
      </w:r>
    </w:p>
    <w:p w:rsidR="000E073D" w:rsidRDefault="000E073D" w:rsidP="000E073D">
      <w:r>
        <w:t>„3. V § 26 se slova „4 %“ nahrazují slovy „2 %“.“</w:t>
      </w:r>
      <w:r w:rsidR="00667EF6">
        <w:t>.</w:t>
      </w:r>
    </w:p>
    <w:p w:rsidR="000E073D" w:rsidRDefault="000E073D" w:rsidP="000E073D"/>
    <w:p w:rsidR="000E073D" w:rsidRPr="00D71406" w:rsidRDefault="000E073D" w:rsidP="000E073D">
      <w:pPr>
        <w:rPr>
          <w:b/>
          <w:u w:val="single"/>
        </w:rPr>
      </w:pPr>
      <w:r w:rsidRPr="00D71406">
        <w:rPr>
          <w:b/>
          <w:u w:val="single"/>
        </w:rPr>
        <w:t>Varianta IV</w:t>
      </w:r>
    </w:p>
    <w:p w:rsidR="000E073D" w:rsidRPr="007C31AD" w:rsidRDefault="000E073D" w:rsidP="000E073D">
      <w:pPr>
        <w:rPr>
          <w:u w:val="single"/>
        </w:rPr>
      </w:pPr>
      <w:r w:rsidRPr="007C31AD">
        <w:rPr>
          <w:u w:val="single"/>
        </w:rPr>
        <w:t>V čl. I se doplňuje novelizační bod 3, který zní takto:</w:t>
      </w:r>
    </w:p>
    <w:p w:rsidR="000E073D" w:rsidRDefault="000E073D" w:rsidP="000E073D">
      <w:r>
        <w:t>„3. V § 26 se slova „4 %“ nahrazují slovy „3 %“.“</w:t>
      </w:r>
      <w:r w:rsidR="00667EF6">
        <w:t>.</w:t>
      </w:r>
    </w:p>
    <w:p w:rsidR="000C6893" w:rsidRDefault="000C6893"/>
    <w:p w:rsidR="000C6893" w:rsidRDefault="000C6893"/>
    <w:p w:rsidR="00326F58" w:rsidRDefault="00326F58"/>
    <w:p w:rsidR="000C6893" w:rsidRDefault="000E073D" w:rsidP="000E073D">
      <w:pPr>
        <w:pStyle w:val="PNposlanec"/>
      </w:pPr>
      <w:r>
        <w:t>Poslanec Tomáš Martínek</w:t>
      </w:r>
    </w:p>
    <w:p w:rsidR="000C6893" w:rsidRPr="00326F58" w:rsidRDefault="000E073D">
      <w:pPr>
        <w:rPr>
          <w:i/>
        </w:rPr>
      </w:pPr>
      <w:r w:rsidRPr="00326F58">
        <w:rPr>
          <w:i/>
        </w:rPr>
        <w:t>SD 2022</w:t>
      </w:r>
    </w:p>
    <w:p w:rsidR="000C6893" w:rsidRPr="000E073D" w:rsidRDefault="000C6893">
      <w:pPr>
        <w:rPr>
          <w:rFonts w:cs="Times New Roman"/>
        </w:rPr>
      </w:pPr>
    </w:p>
    <w:p w:rsidR="000E073D" w:rsidRPr="000E073D" w:rsidRDefault="000E073D" w:rsidP="000E073D">
      <w:pPr>
        <w:widowControl/>
        <w:numPr>
          <w:ilvl w:val="0"/>
          <w:numId w:val="3"/>
        </w:numPr>
        <w:suppressAutoHyphens w:val="0"/>
        <w:jc w:val="both"/>
        <w:rPr>
          <w:rFonts w:eastAsia="Times New Roman" w:cs="Times New Roman"/>
          <w:bCs/>
          <w:lang w:eastAsia="cs-CZ"/>
        </w:rPr>
      </w:pPr>
      <w:r w:rsidRPr="000E073D">
        <w:rPr>
          <w:rFonts w:eastAsia="Times New Roman" w:cs="Times New Roman"/>
          <w:bCs/>
          <w:lang w:eastAsia="cs-CZ"/>
        </w:rPr>
        <w:t>V článku I se doplňují novelizační body 3 až 9, které znějí:</w:t>
      </w:r>
    </w:p>
    <w:p w:rsidR="000E073D" w:rsidRPr="000E073D" w:rsidRDefault="000E073D" w:rsidP="000E073D">
      <w:pPr>
        <w:rPr>
          <w:rFonts w:eastAsia="Times New Roman" w:cs="Times New Roman"/>
          <w:bCs/>
          <w:lang w:eastAsia="cs-CZ"/>
        </w:rPr>
      </w:pPr>
    </w:p>
    <w:p w:rsidR="000E073D" w:rsidRPr="000E073D" w:rsidRDefault="00667EF6" w:rsidP="000E073D">
      <w:pPr>
        <w:jc w:val="both"/>
        <w:rPr>
          <w:rFonts w:cs="Times New Roman"/>
          <w:bCs/>
        </w:rPr>
      </w:pPr>
      <w:r>
        <w:rPr>
          <w:rFonts w:cs="Times New Roman"/>
        </w:rPr>
        <w:t>„</w:t>
      </w:r>
      <w:r w:rsidR="000E073D" w:rsidRPr="000E073D">
        <w:rPr>
          <w:rFonts w:cs="Times New Roman"/>
        </w:rPr>
        <w:t xml:space="preserve">3. V § 7 se na konci odstavce 2 tečka nahrazuje čárkou a doplňují se slova </w:t>
      </w:r>
      <w:r>
        <w:rPr>
          <w:rFonts w:cs="Times New Roman"/>
        </w:rPr>
        <w:t>„</w:t>
      </w:r>
      <w:r w:rsidR="000E073D" w:rsidRPr="000E073D">
        <w:rPr>
          <w:rFonts w:cs="Times New Roman"/>
        </w:rPr>
        <w:t>a to pouze tehdy, je-li poplatníkem pouze fyzická osoba, která je občanem České republiky nebo jiného členského státu Evropské unie nebo jiného státu tvořícího Evropský hospodářský prostor, případně osobou, které mezinárodní smlouva nebo přímo použitelný předpis Evropské unie zaručuje pro tyto účely stejné zacházení.</w:t>
      </w:r>
      <w:r>
        <w:rPr>
          <w:rFonts w:cs="Times New Roman"/>
        </w:rPr>
        <w:t>“</w:t>
      </w:r>
      <w:r w:rsidR="000E073D" w:rsidRPr="000E073D">
        <w:rPr>
          <w:rFonts w:cs="Times New Roman"/>
        </w:rPr>
        <w:t>.</w:t>
      </w:r>
    </w:p>
    <w:p w:rsidR="00D86685" w:rsidRDefault="00D86685" w:rsidP="000E073D">
      <w:pPr>
        <w:pStyle w:val="Novelizanbod"/>
        <w:tabs>
          <w:tab w:val="clear" w:pos="567"/>
        </w:tabs>
        <w:spacing w:before="0"/>
        <w:rPr>
          <w:bCs/>
          <w:szCs w:val="24"/>
        </w:rPr>
      </w:pPr>
    </w:p>
    <w:p w:rsidR="000E073D" w:rsidRPr="000E073D" w:rsidRDefault="00D86685" w:rsidP="000E073D">
      <w:pPr>
        <w:pStyle w:val="Novelizanbod"/>
        <w:tabs>
          <w:tab w:val="clear" w:pos="567"/>
        </w:tabs>
        <w:spacing w:before="0"/>
        <w:rPr>
          <w:bCs/>
          <w:szCs w:val="24"/>
        </w:rPr>
      </w:pPr>
      <w:r>
        <w:rPr>
          <w:bCs/>
          <w:szCs w:val="24"/>
        </w:rPr>
        <w:br w:type="page"/>
      </w:r>
      <w:r w:rsidR="000E073D" w:rsidRPr="000E073D">
        <w:rPr>
          <w:bCs/>
          <w:szCs w:val="24"/>
        </w:rPr>
        <w:lastRenderedPageBreak/>
        <w:t>4. § 26 včetně nadpisu zní:</w:t>
      </w:r>
    </w:p>
    <w:p w:rsidR="000E073D" w:rsidRPr="000E073D" w:rsidRDefault="00667EF6" w:rsidP="000E073D">
      <w:pPr>
        <w:pStyle w:val="Novelizanbod"/>
        <w:tabs>
          <w:tab w:val="clear" w:pos="567"/>
        </w:tabs>
        <w:spacing w:before="0"/>
        <w:ind w:firstLine="0"/>
        <w:jc w:val="center"/>
        <w:rPr>
          <w:bCs/>
          <w:szCs w:val="24"/>
        </w:rPr>
      </w:pPr>
      <w:r>
        <w:rPr>
          <w:bCs/>
          <w:szCs w:val="24"/>
        </w:rPr>
        <w:t>„</w:t>
      </w:r>
      <w:r w:rsidR="000E073D" w:rsidRPr="000E073D">
        <w:rPr>
          <w:bCs/>
          <w:szCs w:val="24"/>
        </w:rPr>
        <w:t>§ 26</w:t>
      </w:r>
    </w:p>
    <w:p w:rsidR="000E073D" w:rsidRPr="000E073D" w:rsidRDefault="000E073D" w:rsidP="000E073D">
      <w:pPr>
        <w:pStyle w:val="Novelizanbod"/>
        <w:tabs>
          <w:tab w:val="clear" w:pos="567"/>
        </w:tabs>
        <w:spacing w:before="0"/>
        <w:ind w:firstLine="0"/>
        <w:jc w:val="center"/>
        <w:rPr>
          <w:bCs/>
          <w:szCs w:val="24"/>
        </w:rPr>
      </w:pPr>
      <w:r w:rsidRPr="000E073D">
        <w:rPr>
          <w:bCs/>
          <w:szCs w:val="24"/>
        </w:rPr>
        <w:t>Sazba daně</w:t>
      </w:r>
    </w:p>
    <w:p w:rsidR="000E073D" w:rsidRPr="000E073D" w:rsidRDefault="00667EF6" w:rsidP="000E073D">
      <w:pPr>
        <w:pStyle w:val="Novelizanbod"/>
        <w:tabs>
          <w:tab w:val="clear" w:pos="567"/>
        </w:tabs>
        <w:spacing w:before="0"/>
        <w:rPr>
          <w:bCs/>
          <w:szCs w:val="24"/>
        </w:rPr>
      </w:pPr>
      <w:r>
        <w:rPr>
          <w:bCs/>
          <w:szCs w:val="24"/>
        </w:rPr>
        <w:tab/>
      </w:r>
      <w:r w:rsidR="000E073D" w:rsidRPr="000E073D">
        <w:rPr>
          <w:bCs/>
          <w:szCs w:val="24"/>
        </w:rPr>
        <w:t>(1) Základní sazba daně z nabytí nemovitých věcí činí 4 %.</w:t>
      </w:r>
    </w:p>
    <w:p w:rsidR="000E073D" w:rsidRPr="000E073D" w:rsidRDefault="00667EF6" w:rsidP="00057181">
      <w:pPr>
        <w:pStyle w:val="Novelizanbod"/>
        <w:tabs>
          <w:tab w:val="clear" w:pos="851"/>
          <w:tab w:val="left" w:pos="567"/>
        </w:tabs>
        <w:spacing w:before="0"/>
        <w:ind w:left="0" w:firstLine="0"/>
        <w:rPr>
          <w:bCs/>
          <w:szCs w:val="24"/>
        </w:rPr>
      </w:pPr>
      <w:r>
        <w:rPr>
          <w:bCs/>
          <w:szCs w:val="24"/>
        </w:rPr>
        <w:tab/>
      </w:r>
      <w:r w:rsidR="000E073D" w:rsidRPr="000E073D">
        <w:rPr>
          <w:bCs/>
          <w:szCs w:val="24"/>
        </w:rPr>
        <w:t>(2) Snížená sazba daně z nabytí nemovitých věcí činí 2 %. Snížená sazba daně se použije pro část základu daně do 4 000 000 Kč a základní sazba daně se použije pro část základu daně přesahující 4 000 000 Kč, pokud</w:t>
      </w:r>
    </w:p>
    <w:p w:rsidR="000E073D" w:rsidRPr="000E073D" w:rsidRDefault="000E073D" w:rsidP="00667EF6">
      <w:pPr>
        <w:pStyle w:val="Novelizanbod"/>
        <w:numPr>
          <w:ilvl w:val="0"/>
          <w:numId w:val="4"/>
        </w:numPr>
        <w:tabs>
          <w:tab w:val="clear" w:pos="851"/>
          <w:tab w:val="left" w:pos="426"/>
        </w:tabs>
        <w:spacing w:before="0"/>
        <w:ind w:left="426" w:hanging="426"/>
        <w:rPr>
          <w:bCs/>
          <w:szCs w:val="24"/>
        </w:rPr>
      </w:pPr>
      <w:r w:rsidRPr="000E073D">
        <w:rPr>
          <w:bCs/>
          <w:szCs w:val="24"/>
        </w:rPr>
        <w:t>jde o nabytí vlastnického práva k nemovité věci, která je</w:t>
      </w:r>
    </w:p>
    <w:p w:rsidR="000E073D" w:rsidRPr="000E073D" w:rsidRDefault="000E073D" w:rsidP="00057181">
      <w:pPr>
        <w:pStyle w:val="Novelizanbod"/>
        <w:tabs>
          <w:tab w:val="clear" w:pos="567"/>
        </w:tabs>
        <w:spacing w:before="0"/>
        <w:ind w:left="426" w:firstLine="0"/>
        <w:rPr>
          <w:bCs/>
          <w:szCs w:val="24"/>
        </w:rPr>
      </w:pPr>
      <w:r w:rsidRPr="000E073D">
        <w:rPr>
          <w:bCs/>
          <w:szCs w:val="24"/>
        </w:rPr>
        <w:t xml:space="preserve">1. pozemkem nebo právem stavby, jejichž součástí je dokončená nebo užívaná stavba rodinného domu, </w:t>
      </w:r>
    </w:p>
    <w:p w:rsidR="000E073D" w:rsidRPr="000E073D" w:rsidRDefault="000E073D" w:rsidP="00057181">
      <w:pPr>
        <w:pStyle w:val="Novelizanbod"/>
        <w:tabs>
          <w:tab w:val="clear" w:pos="567"/>
        </w:tabs>
        <w:spacing w:before="0"/>
        <w:ind w:left="426" w:firstLine="0"/>
        <w:rPr>
          <w:bCs/>
          <w:szCs w:val="24"/>
        </w:rPr>
      </w:pPr>
      <w:r w:rsidRPr="000E073D">
        <w:rPr>
          <w:bCs/>
          <w:szCs w:val="24"/>
        </w:rPr>
        <w:t>2. dokončenou nebo užívanou stavbou rodinného domu, nebo</w:t>
      </w:r>
    </w:p>
    <w:p w:rsidR="000E073D" w:rsidRPr="000E073D" w:rsidRDefault="000E073D" w:rsidP="00057181">
      <w:pPr>
        <w:pStyle w:val="Novelizanbod"/>
        <w:tabs>
          <w:tab w:val="clear" w:pos="567"/>
        </w:tabs>
        <w:spacing w:before="0"/>
        <w:ind w:left="426" w:firstLine="0"/>
        <w:rPr>
          <w:bCs/>
          <w:szCs w:val="24"/>
        </w:rPr>
      </w:pPr>
      <w:r w:rsidRPr="000E073D">
        <w:rPr>
          <w:bCs/>
          <w:szCs w:val="24"/>
        </w:rPr>
        <w:t>3. dokončenou nebo užívanou jednotkou v bytovém domě nebo rodinném domě, která nezahrnuje nebytový prostor jiný než garáž, sklep nebo komoru užívané společně s bytem,</w:t>
      </w:r>
    </w:p>
    <w:p w:rsidR="000E073D" w:rsidRPr="000E073D" w:rsidRDefault="000E073D" w:rsidP="00057181">
      <w:pPr>
        <w:pStyle w:val="Novelizanbod"/>
        <w:numPr>
          <w:ilvl w:val="0"/>
          <w:numId w:val="4"/>
        </w:numPr>
        <w:tabs>
          <w:tab w:val="clear" w:pos="851"/>
          <w:tab w:val="left" w:pos="426"/>
        </w:tabs>
        <w:spacing w:before="0"/>
        <w:ind w:left="426" w:hanging="426"/>
        <w:rPr>
          <w:bCs/>
          <w:szCs w:val="24"/>
        </w:rPr>
      </w:pPr>
      <w:r w:rsidRPr="000E073D">
        <w:rPr>
          <w:bCs/>
          <w:szCs w:val="24"/>
        </w:rPr>
        <w:t>poplatník nabývá věc podle písm. a) do výlučného vlastnictví, nebo nabývá alespoň poloviční spoluvlastnický podíl na takové věci,</w:t>
      </w:r>
    </w:p>
    <w:p w:rsidR="000E073D" w:rsidRPr="000E073D" w:rsidRDefault="000E073D" w:rsidP="00057181">
      <w:pPr>
        <w:pStyle w:val="Novelizanbod"/>
        <w:numPr>
          <w:ilvl w:val="0"/>
          <w:numId w:val="4"/>
        </w:numPr>
        <w:tabs>
          <w:tab w:val="clear" w:pos="851"/>
          <w:tab w:val="left" w:pos="426"/>
        </w:tabs>
        <w:spacing w:before="0"/>
        <w:ind w:left="426" w:hanging="426"/>
        <w:rPr>
          <w:bCs/>
          <w:szCs w:val="24"/>
        </w:rPr>
      </w:pPr>
      <w:r w:rsidRPr="000E073D">
        <w:rPr>
          <w:bCs/>
          <w:szCs w:val="24"/>
        </w:rPr>
        <w:t>poplatníkem je pouze fyzická osoba, která v den nabytí vlastnického práva dosáhla věku 18 let, nebo nezletilá fyzická osoba, která nejpozději v okamžik nabytí vlastnického práva nabyla plné svéprávnosti,</w:t>
      </w:r>
    </w:p>
    <w:p w:rsidR="000E073D" w:rsidRPr="000E073D" w:rsidRDefault="000E073D" w:rsidP="00057181">
      <w:pPr>
        <w:pStyle w:val="Novelizanbod"/>
        <w:numPr>
          <w:ilvl w:val="0"/>
          <w:numId w:val="4"/>
        </w:numPr>
        <w:tabs>
          <w:tab w:val="clear" w:pos="851"/>
          <w:tab w:val="left" w:pos="426"/>
        </w:tabs>
        <w:spacing w:before="0"/>
        <w:ind w:left="426" w:hanging="426"/>
        <w:rPr>
          <w:bCs/>
          <w:szCs w:val="24"/>
        </w:rPr>
      </w:pPr>
      <w:r w:rsidRPr="000E073D">
        <w:rPr>
          <w:bCs/>
          <w:szCs w:val="24"/>
        </w:rPr>
        <w:t xml:space="preserve">poplatník k okamžiku nabytí vlastnického práva k nemovité věci </w:t>
      </w:r>
    </w:p>
    <w:p w:rsidR="000E073D" w:rsidRPr="000E073D" w:rsidRDefault="000E073D" w:rsidP="00057181">
      <w:pPr>
        <w:pStyle w:val="Novelizanbod"/>
        <w:tabs>
          <w:tab w:val="clear" w:pos="567"/>
        </w:tabs>
        <w:spacing w:before="0"/>
        <w:ind w:left="426" w:firstLine="0"/>
        <w:rPr>
          <w:bCs/>
          <w:szCs w:val="24"/>
        </w:rPr>
      </w:pPr>
      <w:r w:rsidRPr="000E073D">
        <w:rPr>
          <w:bCs/>
          <w:szCs w:val="24"/>
        </w:rPr>
        <w:t xml:space="preserve">1. nevlastní jinou nemovitou věc určenou byť i jen částečně k bydlení nebo spoluvlastnický podíl na takové nemovité věci nebo podíl v bytovém družstvu a </w:t>
      </w:r>
    </w:p>
    <w:p w:rsidR="000E073D" w:rsidRPr="000E073D" w:rsidRDefault="000E073D" w:rsidP="00057181">
      <w:pPr>
        <w:pStyle w:val="Novelizanbod"/>
        <w:tabs>
          <w:tab w:val="clear" w:pos="567"/>
        </w:tabs>
        <w:spacing w:before="0"/>
        <w:ind w:left="426" w:firstLine="0"/>
        <w:rPr>
          <w:bCs/>
          <w:szCs w:val="24"/>
        </w:rPr>
      </w:pPr>
      <w:r w:rsidRPr="000E073D">
        <w:rPr>
          <w:bCs/>
          <w:szCs w:val="24"/>
        </w:rPr>
        <w:t>2. není skutečným majitelem právnické osoby nebo jednotky bez právní osobnosti podle zákona upravujícího některá opatření proti legalizaci výnosů z trestné činnosti a financování terorismu, které vlastní nebo mají v majetku nemovitou věc určenou byť i jen částečně k bydlení, a</w:t>
      </w:r>
    </w:p>
    <w:p w:rsidR="000E073D" w:rsidRPr="000E073D" w:rsidRDefault="000E073D" w:rsidP="00057181">
      <w:pPr>
        <w:pStyle w:val="Novelizanbod"/>
        <w:numPr>
          <w:ilvl w:val="0"/>
          <w:numId w:val="4"/>
        </w:numPr>
        <w:tabs>
          <w:tab w:val="clear" w:pos="851"/>
          <w:tab w:val="left" w:pos="426"/>
        </w:tabs>
        <w:spacing w:before="0"/>
        <w:ind w:left="426" w:hanging="426"/>
        <w:rPr>
          <w:bCs/>
          <w:szCs w:val="24"/>
        </w:rPr>
      </w:pPr>
      <w:r w:rsidRPr="000E073D">
        <w:rPr>
          <w:bCs/>
          <w:szCs w:val="24"/>
        </w:rPr>
        <w:t>poplatník má v den uplynutí lhůty pro podání daňového přiznání v nabývané nemovité věci</w:t>
      </w:r>
    </w:p>
    <w:p w:rsidR="000E073D" w:rsidRPr="000E073D" w:rsidRDefault="000E073D" w:rsidP="00057181">
      <w:pPr>
        <w:pStyle w:val="Novelizanbod"/>
        <w:tabs>
          <w:tab w:val="clear" w:pos="567"/>
          <w:tab w:val="clear" w:pos="851"/>
        </w:tabs>
        <w:spacing w:before="0"/>
        <w:ind w:left="426" w:firstLine="0"/>
        <w:rPr>
          <w:bCs/>
          <w:szCs w:val="24"/>
        </w:rPr>
      </w:pPr>
      <w:r w:rsidRPr="000E073D">
        <w:rPr>
          <w:bCs/>
          <w:szCs w:val="24"/>
        </w:rPr>
        <w:t xml:space="preserve">1. přihlášen trvalý pobyt nebo, </w:t>
      </w:r>
    </w:p>
    <w:p w:rsidR="000E073D" w:rsidRPr="000E073D" w:rsidRDefault="000E073D" w:rsidP="00057181">
      <w:pPr>
        <w:pStyle w:val="Novelizanbod"/>
        <w:tabs>
          <w:tab w:val="clear" w:pos="567"/>
          <w:tab w:val="clear" w:pos="851"/>
        </w:tabs>
        <w:spacing w:before="0"/>
        <w:ind w:left="426" w:firstLine="0"/>
        <w:rPr>
          <w:bCs/>
          <w:szCs w:val="24"/>
        </w:rPr>
      </w:pPr>
      <w:r w:rsidRPr="000E073D">
        <w:rPr>
          <w:bCs/>
          <w:szCs w:val="24"/>
        </w:rPr>
        <w:t>2. ohlášeno místo pobytu podle zákona o pobytu cizinců na území České republiky, jde-li o občana jiného členského státu Evropské unie nebo jiného státu tvořícího Evropský hospodářský prostor, kterému byl povolen trvalý pobyt nebo který na území České republiky pobývá přechodně po dobu delší než 3 měsíce, případně osobu, které mezinárodní smlouva nebo přímo použitelný předpis Evropské unie zaručuje pro tyto účely stejné zacházení.</w:t>
      </w:r>
    </w:p>
    <w:p w:rsidR="000E073D" w:rsidRPr="000E073D" w:rsidRDefault="000E073D" w:rsidP="00057181">
      <w:pPr>
        <w:pStyle w:val="Novelizanbod"/>
        <w:tabs>
          <w:tab w:val="clear" w:pos="567"/>
        </w:tabs>
        <w:spacing w:before="0"/>
        <w:ind w:left="0" w:firstLine="567"/>
        <w:rPr>
          <w:bCs/>
          <w:szCs w:val="24"/>
        </w:rPr>
      </w:pPr>
      <w:r w:rsidRPr="000E073D">
        <w:rPr>
          <w:bCs/>
          <w:szCs w:val="24"/>
        </w:rPr>
        <w:t>(3) Nabývají-li nemovitou věc podle odstavce 2 manželé do společného jmění manželů, postačí, splňuje-li podmínky podle odstavce 2 písmene c) až e) pouze jeden z nich. Splňují-li podmínky oba, použije se snížená sazba daně pro část základu daně do 8 000 000 Kč a základní sazba daně pro část základu daně přesahující 8 000 000 Kč.</w:t>
      </w:r>
    </w:p>
    <w:p w:rsidR="00057181" w:rsidRDefault="000E073D" w:rsidP="00057181">
      <w:pPr>
        <w:pStyle w:val="Novelizanbod"/>
        <w:tabs>
          <w:tab w:val="clear" w:pos="567"/>
        </w:tabs>
        <w:spacing w:before="0"/>
        <w:ind w:left="0" w:firstLine="567"/>
        <w:rPr>
          <w:bCs/>
          <w:szCs w:val="24"/>
        </w:rPr>
      </w:pPr>
      <w:r w:rsidRPr="000E073D">
        <w:rPr>
          <w:bCs/>
          <w:szCs w:val="24"/>
        </w:rPr>
        <w:t xml:space="preserve">(4) Pokud poplatník do 5 let ode dne nabytí vlastnického práva k nemovité věci, u kterého byly splněny podmínky podle odstavců 2 nebo 3, bezúplatně převede takto nabyté vlastnické právo, nárok na použití snížené sazby daně zaniká. Pro účely zániku nároku na použití snížené sazby daně se za převod vlastnického práva považuje i vyčlenění nemovité věci do </w:t>
      </w:r>
      <w:proofErr w:type="spellStart"/>
      <w:r w:rsidRPr="000E073D">
        <w:rPr>
          <w:bCs/>
          <w:szCs w:val="24"/>
        </w:rPr>
        <w:t>svěřenského</w:t>
      </w:r>
      <w:proofErr w:type="spellEnd"/>
      <w:r w:rsidRPr="000E073D">
        <w:rPr>
          <w:bCs/>
          <w:szCs w:val="24"/>
        </w:rPr>
        <w:t xml:space="preserve"> fondu.”.</w:t>
      </w:r>
    </w:p>
    <w:p w:rsidR="00057181" w:rsidRDefault="00057181" w:rsidP="00057181">
      <w:pPr>
        <w:pStyle w:val="Zkladntext"/>
        <w:rPr>
          <w:rFonts w:eastAsia="Times New Roman" w:cs="Times New Roman"/>
          <w:kern w:val="0"/>
          <w:lang w:eastAsia="cs-CZ" w:bidi="ar-SA"/>
        </w:rPr>
      </w:pPr>
      <w:r>
        <w:br w:type="page"/>
      </w:r>
    </w:p>
    <w:p w:rsidR="000E073D" w:rsidRPr="000E073D" w:rsidRDefault="00057181" w:rsidP="00057181">
      <w:pPr>
        <w:pStyle w:val="Novelizanbod"/>
        <w:tabs>
          <w:tab w:val="clear" w:pos="567"/>
        </w:tabs>
        <w:spacing w:before="0"/>
        <w:rPr>
          <w:szCs w:val="24"/>
        </w:rPr>
      </w:pPr>
      <w:r>
        <w:rPr>
          <w:szCs w:val="24"/>
        </w:rPr>
        <w:lastRenderedPageBreak/>
        <w:t xml:space="preserve">5. </w:t>
      </w:r>
      <w:r w:rsidR="000E073D" w:rsidRPr="000E073D">
        <w:rPr>
          <w:szCs w:val="24"/>
        </w:rPr>
        <w:t>§ 27 včetně nadpisu zní:</w:t>
      </w:r>
    </w:p>
    <w:p w:rsidR="000E073D" w:rsidRPr="000E073D" w:rsidRDefault="00057181" w:rsidP="000E073D">
      <w:pPr>
        <w:pStyle w:val="Novelizanbod"/>
        <w:tabs>
          <w:tab w:val="clear" w:pos="567"/>
        </w:tabs>
        <w:spacing w:before="0"/>
        <w:ind w:left="0" w:firstLine="0"/>
        <w:jc w:val="center"/>
        <w:rPr>
          <w:bCs/>
          <w:szCs w:val="24"/>
        </w:rPr>
      </w:pPr>
      <w:r>
        <w:rPr>
          <w:bCs/>
          <w:szCs w:val="24"/>
        </w:rPr>
        <w:t>„</w:t>
      </w:r>
      <w:r w:rsidR="000E073D" w:rsidRPr="000E073D">
        <w:rPr>
          <w:bCs/>
          <w:szCs w:val="24"/>
        </w:rPr>
        <w:t>§ 27</w:t>
      </w:r>
    </w:p>
    <w:p w:rsidR="000E073D" w:rsidRPr="005D5B0E" w:rsidRDefault="000E073D" w:rsidP="000E073D">
      <w:pPr>
        <w:pStyle w:val="Novelizanbod"/>
        <w:tabs>
          <w:tab w:val="clear" w:pos="567"/>
        </w:tabs>
        <w:spacing w:before="0"/>
        <w:jc w:val="center"/>
        <w:rPr>
          <w:b/>
          <w:bCs/>
          <w:szCs w:val="24"/>
        </w:rPr>
      </w:pPr>
      <w:r w:rsidRPr="005D5B0E">
        <w:rPr>
          <w:b/>
          <w:bCs/>
          <w:szCs w:val="24"/>
        </w:rPr>
        <w:t>Výpočet daně</w:t>
      </w:r>
    </w:p>
    <w:p w:rsidR="000E073D" w:rsidRDefault="00057181" w:rsidP="000E073D">
      <w:pPr>
        <w:pStyle w:val="Novelizanbod"/>
        <w:tabs>
          <w:tab w:val="clear" w:pos="567"/>
        </w:tabs>
        <w:spacing w:before="0"/>
        <w:ind w:left="0" w:firstLine="0"/>
        <w:rPr>
          <w:bCs/>
          <w:szCs w:val="24"/>
        </w:rPr>
      </w:pPr>
      <w:r>
        <w:rPr>
          <w:bCs/>
          <w:szCs w:val="24"/>
        </w:rPr>
        <w:tab/>
      </w:r>
      <w:r w:rsidR="000E073D" w:rsidRPr="000E073D">
        <w:rPr>
          <w:bCs/>
          <w:szCs w:val="24"/>
        </w:rPr>
        <w:t>Daň z nabytí nemovitých věcí se vypočte jako součet součinů příslušné části základu daně a sazby daně pro tuto část základu daně.</w:t>
      </w:r>
      <w:r>
        <w:rPr>
          <w:bCs/>
          <w:szCs w:val="24"/>
        </w:rPr>
        <w:t>“</w:t>
      </w:r>
      <w:r w:rsidR="000E073D" w:rsidRPr="000E073D">
        <w:rPr>
          <w:bCs/>
          <w:szCs w:val="24"/>
        </w:rPr>
        <w:t>.</w:t>
      </w:r>
    </w:p>
    <w:p w:rsidR="000E073D" w:rsidRPr="000E073D" w:rsidRDefault="00057181" w:rsidP="00057181">
      <w:pPr>
        <w:pStyle w:val="Novelizanbod"/>
        <w:tabs>
          <w:tab w:val="clear" w:pos="567"/>
        </w:tabs>
        <w:spacing w:before="0"/>
        <w:rPr>
          <w:bCs/>
          <w:szCs w:val="24"/>
        </w:rPr>
      </w:pPr>
      <w:r>
        <w:rPr>
          <w:bCs/>
          <w:szCs w:val="24"/>
        </w:rPr>
        <w:t xml:space="preserve">6. </w:t>
      </w:r>
      <w:r w:rsidR="000E073D" w:rsidRPr="000E073D">
        <w:rPr>
          <w:bCs/>
          <w:szCs w:val="24"/>
        </w:rPr>
        <w:t>V části druhé hlavě I se za díl 3 vkládá nový díl 4, který včetně nadpisu zní:</w:t>
      </w:r>
    </w:p>
    <w:p w:rsidR="000E073D" w:rsidRPr="000E073D" w:rsidRDefault="00057181" w:rsidP="000E073D">
      <w:pPr>
        <w:pStyle w:val="Novelizanbod"/>
        <w:tabs>
          <w:tab w:val="clear" w:pos="567"/>
        </w:tabs>
        <w:spacing w:before="0"/>
        <w:ind w:firstLine="0"/>
        <w:jc w:val="center"/>
        <w:rPr>
          <w:bCs/>
          <w:szCs w:val="24"/>
        </w:rPr>
      </w:pPr>
      <w:r>
        <w:rPr>
          <w:bCs/>
          <w:szCs w:val="24"/>
        </w:rPr>
        <w:t>„</w:t>
      </w:r>
      <w:r w:rsidR="000E073D" w:rsidRPr="000E073D">
        <w:rPr>
          <w:bCs/>
          <w:szCs w:val="24"/>
        </w:rPr>
        <w:t>Díl 4</w:t>
      </w:r>
    </w:p>
    <w:p w:rsidR="000E073D" w:rsidRPr="000E073D" w:rsidRDefault="000E073D" w:rsidP="000E073D">
      <w:pPr>
        <w:pStyle w:val="Novelizanbod"/>
        <w:tabs>
          <w:tab w:val="clear" w:pos="567"/>
        </w:tabs>
        <w:spacing w:before="0"/>
        <w:ind w:firstLine="0"/>
        <w:jc w:val="center"/>
        <w:rPr>
          <w:bCs/>
          <w:szCs w:val="24"/>
        </w:rPr>
      </w:pPr>
      <w:r w:rsidRPr="000E073D">
        <w:rPr>
          <w:bCs/>
          <w:szCs w:val="24"/>
        </w:rPr>
        <w:t>Zvláštní ustanovení pro tvrzení, stanovení a placení daně při porušení podmínek pro použití snížené sazby daně</w:t>
      </w:r>
    </w:p>
    <w:p w:rsidR="000E073D" w:rsidRPr="000E073D" w:rsidRDefault="000E073D" w:rsidP="000E073D">
      <w:pPr>
        <w:pStyle w:val="Novelizanbod"/>
        <w:tabs>
          <w:tab w:val="clear" w:pos="567"/>
        </w:tabs>
        <w:spacing w:before="0"/>
        <w:ind w:firstLine="0"/>
        <w:jc w:val="center"/>
        <w:rPr>
          <w:bCs/>
          <w:szCs w:val="24"/>
        </w:rPr>
      </w:pPr>
      <w:r w:rsidRPr="000E073D">
        <w:rPr>
          <w:bCs/>
          <w:szCs w:val="24"/>
        </w:rPr>
        <w:t>§ 41a</w:t>
      </w:r>
    </w:p>
    <w:p w:rsidR="000E073D" w:rsidRPr="005D5B0E" w:rsidRDefault="000E073D" w:rsidP="000E073D">
      <w:pPr>
        <w:pStyle w:val="Novelizanbod"/>
        <w:tabs>
          <w:tab w:val="clear" w:pos="567"/>
        </w:tabs>
        <w:spacing w:before="0"/>
        <w:ind w:firstLine="0"/>
        <w:jc w:val="center"/>
        <w:rPr>
          <w:b/>
          <w:bCs/>
          <w:szCs w:val="24"/>
        </w:rPr>
      </w:pPr>
      <w:r w:rsidRPr="005D5B0E">
        <w:rPr>
          <w:b/>
          <w:bCs/>
          <w:szCs w:val="24"/>
        </w:rPr>
        <w:t>Dodatečné daňové přiznání</w:t>
      </w:r>
    </w:p>
    <w:p w:rsidR="000E073D" w:rsidRPr="000E073D" w:rsidRDefault="005D5B0E" w:rsidP="000E073D">
      <w:pPr>
        <w:pStyle w:val="Novelizanbod"/>
        <w:tabs>
          <w:tab w:val="clear" w:pos="567"/>
        </w:tabs>
        <w:spacing w:before="0"/>
        <w:ind w:left="0" w:firstLine="0"/>
        <w:rPr>
          <w:bCs/>
          <w:szCs w:val="24"/>
        </w:rPr>
      </w:pPr>
      <w:r>
        <w:rPr>
          <w:bCs/>
          <w:szCs w:val="24"/>
        </w:rPr>
        <w:tab/>
      </w:r>
      <w:r w:rsidR="000E073D" w:rsidRPr="000E073D">
        <w:rPr>
          <w:bCs/>
          <w:szCs w:val="24"/>
        </w:rPr>
        <w:t>Poplatník je povinen podat dodatečné daňové přiznání k dani z nabytí nemovitých věcí do konce třetího kalendářního měsíce následujícího po kalendářním měsíci, v němž byl v katastru nemovitostí proveden vklad bezúplatného převodu vlastnického práva k nemovité věci, k jejímuž nabytí se vztahovala snížená sazba daně, v případě, že tímto bezúplatným převodem porušil podmínky pro použití snížené sazby daně.</w:t>
      </w:r>
    </w:p>
    <w:p w:rsidR="000E073D" w:rsidRPr="000E073D" w:rsidRDefault="000E073D" w:rsidP="000E073D">
      <w:pPr>
        <w:pStyle w:val="Novelizanbod"/>
        <w:tabs>
          <w:tab w:val="clear" w:pos="567"/>
        </w:tabs>
        <w:spacing w:before="0"/>
        <w:jc w:val="center"/>
        <w:rPr>
          <w:bCs/>
          <w:szCs w:val="24"/>
        </w:rPr>
      </w:pPr>
      <w:r w:rsidRPr="000E073D">
        <w:rPr>
          <w:bCs/>
          <w:szCs w:val="24"/>
        </w:rPr>
        <w:t>§ 41b</w:t>
      </w:r>
    </w:p>
    <w:p w:rsidR="000E073D" w:rsidRPr="005D5B0E" w:rsidRDefault="000E073D" w:rsidP="000E073D">
      <w:pPr>
        <w:pStyle w:val="Novelizanbod"/>
        <w:tabs>
          <w:tab w:val="clear" w:pos="567"/>
        </w:tabs>
        <w:spacing w:before="0"/>
        <w:jc w:val="center"/>
        <w:rPr>
          <w:b/>
          <w:bCs/>
          <w:szCs w:val="24"/>
        </w:rPr>
      </w:pPr>
      <w:r w:rsidRPr="005D5B0E">
        <w:rPr>
          <w:b/>
          <w:bCs/>
          <w:szCs w:val="24"/>
        </w:rPr>
        <w:t>Lhůta pro stanovení daně</w:t>
      </w:r>
    </w:p>
    <w:p w:rsidR="000E073D" w:rsidRPr="000E073D" w:rsidRDefault="005D5B0E" w:rsidP="000E073D">
      <w:pPr>
        <w:pStyle w:val="Novelizanbod"/>
        <w:tabs>
          <w:tab w:val="clear" w:pos="567"/>
        </w:tabs>
        <w:spacing w:before="0"/>
        <w:ind w:left="0" w:firstLine="0"/>
        <w:rPr>
          <w:bCs/>
          <w:szCs w:val="24"/>
        </w:rPr>
      </w:pPr>
      <w:r>
        <w:rPr>
          <w:bCs/>
          <w:szCs w:val="24"/>
        </w:rPr>
        <w:tab/>
      </w:r>
      <w:r w:rsidR="000E073D" w:rsidRPr="000E073D">
        <w:rPr>
          <w:bCs/>
          <w:szCs w:val="24"/>
        </w:rPr>
        <w:t>Lhůta pro stanovení daně v souvislosti se zánikem nároku na použití snížené sazby daně neskončí dříve než uplynutím 3 let od uplynutí lhůty pro podání dodatečného daňového přiznání, které je poplatník povinen podat v důsledku porušení podmínek pro použití snížené sazby daně.</w:t>
      </w:r>
    </w:p>
    <w:p w:rsidR="000E073D" w:rsidRPr="000E073D" w:rsidRDefault="000E073D" w:rsidP="000E073D">
      <w:pPr>
        <w:pStyle w:val="Novelizanbod"/>
        <w:tabs>
          <w:tab w:val="clear" w:pos="567"/>
        </w:tabs>
        <w:spacing w:before="0"/>
        <w:jc w:val="center"/>
        <w:rPr>
          <w:bCs/>
          <w:szCs w:val="24"/>
        </w:rPr>
      </w:pPr>
      <w:r w:rsidRPr="000E073D">
        <w:rPr>
          <w:bCs/>
          <w:szCs w:val="24"/>
        </w:rPr>
        <w:t>§ 41c</w:t>
      </w:r>
    </w:p>
    <w:p w:rsidR="000E073D" w:rsidRPr="005D5B0E" w:rsidRDefault="000E073D" w:rsidP="000E073D">
      <w:pPr>
        <w:pStyle w:val="Novelizanbod"/>
        <w:tabs>
          <w:tab w:val="clear" w:pos="567"/>
        </w:tabs>
        <w:spacing w:before="0"/>
        <w:jc w:val="center"/>
        <w:rPr>
          <w:b/>
          <w:bCs/>
          <w:szCs w:val="24"/>
        </w:rPr>
      </w:pPr>
      <w:r w:rsidRPr="005D5B0E">
        <w:rPr>
          <w:b/>
          <w:bCs/>
          <w:szCs w:val="24"/>
        </w:rPr>
        <w:t>Náhradní lhůta splatnosti</w:t>
      </w:r>
    </w:p>
    <w:p w:rsidR="000E073D" w:rsidRPr="000E073D" w:rsidRDefault="005D5B0E" w:rsidP="000E073D">
      <w:pPr>
        <w:pStyle w:val="Novelizanbod"/>
        <w:tabs>
          <w:tab w:val="clear" w:pos="567"/>
        </w:tabs>
        <w:spacing w:before="0"/>
        <w:ind w:left="0" w:firstLine="0"/>
        <w:rPr>
          <w:bCs/>
          <w:szCs w:val="24"/>
        </w:rPr>
      </w:pPr>
      <w:r>
        <w:rPr>
          <w:bCs/>
          <w:szCs w:val="24"/>
        </w:rPr>
        <w:tab/>
      </w:r>
      <w:r w:rsidR="000E073D" w:rsidRPr="000E073D">
        <w:rPr>
          <w:bCs/>
          <w:szCs w:val="24"/>
        </w:rPr>
        <w:t>Daň dodatečně tvrzená v důsledku porušení podmínek pro použití snížené sazby daně je splatná v náhradní lhůtě splatnosti, která je shodná se lhůtou pro podání dodatečného daňového přiznání, které je poplatník povinen podat v důsledku porušení podmínek pro použití snížené sazby daně.</w:t>
      </w:r>
    </w:p>
    <w:p w:rsidR="000E073D" w:rsidRPr="000E073D" w:rsidRDefault="000E073D" w:rsidP="000E073D">
      <w:pPr>
        <w:pStyle w:val="Novelizanbod"/>
        <w:tabs>
          <w:tab w:val="clear" w:pos="567"/>
        </w:tabs>
        <w:spacing w:before="0"/>
        <w:jc w:val="center"/>
        <w:rPr>
          <w:bCs/>
          <w:szCs w:val="24"/>
        </w:rPr>
      </w:pPr>
      <w:r w:rsidRPr="000E073D">
        <w:rPr>
          <w:bCs/>
          <w:szCs w:val="24"/>
        </w:rPr>
        <w:t>§ 41d</w:t>
      </w:r>
    </w:p>
    <w:p w:rsidR="000E073D" w:rsidRPr="005D5B0E" w:rsidRDefault="000E073D" w:rsidP="000E073D">
      <w:pPr>
        <w:pStyle w:val="Novelizanbod"/>
        <w:tabs>
          <w:tab w:val="clear" w:pos="567"/>
        </w:tabs>
        <w:spacing w:before="0"/>
        <w:jc w:val="center"/>
        <w:rPr>
          <w:b/>
          <w:bCs/>
          <w:szCs w:val="24"/>
        </w:rPr>
      </w:pPr>
      <w:r w:rsidRPr="005D5B0E">
        <w:rPr>
          <w:b/>
          <w:bCs/>
          <w:szCs w:val="24"/>
        </w:rPr>
        <w:t>Úrok z prodlení</w:t>
      </w:r>
    </w:p>
    <w:p w:rsidR="000E073D" w:rsidRPr="000E073D" w:rsidRDefault="005D5B0E" w:rsidP="000E073D">
      <w:pPr>
        <w:pStyle w:val="Novelizanbod"/>
        <w:tabs>
          <w:tab w:val="clear" w:pos="567"/>
        </w:tabs>
        <w:spacing w:before="0"/>
        <w:ind w:left="0" w:firstLine="0"/>
        <w:rPr>
          <w:bCs/>
          <w:szCs w:val="24"/>
        </w:rPr>
      </w:pPr>
      <w:r>
        <w:rPr>
          <w:bCs/>
          <w:szCs w:val="24"/>
        </w:rPr>
        <w:tab/>
      </w:r>
      <w:r w:rsidR="000E073D" w:rsidRPr="000E073D">
        <w:rPr>
          <w:bCs/>
          <w:szCs w:val="24"/>
        </w:rPr>
        <w:t>U nedoplatku na dani z nabytí nemovitých věcí vzniklého pouze v důsledku porušení podmínek pro použití snížené sazby daně vzniká úrok z prodlení až ode dne náhradního dne splatnosti.</w:t>
      </w:r>
      <w:r>
        <w:rPr>
          <w:bCs/>
          <w:szCs w:val="24"/>
        </w:rPr>
        <w:t>“</w:t>
      </w:r>
      <w:r w:rsidR="000E073D" w:rsidRPr="000E073D">
        <w:rPr>
          <w:bCs/>
          <w:szCs w:val="24"/>
        </w:rPr>
        <w:t>.</w:t>
      </w:r>
    </w:p>
    <w:p w:rsidR="000E073D" w:rsidRPr="000E073D" w:rsidRDefault="00057181" w:rsidP="00057181">
      <w:pPr>
        <w:pStyle w:val="Novelizanbod"/>
        <w:tabs>
          <w:tab w:val="clear" w:pos="567"/>
        </w:tabs>
        <w:spacing w:before="0"/>
        <w:ind w:left="0" w:firstLine="0"/>
        <w:rPr>
          <w:bCs/>
          <w:szCs w:val="24"/>
        </w:rPr>
      </w:pPr>
      <w:r>
        <w:rPr>
          <w:bCs/>
          <w:szCs w:val="24"/>
        </w:rPr>
        <w:t xml:space="preserve">7. </w:t>
      </w:r>
      <w:r w:rsidR="000E073D" w:rsidRPr="000E073D">
        <w:rPr>
          <w:bCs/>
          <w:szCs w:val="24"/>
        </w:rPr>
        <w:t xml:space="preserve">V části druhé se na konci nadpisu hlavy druhé doplňují slova </w:t>
      </w:r>
      <w:r w:rsidR="005D5B0E">
        <w:rPr>
          <w:bCs/>
          <w:szCs w:val="24"/>
        </w:rPr>
        <w:t>„</w:t>
      </w:r>
      <w:r w:rsidR="000E073D" w:rsidRPr="000E073D">
        <w:rPr>
          <w:bCs/>
          <w:szCs w:val="24"/>
        </w:rPr>
        <w:t>PŘI POUŽITÍ SMĚRNÉ HODNOTY</w:t>
      </w:r>
      <w:r w:rsidR="005D5B0E">
        <w:rPr>
          <w:bCs/>
          <w:szCs w:val="24"/>
        </w:rPr>
        <w:t>“</w:t>
      </w:r>
      <w:r w:rsidR="000E073D" w:rsidRPr="000E073D">
        <w:rPr>
          <w:bCs/>
          <w:szCs w:val="24"/>
        </w:rPr>
        <w:t>.</w:t>
      </w:r>
    </w:p>
    <w:p w:rsidR="000E073D" w:rsidRPr="000E073D" w:rsidRDefault="00057181" w:rsidP="00057181">
      <w:pPr>
        <w:pStyle w:val="Novelizanbod"/>
        <w:tabs>
          <w:tab w:val="clear" w:pos="567"/>
        </w:tabs>
        <w:spacing w:before="0"/>
        <w:ind w:left="0" w:firstLine="0"/>
        <w:rPr>
          <w:bCs/>
          <w:szCs w:val="24"/>
        </w:rPr>
      </w:pPr>
      <w:r>
        <w:rPr>
          <w:bCs/>
          <w:szCs w:val="24"/>
        </w:rPr>
        <w:t xml:space="preserve">8. </w:t>
      </w:r>
      <w:r w:rsidR="000E073D" w:rsidRPr="000E073D">
        <w:rPr>
          <w:bCs/>
          <w:szCs w:val="24"/>
        </w:rPr>
        <w:t xml:space="preserve">V § 44 se slova </w:t>
      </w:r>
      <w:r w:rsidR="005D5B0E">
        <w:rPr>
          <w:bCs/>
          <w:szCs w:val="24"/>
        </w:rPr>
        <w:t>„</w:t>
      </w:r>
      <w:r w:rsidR="000E073D" w:rsidRPr="000E073D">
        <w:rPr>
          <w:bCs/>
          <w:szCs w:val="24"/>
        </w:rPr>
        <w:t>4 % sjednané ceny</w:t>
      </w:r>
      <w:r w:rsidR="005D5B0E">
        <w:rPr>
          <w:bCs/>
          <w:szCs w:val="24"/>
        </w:rPr>
        <w:t>“</w:t>
      </w:r>
      <w:r w:rsidR="000E073D" w:rsidRPr="000E073D">
        <w:rPr>
          <w:bCs/>
          <w:szCs w:val="24"/>
        </w:rPr>
        <w:t xml:space="preserve"> nahrazují slovy </w:t>
      </w:r>
      <w:r w:rsidR="005D5B0E">
        <w:rPr>
          <w:bCs/>
          <w:szCs w:val="24"/>
        </w:rPr>
        <w:t>„</w:t>
      </w:r>
      <w:r w:rsidR="000E073D" w:rsidRPr="000E073D">
        <w:rPr>
          <w:bCs/>
          <w:szCs w:val="24"/>
        </w:rPr>
        <w:t>součtu součinů příslušné části základu daně a sazby daně pro tuto část základu daně. Pro účely určení výše zálohy se při určení základu daně vychází vždy ze sjednané ceny“.</w:t>
      </w:r>
    </w:p>
    <w:p w:rsidR="000E073D" w:rsidRPr="000E073D" w:rsidRDefault="00057181" w:rsidP="00057181">
      <w:pPr>
        <w:pStyle w:val="Novelizanbod"/>
        <w:tabs>
          <w:tab w:val="clear" w:pos="567"/>
        </w:tabs>
        <w:spacing w:before="0"/>
        <w:rPr>
          <w:bCs/>
          <w:szCs w:val="24"/>
        </w:rPr>
      </w:pPr>
      <w:r>
        <w:rPr>
          <w:bCs/>
          <w:szCs w:val="24"/>
        </w:rPr>
        <w:t xml:space="preserve">9. </w:t>
      </w:r>
      <w:r w:rsidR="000E073D" w:rsidRPr="000E073D">
        <w:rPr>
          <w:bCs/>
          <w:szCs w:val="24"/>
        </w:rPr>
        <w:t>V § 52 se dosavadní text označuje jako odstavec 1 a doplňuje se nový odstavec 2, který zní:</w:t>
      </w:r>
    </w:p>
    <w:p w:rsidR="000E073D" w:rsidRPr="000E073D" w:rsidRDefault="00057181" w:rsidP="000E073D">
      <w:pPr>
        <w:pStyle w:val="Novelizanbod"/>
        <w:tabs>
          <w:tab w:val="clear" w:pos="567"/>
        </w:tabs>
        <w:spacing w:before="0"/>
        <w:ind w:left="0" w:firstLine="0"/>
        <w:rPr>
          <w:bCs/>
          <w:szCs w:val="24"/>
        </w:rPr>
      </w:pPr>
      <w:r>
        <w:rPr>
          <w:bCs/>
          <w:szCs w:val="24"/>
        </w:rPr>
        <w:tab/>
      </w:r>
      <w:r w:rsidR="005D5B0E">
        <w:rPr>
          <w:bCs/>
          <w:szCs w:val="24"/>
        </w:rPr>
        <w:t>„</w:t>
      </w:r>
      <w:r w:rsidR="000E073D" w:rsidRPr="000E073D">
        <w:rPr>
          <w:bCs/>
          <w:szCs w:val="24"/>
        </w:rPr>
        <w:t>(2) Ustanovení odstavce 1 nevylučuje povinnost podat dodatečné daňové přiznání v případě porušení podmínek pro použití snížené sazby daně. V tomto dodatečném daňovém přiznání poplatník neuvádí rozdíl oproti poslední známé dani. Daň dodatečně tvrzená v důsledku porušení podmínek pro použití snížené sazby daně je splatná do 30 dnů ode dne doručení dodatečného platebního výměru.</w:t>
      </w:r>
      <w:r w:rsidR="005D5B0E">
        <w:rPr>
          <w:bCs/>
          <w:szCs w:val="24"/>
        </w:rPr>
        <w:t>“</w:t>
      </w:r>
      <w:r w:rsidR="000E073D" w:rsidRPr="000E073D">
        <w:rPr>
          <w:bCs/>
          <w:szCs w:val="24"/>
        </w:rPr>
        <w:t>.“.</w:t>
      </w:r>
    </w:p>
    <w:p w:rsidR="000E073D" w:rsidRPr="000E073D" w:rsidRDefault="000E073D" w:rsidP="000E073D">
      <w:pPr>
        <w:pStyle w:val="Novelizanbod"/>
        <w:tabs>
          <w:tab w:val="clear" w:pos="567"/>
        </w:tabs>
        <w:spacing w:before="0"/>
        <w:ind w:left="0" w:firstLine="0"/>
        <w:rPr>
          <w:bCs/>
          <w:szCs w:val="24"/>
        </w:rPr>
      </w:pPr>
    </w:p>
    <w:p w:rsidR="000E073D" w:rsidRPr="000E073D" w:rsidRDefault="000E073D" w:rsidP="000E073D">
      <w:pPr>
        <w:pStyle w:val="Novelizanbod"/>
        <w:numPr>
          <w:ilvl w:val="0"/>
          <w:numId w:val="6"/>
        </w:numPr>
        <w:spacing w:before="0"/>
        <w:rPr>
          <w:bCs/>
          <w:szCs w:val="24"/>
        </w:rPr>
      </w:pPr>
      <w:r w:rsidRPr="000E073D">
        <w:rPr>
          <w:bCs/>
          <w:szCs w:val="24"/>
        </w:rPr>
        <w:t>Článek III zní:</w:t>
      </w:r>
    </w:p>
    <w:p w:rsidR="000E073D" w:rsidRPr="000E073D" w:rsidRDefault="000E073D" w:rsidP="000E073D">
      <w:pPr>
        <w:pStyle w:val="Novelizanbod"/>
        <w:tabs>
          <w:tab w:val="clear" w:pos="567"/>
        </w:tabs>
        <w:spacing w:before="0"/>
        <w:ind w:firstLine="0"/>
        <w:jc w:val="center"/>
        <w:rPr>
          <w:bCs/>
          <w:szCs w:val="24"/>
        </w:rPr>
      </w:pPr>
      <w:r w:rsidRPr="000E073D">
        <w:rPr>
          <w:bCs/>
          <w:szCs w:val="24"/>
        </w:rPr>
        <w:t>„Čl. III</w:t>
      </w:r>
    </w:p>
    <w:p w:rsidR="000E073D" w:rsidRPr="000E073D" w:rsidRDefault="000E073D" w:rsidP="000E073D">
      <w:pPr>
        <w:pStyle w:val="Novelizanbod"/>
        <w:tabs>
          <w:tab w:val="clear" w:pos="567"/>
        </w:tabs>
        <w:spacing w:before="0"/>
        <w:ind w:firstLine="0"/>
        <w:jc w:val="center"/>
        <w:rPr>
          <w:b/>
          <w:bCs/>
          <w:szCs w:val="24"/>
        </w:rPr>
      </w:pPr>
      <w:r w:rsidRPr="000E073D">
        <w:rPr>
          <w:b/>
          <w:bCs/>
          <w:szCs w:val="24"/>
        </w:rPr>
        <w:t>Účinnost</w:t>
      </w:r>
    </w:p>
    <w:p w:rsidR="000E073D" w:rsidRPr="000E073D" w:rsidRDefault="005E45AE" w:rsidP="000E073D">
      <w:pPr>
        <w:pStyle w:val="Novelizanbod"/>
        <w:tabs>
          <w:tab w:val="clear" w:pos="567"/>
        </w:tabs>
        <w:spacing w:before="0"/>
        <w:ind w:left="0" w:firstLine="0"/>
        <w:rPr>
          <w:bCs/>
          <w:szCs w:val="24"/>
        </w:rPr>
      </w:pPr>
      <w:r>
        <w:rPr>
          <w:bCs/>
          <w:szCs w:val="24"/>
        </w:rPr>
        <w:tab/>
      </w:r>
      <w:r w:rsidR="000E073D" w:rsidRPr="000E073D">
        <w:rPr>
          <w:bCs/>
          <w:szCs w:val="24"/>
        </w:rPr>
        <w:t>Tento zákon nabývá účinnosti prvním dnem devátého měsíce následujícího po dni jeho vyhlášení, s výjimkou čl. I bodů 1 a 2, které nabývají účinnosti prvním dnem kalendářního měsíce následujícího po dni jeho vyhlášení.“.</w:t>
      </w:r>
    </w:p>
    <w:p w:rsidR="000C6893" w:rsidRPr="000E073D" w:rsidRDefault="000C6893">
      <w:pPr>
        <w:rPr>
          <w:rFonts w:cs="Times New Roman"/>
        </w:rPr>
      </w:pPr>
    </w:p>
    <w:p w:rsidR="000C6893" w:rsidRPr="000E073D" w:rsidRDefault="000C6893">
      <w:pPr>
        <w:rPr>
          <w:rFonts w:cs="Times New Roman"/>
        </w:rPr>
      </w:pPr>
    </w:p>
    <w:p w:rsidR="000C6893" w:rsidRPr="00D86685" w:rsidRDefault="00D86685">
      <w:pPr>
        <w:rPr>
          <w:i/>
        </w:rPr>
      </w:pPr>
      <w:r w:rsidRPr="00D86685">
        <w:rPr>
          <w:i/>
        </w:rPr>
        <w:t>SD 2062</w:t>
      </w:r>
    </w:p>
    <w:p w:rsidR="000C6893" w:rsidRDefault="000C6893"/>
    <w:p w:rsidR="00D86685" w:rsidRDefault="00D86685" w:rsidP="00D86685">
      <w:pPr>
        <w:pBdr>
          <w:top w:val="nil"/>
          <w:left w:val="nil"/>
          <w:bottom w:val="nil"/>
          <w:right w:val="nil"/>
          <w:between w:val="nil"/>
        </w:pBdr>
        <w:tabs>
          <w:tab w:val="left" w:pos="851"/>
        </w:tabs>
        <w:spacing w:after="120"/>
        <w:ind w:left="567" w:hanging="567"/>
        <w:jc w:val="both"/>
      </w:pPr>
      <w:r>
        <w:t>V článku I se doplňují novelizační body 3 a 4, které znějí:</w:t>
      </w:r>
    </w:p>
    <w:p w:rsidR="00D86685" w:rsidRDefault="005E45AE" w:rsidP="00D86685">
      <w:pPr>
        <w:pBdr>
          <w:top w:val="nil"/>
          <w:left w:val="nil"/>
          <w:bottom w:val="nil"/>
          <w:right w:val="nil"/>
          <w:between w:val="nil"/>
        </w:pBdr>
        <w:tabs>
          <w:tab w:val="left" w:pos="851"/>
        </w:tabs>
        <w:spacing w:after="120"/>
        <w:ind w:left="567" w:hanging="567"/>
        <w:jc w:val="both"/>
      </w:pPr>
      <w:r>
        <w:t>„</w:t>
      </w:r>
      <w:r w:rsidR="00D86685">
        <w:t xml:space="preserve">3. V § 32 se slovo </w:t>
      </w:r>
      <w:r>
        <w:t>„</w:t>
      </w:r>
      <w:r w:rsidR="00D86685">
        <w:t>třetího</w:t>
      </w:r>
      <w:r>
        <w:t>“</w:t>
      </w:r>
      <w:r w:rsidR="00D86685">
        <w:t xml:space="preserve"> nahrazuje slovem </w:t>
      </w:r>
      <w:r>
        <w:t>„</w:t>
      </w:r>
      <w:r w:rsidR="00D86685">
        <w:t>šestého</w:t>
      </w:r>
      <w:r>
        <w:t>“</w:t>
      </w:r>
      <w:r w:rsidR="00D86685">
        <w:t>.</w:t>
      </w:r>
    </w:p>
    <w:p w:rsidR="00D86685" w:rsidRDefault="00D86685" w:rsidP="00D86685">
      <w:pPr>
        <w:pBdr>
          <w:top w:val="nil"/>
          <w:left w:val="nil"/>
          <w:bottom w:val="nil"/>
          <w:right w:val="nil"/>
          <w:between w:val="nil"/>
        </w:pBdr>
        <w:tabs>
          <w:tab w:val="left" w:pos="851"/>
        </w:tabs>
        <w:spacing w:after="120"/>
        <w:ind w:left="567" w:hanging="567"/>
        <w:jc w:val="both"/>
      </w:pPr>
      <w:r>
        <w:t xml:space="preserve">4. V § 33 odst. 1 a 2 se slovo </w:t>
      </w:r>
      <w:r w:rsidR="005E45AE">
        <w:t>„</w:t>
      </w:r>
      <w:r>
        <w:t>třetího</w:t>
      </w:r>
      <w:r w:rsidR="005E45AE">
        <w:t>“</w:t>
      </w:r>
      <w:r>
        <w:t xml:space="preserve"> nahrazuje slovem </w:t>
      </w:r>
      <w:r w:rsidR="005E45AE">
        <w:t>„</w:t>
      </w:r>
      <w:r>
        <w:t>šestého</w:t>
      </w:r>
      <w:r w:rsidR="005E45AE">
        <w:t>“.“.</w:t>
      </w:r>
    </w:p>
    <w:p w:rsidR="000C6893" w:rsidRDefault="000C6893"/>
    <w:p w:rsidR="000C6893" w:rsidRDefault="000C6893"/>
    <w:p w:rsidR="00326F58" w:rsidRDefault="00326F58"/>
    <w:p w:rsidR="000C6893" w:rsidRDefault="005E45AE" w:rsidP="005E45AE">
      <w:pPr>
        <w:pStyle w:val="PNposlanec"/>
      </w:pPr>
      <w:r>
        <w:t xml:space="preserve">Poslanec Jan </w:t>
      </w:r>
      <w:proofErr w:type="spellStart"/>
      <w:r>
        <w:t>Skopeček</w:t>
      </w:r>
      <w:proofErr w:type="spellEnd"/>
    </w:p>
    <w:p w:rsidR="000C6893" w:rsidRPr="005E45AE" w:rsidRDefault="005E45AE">
      <w:pPr>
        <w:rPr>
          <w:i/>
        </w:rPr>
      </w:pPr>
      <w:r w:rsidRPr="005E45AE">
        <w:rPr>
          <w:i/>
        </w:rPr>
        <w:t>SD 2212</w:t>
      </w:r>
    </w:p>
    <w:p w:rsidR="000C6893" w:rsidRDefault="000C6893"/>
    <w:p w:rsidR="005E45AE" w:rsidRPr="00E9343F" w:rsidRDefault="005E45AE" w:rsidP="005E45AE">
      <w:pPr>
        <w:pStyle w:val="l4"/>
        <w:shd w:val="clear" w:color="auto" w:fill="FFFFFF"/>
        <w:spacing w:before="0" w:beforeAutospacing="0" w:after="0" w:afterAutospacing="0"/>
        <w:jc w:val="both"/>
        <w:rPr>
          <w:u w:val="single"/>
        </w:rPr>
      </w:pPr>
      <w:r>
        <w:rPr>
          <w:u w:val="single"/>
        </w:rPr>
        <w:t xml:space="preserve">Do </w:t>
      </w:r>
      <w:r w:rsidRPr="00E9343F">
        <w:rPr>
          <w:u w:val="single"/>
        </w:rPr>
        <w:t>HLAVA III Osvobození od daně, § 9</w:t>
      </w:r>
      <w:r>
        <w:rPr>
          <w:u w:val="single"/>
        </w:rPr>
        <w:t>, se doplňuje odstavec 3</w:t>
      </w:r>
      <w:r w:rsidRPr="00E9343F">
        <w:rPr>
          <w:u w:val="single"/>
        </w:rPr>
        <w:t xml:space="preserve">: </w:t>
      </w:r>
    </w:p>
    <w:p w:rsidR="005E45AE" w:rsidRPr="00E9343F" w:rsidRDefault="005E45AE" w:rsidP="005E45AE">
      <w:pPr>
        <w:pStyle w:val="l4"/>
        <w:shd w:val="clear" w:color="auto" w:fill="FFFFFF"/>
        <w:spacing w:before="0" w:beforeAutospacing="0" w:after="0" w:afterAutospacing="0"/>
        <w:jc w:val="both"/>
        <w:rPr>
          <w:u w:val="single"/>
        </w:rPr>
      </w:pPr>
    </w:p>
    <w:p w:rsidR="005E45AE" w:rsidRPr="00E9343F" w:rsidRDefault="005E45AE" w:rsidP="005E45AE">
      <w:pPr>
        <w:pStyle w:val="l4"/>
        <w:shd w:val="clear" w:color="auto" w:fill="FFFFFF"/>
        <w:spacing w:before="0" w:beforeAutospacing="0" w:after="0" w:afterAutospacing="0"/>
        <w:ind w:firstLine="709"/>
        <w:jc w:val="both"/>
        <w:rPr>
          <w:color w:val="000000"/>
        </w:rPr>
      </w:pPr>
      <w:r w:rsidRPr="005E45AE">
        <w:rPr>
          <w:color w:val="000000"/>
        </w:rPr>
        <w:t>„(3)</w:t>
      </w:r>
      <w:r w:rsidRPr="00D94286">
        <w:rPr>
          <w:color w:val="000000"/>
        </w:rPr>
        <w:t xml:space="preserve"> Od daně z nabytí nemovitých věcí je osvobozeno nabytí vlastnického práva k nemovité věci určené k bydlení koupí, když nabyvatel vlastnického práva nabývá vlastnické právo k nemovité věci určené k bydlení poprvé za svůj život.</w:t>
      </w:r>
      <w:r>
        <w:rPr>
          <w:color w:val="000000"/>
        </w:rPr>
        <w:t>“.</w:t>
      </w:r>
    </w:p>
    <w:p w:rsidR="005E45AE" w:rsidRDefault="005E45AE"/>
    <w:p w:rsidR="005E45AE" w:rsidRDefault="005E45AE"/>
    <w:p w:rsidR="00326F58" w:rsidRDefault="00326F58"/>
    <w:p w:rsidR="00326F58" w:rsidRDefault="00326F58"/>
    <w:p w:rsidR="00326F58" w:rsidRDefault="00326F58"/>
    <w:p w:rsidR="000C6893" w:rsidRDefault="000C6893"/>
    <w:p w:rsidR="000C6893" w:rsidRDefault="000C6893"/>
    <w:p w:rsidR="000C6893" w:rsidRDefault="000C6893">
      <w:pPr>
        <w:jc w:val="center"/>
      </w:pPr>
      <w:r>
        <w:t>V Praze</w:t>
      </w:r>
      <w:bookmarkStart w:id="0" w:name="_GoBack"/>
      <w:bookmarkEnd w:id="0"/>
      <w:r w:rsidR="00326F58">
        <w:t xml:space="preserve"> </w:t>
      </w:r>
      <w:r w:rsidR="008C6130">
        <w:t>13</w:t>
      </w:r>
      <w:r w:rsidR="00326F58">
        <w:t>. února 2019</w:t>
      </w:r>
    </w:p>
    <w:p w:rsidR="000C6893" w:rsidRDefault="000C6893">
      <w:pPr>
        <w:jc w:val="center"/>
      </w:pPr>
    </w:p>
    <w:p w:rsidR="000C6893" w:rsidRDefault="000C6893">
      <w:pPr>
        <w:jc w:val="center"/>
      </w:pPr>
    </w:p>
    <w:p w:rsidR="000C6893" w:rsidRDefault="000C6893">
      <w:pPr>
        <w:jc w:val="center"/>
      </w:pPr>
    </w:p>
    <w:p w:rsidR="000E073D" w:rsidRDefault="00326F58">
      <w:pPr>
        <w:jc w:val="center"/>
        <w:rPr>
          <w:rFonts w:cs="Times New Roman"/>
          <w:spacing w:val="-3"/>
        </w:rPr>
      </w:pPr>
      <w:r>
        <w:rPr>
          <w:rFonts w:cs="Times New Roman"/>
          <w:spacing w:val="-3"/>
        </w:rPr>
        <w:t xml:space="preserve">Bc. </w:t>
      </w:r>
      <w:r w:rsidR="000E073D">
        <w:rPr>
          <w:rFonts w:cs="Times New Roman"/>
          <w:spacing w:val="-3"/>
        </w:rPr>
        <w:t>Roman Onderka</w:t>
      </w:r>
      <w:r>
        <w:rPr>
          <w:rFonts w:cs="Times New Roman"/>
          <w:spacing w:val="-3"/>
        </w:rPr>
        <w:t xml:space="preserve"> MBA</w:t>
      </w:r>
      <w:r w:rsidR="008C6130">
        <w:rPr>
          <w:rFonts w:cs="Times New Roman"/>
          <w:spacing w:val="-3"/>
        </w:rPr>
        <w:t xml:space="preserve">, </w:t>
      </w:r>
      <w:proofErr w:type="gramStart"/>
      <w:r w:rsidR="008C6130">
        <w:rPr>
          <w:rFonts w:cs="Times New Roman"/>
          <w:spacing w:val="-3"/>
        </w:rPr>
        <w:t>v.r.</w:t>
      </w:r>
      <w:proofErr w:type="gramEnd"/>
    </w:p>
    <w:p w:rsidR="000C6893" w:rsidRDefault="000C6893">
      <w:pPr>
        <w:jc w:val="center"/>
      </w:pPr>
      <w:r>
        <w:t xml:space="preserve">zpravodaj garančního </w:t>
      </w:r>
      <w:r w:rsidR="000E073D">
        <w:t xml:space="preserve">rozpočtového </w:t>
      </w:r>
      <w:r>
        <w:t>výboru</w:t>
      </w:r>
    </w:p>
    <w:sectPr w:rsidR="000C6893"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73D" w:rsidRDefault="000E073D" w:rsidP="00087102">
      <w:r>
        <w:separator/>
      </w:r>
    </w:p>
  </w:endnote>
  <w:endnote w:type="continuationSeparator" w:id="0">
    <w:p w:rsidR="000E073D" w:rsidRDefault="000E073D"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73D" w:rsidRDefault="000E073D" w:rsidP="00087102">
      <w:r>
        <w:separator/>
      </w:r>
    </w:p>
  </w:footnote>
  <w:footnote w:type="continuationSeparator" w:id="0">
    <w:p w:rsidR="000E073D" w:rsidRDefault="000E073D"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8C6130">
      <w:rPr>
        <w:noProof/>
      </w:rPr>
      <w:t>3</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2FA045F5"/>
    <w:multiLevelType w:val="hybridMultilevel"/>
    <w:tmpl w:val="6CD21DB0"/>
    <w:lvl w:ilvl="0" w:tplc="785CD22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3C442BB8"/>
    <w:multiLevelType w:val="hybridMultilevel"/>
    <w:tmpl w:val="DE48F3BC"/>
    <w:lvl w:ilvl="0" w:tplc="299A6782">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2511836"/>
    <w:multiLevelType w:val="hybridMultilevel"/>
    <w:tmpl w:val="478EA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39D0D51"/>
    <w:multiLevelType w:val="hybridMultilevel"/>
    <w:tmpl w:val="343898F8"/>
    <w:lvl w:ilvl="0" w:tplc="012C2F66">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73D"/>
    <w:rsid w:val="00057181"/>
    <w:rsid w:val="00087102"/>
    <w:rsid w:val="000C6893"/>
    <w:rsid w:val="000E073D"/>
    <w:rsid w:val="00326F58"/>
    <w:rsid w:val="00511F8C"/>
    <w:rsid w:val="005D5B0E"/>
    <w:rsid w:val="005E45AE"/>
    <w:rsid w:val="00667EF6"/>
    <w:rsid w:val="006706ED"/>
    <w:rsid w:val="008C6130"/>
    <w:rsid w:val="00D866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39265FD"/>
  <w15:chartTrackingRefBased/>
  <w15:docId w15:val="{637B9B84-05A8-4307-BAA6-B0989C8AC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character" w:customStyle="1" w:styleId="WW8Num2z0">
    <w:name w:val="WW8Num2z0"/>
    <w:rsid w:val="000E073D"/>
  </w:style>
  <w:style w:type="paragraph" w:customStyle="1" w:styleId="Styl2">
    <w:name w:val="Styl2"/>
    <w:basedOn w:val="Normln"/>
    <w:rsid w:val="000E073D"/>
    <w:pPr>
      <w:keepNext/>
      <w:keepLines/>
      <w:widowControl/>
      <w:shd w:val="clear" w:color="auto" w:fill="FFFFFF"/>
      <w:spacing w:after="240"/>
      <w:ind w:left="680" w:hanging="680"/>
      <w:jc w:val="both"/>
    </w:pPr>
    <w:rPr>
      <w:rFonts w:eastAsia="Times New Roman" w:cs="Times New Roman"/>
      <w:kern w:val="0"/>
      <w:sz w:val="22"/>
      <w:szCs w:val="20"/>
      <w:lang w:eastAsia="cs-CZ" w:bidi="ar-SA"/>
    </w:rPr>
  </w:style>
  <w:style w:type="paragraph" w:customStyle="1" w:styleId="Novelizanbod">
    <w:name w:val="Novelizační bod"/>
    <w:basedOn w:val="Normln"/>
    <w:link w:val="NovelizanbodChar"/>
    <w:rsid w:val="000E073D"/>
    <w:pPr>
      <w:widowControl/>
      <w:tabs>
        <w:tab w:val="num" w:pos="567"/>
        <w:tab w:val="left" w:pos="851"/>
      </w:tabs>
      <w:suppressAutoHyphens w:val="0"/>
      <w:spacing w:before="480" w:after="120"/>
      <w:ind w:left="567" w:hanging="567"/>
      <w:jc w:val="both"/>
    </w:pPr>
    <w:rPr>
      <w:rFonts w:eastAsia="Times New Roman" w:cs="Times New Roman"/>
      <w:kern w:val="0"/>
      <w:szCs w:val="20"/>
      <w:lang w:eastAsia="cs-CZ" w:bidi="ar-SA"/>
    </w:rPr>
  </w:style>
  <w:style w:type="character" w:customStyle="1" w:styleId="NovelizanbodChar">
    <w:name w:val="Novelizační bod Char"/>
    <w:link w:val="Novelizanbod"/>
    <w:locked/>
    <w:rsid w:val="000E073D"/>
    <w:rPr>
      <w:sz w:val="24"/>
    </w:rPr>
  </w:style>
  <w:style w:type="paragraph" w:customStyle="1" w:styleId="l4">
    <w:name w:val="l4"/>
    <w:basedOn w:val="Normln"/>
    <w:rsid w:val="005E45AE"/>
    <w:pPr>
      <w:widowControl/>
      <w:suppressAutoHyphens w:val="0"/>
      <w:spacing w:before="100" w:beforeAutospacing="1" w:after="100" w:afterAutospacing="1"/>
    </w:pPr>
    <w:rPr>
      <w:rFonts w:eastAsia="Times New Roman" w:cs="Times New Roman"/>
      <w:kern w:val="0"/>
      <w:lang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27</TotalTime>
  <Pages>4</Pages>
  <Words>1086</Words>
  <Characters>6411</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4</cp:revision>
  <cp:lastPrinted>1899-12-31T23:00:00Z</cp:lastPrinted>
  <dcterms:created xsi:type="dcterms:W3CDTF">2019-01-29T15:36:00Z</dcterms:created>
  <dcterms:modified xsi:type="dcterms:W3CDTF">2019-02-13T11:07:00Z</dcterms:modified>
</cp:coreProperties>
</file>