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0974C1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E7DDE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92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</w:t>
      </w:r>
      <w:r w:rsidR="000974C1">
        <w:t>3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974C1">
        <w:t>7. února 2019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E052D5" w:rsidRPr="00FB677E" w:rsidRDefault="00E052D5" w:rsidP="003537DF">
      <w:pPr>
        <w:pBdr>
          <w:bottom w:val="single" w:sz="4" w:space="12" w:color="00000A"/>
        </w:pBdr>
        <w:spacing w:after="0" w:line="240" w:lineRule="auto"/>
        <w:jc w:val="both"/>
        <w:rPr>
          <w:b/>
        </w:rPr>
      </w:pPr>
      <w:r w:rsidRPr="00FB677E">
        <w:t>k</w:t>
      </w:r>
      <w:r w:rsidR="00FB677E" w:rsidRPr="00FB677E">
        <w:t> návrhu poslanců Víta Kaňkovského, Radky Maxové, Jana Bartoška, Markéty Pekarové Adamové, Olgy Richterové, Aleny Gajdůškové, Marka Výborného, Mariana Jurečky, Stanislava Juránka, Jiřího Miholy, Ondřeje Benešíka, Víta Rakušana a Hany Aulické Jírovcové na vydání zákona, kterým se mění zákon č. 329/2011 Sb., o poskytování dávek osobám se zdravotním postižením a o změně souvisejících zákonů, ve znění pozdějších předpisů, a zákon č. 582/1991 Sb., o organizaci a provádění</w:t>
      </w:r>
      <w:r w:rsidR="003537DF">
        <w:t xml:space="preserve"> </w:t>
      </w:r>
      <w:r w:rsidR="00FB677E" w:rsidRPr="00FB677E">
        <w:t xml:space="preserve">sociálního zabezpečení, ve znění pozdějších předpisů </w:t>
      </w:r>
      <w:r w:rsidR="00FB677E" w:rsidRPr="00FB677E">
        <w:rPr>
          <w:b/>
        </w:rPr>
        <w:t>/ST 267/</w:t>
      </w:r>
    </w:p>
    <w:p w:rsidR="00E052D5" w:rsidRPr="00E052D5" w:rsidRDefault="00E052D5" w:rsidP="00E052D5">
      <w:pPr>
        <w:spacing w:after="0"/>
        <w:jc w:val="both"/>
      </w:pPr>
      <w:r w:rsidRPr="00E052D5">
        <w:tab/>
      </w:r>
    </w:p>
    <w:p w:rsidR="00A676FB" w:rsidRDefault="00A676FB" w:rsidP="00A676FB">
      <w:pPr>
        <w:pStyle w:val="PS-uvodnodstavec"/>
        <w:spacing w:after="0" w:line="240" w:lineRule="auto"/>
      </w:pPr>
      <w:r>
        <w:t>Po odůvodnění zástup</w:t>
      </w:r>
      <w:r w:rsidR="00FB677E">
        <w:t>ce</w:t>
      </w:r>
      <w:r>
        <w:t xml:space="preserve"> skupiny předkladatelů</w:t>
      </w:r>
      <w:r w:rsidR="00FB677E">
        <w:t xml:space="preserve"> </w:t>
      </w:r>
      <w:r w:rsidR="003537DF">
        <w:t>poslance Víta Kaňkovského</w:t>
      </w:r>
      <w:r>
        <w:t xml:space="preserve">, zpravodajské zprávě poslankyně </w:t>
      </w:r>
      <w:r w:rsidR="00FB677E">
        <w:t>Veroniky Vrecionové</w:t>
      </w:r>
      <w:r>
        <w:t xml:space="preserve"> a po rozpravě</w:t>
      </w:r>
    </w:p>
    <w:p w:rsidR="00A676FB" w:rsidRPr="00363216" w:rsidRDefault="00A676FB" w:rsidP="00A676FB">
      <w:pPr>
        <w:pStyle w:val="PS-uvodnodstavec"/>
        <w:spacing w:after="0"/>
        <w:ind w:firstLine="708"/>
        <w:rPr>
          <w:sz w:val="16"/>
          <w:szCs w:val="16"/>
        </w:rPr>
      </w:pPr>
    </w:p>
    <w:p w:rsidR="00A676FB" w:rsidRDefault="00A676FB" w:rsidP="00A676FB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A676FB" w:rsidRDefault="00A676FB" w:rsidP="00A676FB">
      <w:pPr>
        <w:pStyle w:val="PS-uvodnodstavec"/>
        <w:spacing w:after="0"/>
        <w:ind w:firstLine="0"/>
      </w:pPr>
    </w:p>
    <w:p w:rsidR="003537DF" w:rsidRDefault="00A676FB" w:rsidP="003E7DDE">
      <w:pPr>
        <w:pStyle w:val="PS-uvodnodstavec"/>
        <w:spacing w:after="0"/>
      </w:pPr>
      <w:r>
        <w:t xml:space="preserve">I.   d o p o r u č u j e   Poslanecké sněmovně PČR, aby   v y s l o v i l a   s o u h l a s   </w:t>
      </w:r>
      <w:r>
        <w:br/>
        <w:t>s návrhem</w:t>
      </w:r>
      <w:r w:rsidRPr="005F46DA">
        <w:t xml:space="preserve"> poslanců </w:t>
      </w:r>
      <w:r w:rsidR="00FB677E">
        <w:t>Víta Kaňkovského, Radky Maxové, Jana Bartoška, Markéty Pekarové Adamové, Olgy Richterové, Aleny Gajdůškové, Marka Výborného, Mariana Jurečky, Stanislava Juránka, Jiřího Miholy, Ondřeje Benešíka, Víta Rakušana a Hany Aulické Jírovcové na vydání zákona, kterým se mění zákon č. 329/2011 Sb., o poskytování dávek osobám se zdravotním postižením a o změně souvisejících zákonů, ve znění pozdějších předpisů, a zákon č. 582/1991 Sb., o organizaci a provádění sociálního zabezpečení, ve znění pozdějších předpisů /ST 267/</w:t>
      </w:r>
      <w:r w:rsidR="003537DF">
        <w:t xml:space="preserve"> ve znění přijatého pozměňovacího návrhu:</w:t>
      </w:r>
    </w:p>
    <w:p w:rsidR="003E7DDE" w:rsidRDefault="003E7DDE" w:rsidP="003E7DDE">
      <w:pPr>
        <w:pStyle w:val="PS-uvodnodstavec"/>
        <w:spacing w:after="0"/>
        <w:ind w:firstLine="0"/>
      </w:pPr>
    </w:p>
    <w:p w:rsidR="003E7DDE" w:rsidRPr="003E7DDE" w:rsidRDefault="003E7DDE" w:rsidP="003E7DDE">
      <w:pPr>
        <w:pStyle w:val="Textlnku"/>
        <w:numPr>
          <w:ilvl w:val="0"/>
          <w:numId w:val="15"/>
        </w:numPr>
        <w:tabs>
          <w:tab w:val="left" w:pos="0"/>
        </w:tabs>
        <w:spacing w:before="0" w:after="0"/>
        <w:ind w:left="426" w:hanging="426"/>
        <w:rPr>
          <w:color w:val="auto"/>
        </w:rPr>
      </w:pPr>
      <w:r w:rsidRPr="003E7DDE">
        <w:rPr>
          <w:color w:val="auto"/>
        </w:rPr>
        <w:t>V čl. I bodu 1 se slova „s postižením“ nahrazují slovy „se zdravotním postižením“.</w:t>
      </w:r>
    </w:p>
    <w:p w:rsidR="003E7DDE" w:rsidRPr="001F66B9" w:rsidRDefault="003E7DDE" w:rsidP="003E7DDE">
      <w:pPr>
        <w:pStyle w:val="Bezmezer"/>
        <w:spacing w:line="276" w:lineRule="auto"/>
      </w:pPr>
    </w:p>
    <w:p w:rsidR="003E7DDE" w:rsidRPr="003E7DDE" w:rsidRDefault="003E7DDE" w:rsidP="003E7DDE">
      <w:pPr>
        <w:pStyle w:val="Textlnku"/>
        <w:numPr>
          <w:ilvl w:val="0"/>
          <w:numId w:val="15"/>
        </w:numPr>
        <w:spacing w:before="0" w:after="0"/>
        <w:ind w:left="426" w:hanging="426"/>
        <w:rPr>
          <w:color w:val="auto"/>
        </w:rPr>
      </w:pPr>
      <w:r w:rsidRPr="003E7DDE">
        <w:rPr>
          <w:color w:val="auto"/>
        </w:rPr>
        <w:t xml:space="preserve">V čl. I bod 7 </w:t>
      </w:r>
      <w:r w:rsidR="000B724D">
        <w:rPr>
          <w:color w:val="auto"/>
        </w:rPr>
        <w:t>zní</w:t>
      </w:r>
      <w:r w:rsidRPr="003E7DDE">
        <w:rPr>
          <w:color w:val="auto"/>
        </w:rPr>
        <w:t>:</w:t>
      </w:r>
    </w:p>
    <w:p w:rsidR="003E7DDE" w:rsidRDefault="003E7DDE" w:rsidP="003E7DDE">
      <w:pPr>
        <w:pStyle w:val="Textlnku"/>
        <w:spacing w:before="0" w:after="0"/>
        <w:ind w:firstLine="0"/>
        <w:rPr>
          <w:color w:val="auto"/>
        </w:rPr>
      </w:pPr>
    </w:p>
    <w:p w:rsidR="003E7DDE" w:rsidRPr="001F66B9" w:rsidRDefault="003E7DDE" w:rsidP="003E7DDE">
      <w:pPr>
        <w:pStyle w:val="Textlnku"/>
        <w:spacing w:before="0" w:after="0"/>
        <w:ind w:left="426" w:hanging="426"/>
        <w:rPr>
          <w:color w:val="auto"/>
        </w:rPr>
      </w:pPr>
      <w:r w:rsidRPr="001F66B9">
        <w:rPr>
          <w:color w:val="auto"/>
        </w:rPr>
        <w:t>„7.</w:t>
      </w:r>
      <w:r>
        <w:rPr>
          <w:color w:val="auto"/>
        </w:rPr>
        <w:tab/>
      </w:r>
      <w:r w:rsidRPr="001F66B9">
        <w:rPr>
          <w:color w:val="auto"/>
        </w:rPr>
        <w:t>V příloze v části I. se za bod 3 vkládá nový bod 4, který zní:</w:t>
      </w:r>
    </w:p>
    <w:p w:rsidR="003E7DDE" w:rsidRPr="003E7DDE" w:rsidRDefault="003E7DDE" w:rsidP="003E7DDE">
      <w:pPr>
        <w:pStyle w:val="l21"/>
        <w:spacing w:after="0"/>
        <w:ind w:left="426" w:hanging="426"/>
        <w:rPr>
          <w:bCs/>
          <w:color w:val="auto"/>
        </w:rPr>
      </w:pPr>
      <w:r w:rsidRPr="001F66B9">
        <w:rPr>
          <w:color w:val="auto"/>
        </w:rPr>
        <w:t>„</w:t>
      </w:r>
      <w:r w:rsidRPr="003E7DDE">
        <w:rPr>
          <w:bCs/>
          <w:color w:val="auto"/>
        </w:rPr>
        <w:t>4.</w:t>
      </w:r>
      <w:r w:rsidRPr="003E7DDE">
        <w:rPr>
          <w:bCs/>
          <w:color w:val="auto"/>
        </w:rPr>
        <w:tab/>
      </w:r>
      <w:r w:rsidRPr="003E7DDE">
        <w:rPr>
          <w:color w:val="auto"/>
        </w:rPr>
        <w:t>Zdravotní postižení interní povahy způsobující těžké omezení pohyblivosti, za které se považuje</w:t>
      </w:r>
      <w:r w:rsidRPr="003E7DDE">
        <w:rPr>
          <w:bCs/>
          <w:color w:val="auto"/>
        </w:rPr>
        <w:t>:</w:t>
      </w:r>
    </w:p>
    <w:p w:rsidR="003E7DDE" w:rsidRPr="001F66B9" w:rsidRDefault="003E7DDE" w:rsidP="003E7DDE">
      <w:pPr>
        <w:pStyle w:val="Odstavecseseznamem"/>
        <w:numPr>
          <w:ilvl w:val="0"/>
          <w:numId w:val="16"/>
        </w:numPr>
        <w:spacing w:after="0" w:line="276" w:lineRule="auto"/>
        <w:ind w:hanging="294"/>
        <w:jc w:val="both"/>
        <w:rPr>
          <w:szCs w:val="24"/>
        </w:rPr>
      </w:pPr>
      <w:r w:rsidRPr="001F66B9">
        <w:rPr>
          <w:szCs w:val="24"/>
        </w:rPr>
        <w:t>ischemická choroba dolních končetin ve stadiu  kritické končetinové ischémie na</w:t>
      </w:r>
      <w:r>
        <w:rPr>
          <w:szCs w:val="24"/>
        </w:rPr>
        <w:t> </w:t>
      </w:r>
      <w:r w:rsidRPr="001F66B9">
        <w:rPr>
          <w:szCs w:val="24"/>
        </w:rPr>
        <w:t xml:space="preserve">jedné nebo obou dolních končetinách ohrožující vitalitu končetiny, a to ve stadiu II/IV podle Fontaina, resp. ve stadiu II/4, III/5 nebo III/6 podle Rutherforda, přičemž nebylo možno provést revaskularisaci nebo tato selhala, 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b)</w:t>
      </w:r>
      <w:r w:rsidRPr="001F66B9">
        <w:rPr>
          <w:szCs w:val="24"/>
        </w:rPr>
        <w:tab/>
        <w:t>chronická žilní insuficience (CVI) ve stupni postižení C6a/s (CVI s floridním vředem) nebo C5a/s (CVI se zhojeným vředem) nebo skóre žilní disability (VDS ) ve stupni 3,</w:t>
      </w:r>
    </w:p>
    <w:p w:rsidR="003E7DDE" w:rsidRPr="001F66B9" w:rsidRDefault="003E7DDE" w:rsidP="003E7DDE">
      <w:pPr>
        <w:shd w:val="clear" w:color="auto" w:fill="FFFFFF"/>
        <w:tabs>
          <w:tab w:val="left" w:pos="426"/>
        </w:tabs>
        <w:spacing w:after="0" w:line="276" w:lineRule="auto"/>
        <w:ind w:left="720" w:hanging="294"/>
        <w:contextualSpacing/>
        <w:jc w:val="both"/>
        <w:textAlignment w:val="top"/>
        <w:rPr>
          <w:szCs w:val="24"/>
        </w:rPr>
      </w:pPr>
      <w:r w:rsidRPr="001F66B9">
        <w:rPr>
          <w:szCs w:val="24"/>
        </w:rPr>
        <w:t>c)</w:t>
      </w:r>
      <w:r w:rsidRPr="001F66B9">
        <w:rPr>
          <w:szCs w:val="24"/>
        </w:rPr>
        <w:tab/>
        <w:t xml:space="preserve">lymfedém dolní končetiny (primární i sekundární) ve stupni postižení 3 (elefantiáza), 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lastRenderedPageBreak/>
        <w:t>d)</w:t>
      </w:r>
      <w:r w:rsidRPr="001F66B9">
        <w:rPr>
          <w:szCs w:val="24"/>
        </w:rPr>
        <w:tab/>
        <w:t>nezhojený defekt jedné nebo obou dolních končetin léčený adekvátním odlehčením (ortéza, vozík) po dobu nejméně 12 měsíců v certifikované podiatrické ambulanci pro</w:t>
      </w:r>
      <w:r>
        <w:rPr>
          <w:szCs w:val="24"/>
        </w:rPr>
        <w:t> </w:t>
      </w:r>
      <w:r w:rsidRPr="001F66B9">
        <w:rPr>
          <w:szCs w:val="24"/>
        </w:rPr>
        <w:t>diabetiky,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e)</w:t>
      </w:r>
      <w:r w:rsidRPr="001F66B9">
        <w:rPr>
          <w:szCs w:val="24"/>
        </w:rPr>
        <w:tab/>
        <w:t>Charcotova neuropatická osteoarthropatie jedné nebo obou končetin s nestabilitou nebo funkční deformitou nohy vyžadující trvalé odlehčení končetin pomocí ortézy nebo vozíku,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f)</w:t>
      </w:r>
      <w:r w:rsidRPr="001F66B9">
        <w:rPr>
          <w:szCs w:val="24"/>
        </w:rPr>
        <w:tab/>
        <w:t>srdeční selhání u osob zařazených na čekací listinu k transplantaci srdce,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g)</w:t>
      </w:r>
      <w:r w:rsidRPr="001F66B9">
        <w:rPr>
          <w:szCs w:val="24"/>
        </w:rPr>
        <w:tab/>
        <w:t>implantace dlouhodobých podpor oběhu,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h)</w:t>
      </w:r>
      <w:r w:rsidRPr="001F66B9">
        <w:rPr>
          <w:szCs w:val="24"/>
        </w:rPr>
        <w:tab/>
        <w:t xml:space="preserve">srdeční selhání s klidovými formami dušnosti ve funkční třídě NYHA IV, </w:t>
      </w:r>
    </w:p>
    <w:p w:rsidR="003E7DDE" w:rsidRPr="001F66B9" w:rsidRDefault="003E7DDE" w:rsidP="003E7DDE">
      <w:pPr>
        <w:spacing w:after="0" w:line="276" w:lineRule="auto"/>
        <w:ind w:left="720" w:hanging="294"/>
        <w:jc w:val="both"/>
        <w:rPr>
          <w:szCs w:val="24"/>
        </w:rPr>
      </w:pPr>
      <w:r w:rsidRPr="001F66B9">
        <w:rPr>
          <w:szCs w:val="24"/>
        </w:rPr>
        <w:t>i)</w:t>
      </w:r>
      <w:r w:rsidRPr="001F66B9">
        <w:rPr>
          <w:szCs w:val="24"/>
        </w:rPr>
        <w:tab/>
        <w:t>srdeční selhání ve funkční třídě NYHA III, pro které došlo v posledních 12 měsících alespoň dvakrát k hospitalizaci, kdy i po hospitalizacích zůstává funkční třída NYHA III,</w:t>
      </w:r>
    </w:p>
    <w:p w:rsidR="003E7DDE" w:rsidRPr="001F66B9" w:rsidRDefault="003E7DDE" w:rsidP="003E7DDE">
      <w:pPr>
        <w:spacing w:after="0" w:line="276" w:lineRule="auto"/>
        <w:ind w:left="709" w:hanging="283"/>
        <w:jc w:val="both"/>
        <w:rPr>
          <w:szCs w:val="24"/>
        </w:rPr>
      </w:pPr>
      <w:r w:rsidRPr="001F66B9">
        <w:rPr>
          <w:szCs w:val="24"/>
        </w:rPr>
        <w:t>j)</w:t>
      </w:r>
      <w:r w:rsidRPr="001F66B9">
        <w:rPr>
          <w:szCs w:val="24"/>
        </w:rPr>
        <w:tab/>
        <w:t>srdeční selhání nejméně ve funkční třídě nejméně NYHA III, je-li objektivně doloženo omezení funkční výkonnosti, za něž je považován výsledek spiroegrometrického vyšetření s dokumentovaným VO</w:t>
      </w:r>
      <w:r w:rsidRPr="001F66B9">
        <w:rPr>
          <w:szCs w:val="24"/>
          <w:vertAlign w:val="subscript"/>
        </w:rPr>
        <w:t>2</w:t>
      </w:r>
      <w:r w:rsidRPr="001F66B9">
        <w:rPr>
          <w:szCs w:val="24"/>
        </w:rPr>
        <w:t>max</w:t>
      </w:r>
      <w:r>
        <w:rPr>
          <w:szCs w:val="24"/>
        </w:rPr>
        <w:t> </w:t>
      </w:r>
      <w:r w:rsidRPr="001F66B9">
        <w:rPr>
          <w:szCs w:val="24"/>
        </w:rPr>
        <w:t>≤14</w:t>
      </w:r>
      <w:r>
        <w:rPr>
          <w:szCs w:val="24"/>
        </w:rPr>
        <w:t> </w:t>
      </w:r>
      <w:r w:rsidRPr="001F66B9">
        <w:rPr>
          <w:szCs w:val="24"/>
        </w:rPr>
        <w:t>ml/kg/min, nebo u</w:t>
      </w:r>
      <w:r>
        <w:rPr>
          <w:szCs w:val="24"/>
        </w:rPr>
        <w:t> </w:t>
      </w:r>
      <w:r w:rsidRPr="001F66B9">
        <w:rPr>
          <w:szCs w:val="24"/>
        </w:rPr>
        <w:t>dítěte</w:t>
      </w:r>
      <w:r>
        <w:rPr>
          <w:szCs w:val="24"/>
        </w:rPr>
        <w:t> </w:t>
      </w:r>
      <w:r w:rsidRPr="001F66B9">
        <w:rPr>
          <w:szCs w:val="24"/>
        </w:rPr>
        <w:t xml:space="preserve">&lt;50%  předpokládaných hodnot pro daný věk dítěte, </w:t>
      </w:r>
    </w:p>
    <w:p w:rsidR="003E7DDE" w:rsidRPr="001F66B9" w:rsidRDefault="003E7DDE" w:rsidP="003E7DDE">
      <w:pPr>
        <w:spacing w:after="0" w:line="276" w:lineRule="auto"/>
        <w:ind w:left="709" w:hanging="283"/>
        <w:jc w:val="both"/>
        <w:rPr>
          <w:szCs w:val="24"/>
        </w:rPr>
      </w:pPr>
      <w:r w:rsidRPr="001F66B9">
        <w:rPr>
          <w:szCs w:val="24"/>
        </w:rPr>
        <w:t>k)</w:t>
      </w:r>
      <w:r w:rsidRPr="001F66B9">
        <w:rPr>
          <w:szCs w:val="24"/>
        </w:rPr>
        <w:tab/>
        <w:t>těžká vleklá plicní nemoc vedoucí k respirační insuficienci, pro kterou je poskytována dlouhodobá domácí oxygenoterapie (DDOT),</w:t>
      </w:r>
    </w:p>
    <w:p w:rsidR="003E7DDE" w:rsidRDefault="003E7DDE" w:rsidP="003E7DDE">
      <w:pPr>
        <w:spacing w:after="0" w:line="276" w:lineRule="auto"/>
        <w:ind w:left="709" w:hanging="283"/>
        <w:jc w:val="both"/>
        <w:rPr>
          <w:szCs w:val="24"/>
        </w:rPr>
      </w:pPr>
      <w:r w:rsidRPr="001F66B9">
        <w:rPr>
          <w:szCs w:val="24"/>
        </w:rPr>
        <w:t>l)</w:t>
      </w:r>
      <w:r w:rsidRPr="001F66B9">
        <w:rPr>
          <w:szCs w:val="24"/>
        </w:rPr>
        <w:tab/>
        <w:t>těžká vleklá plicní nemoc vedoucí k  respirační insuficienci s hyperkapnií, pro kterou je poskytována domácí neinvazivní ventilační podpora (NIV).“.</w:t>
      </w:r>
    </w:p>
    <w:p w:rsidR="003E7DDE" w:rsidRPr="001F66B9" w:rsidRDefault="003E7DDE" w:rsidP="003E7DDE">
      <w:pPr>
        <w:spacing w:after="0" w:line="276" w:lineRule="auto"/>
        <w:ind w:left="709" w:hanging="283"/>
        <w:jc w:val="both"/>
        <w:rPr>
          <w:szCs w:val="24"/>
        </w:rPr>
      </w:pPr>
    </w:p>
    <w:p w:rsidR="003E7DDE" w:rsidRPr="003E7DDE" w:rsidRDefault="003E7DDE" w:rsidP="003E7DDE">
      <w:pPr>
        <w:spacing w:after="0" w:line="276" w:lineRule="auto"/>
        <w:ind w:firstLine="426"/>
        <w:jc w:val="both"/>
        <w:rPr>
          <w:szCs w:val="24"/>
        </w:rPr>
      </w:pPr>
      <w:r w:rsidRPr="003E7DDE">
        <w:rPr>
          <w:szCs w:val="24"/>
        </w:rPr>
        <w:t>Dosavadní bod 4 se označuje jako bod 5.“.</w:t>
      </w:r>
    </w:p>
    <w:p w:rsidR="003E7DDE" w:rsidRPr="001F66B9" w:rsidRDefault="003E7DDE" w:rsidP="003E7DDE">
      <w:pPr>
        <w:spacing w:after="0" w:line="276" w:lineRule="auto"/>
        <w:jc w:val="both"/>
        <w:rPr>
          <w:szCs w:val="24"/>
        </w:rPr>
      </w:pPr>
    </w:p>
    <w:p w:rsidR="003E7DDE" w:rsidRPr="003E7DDE" w:rsidRDefault="003E7DDE" w:rsidP="003E7DDE">
      <w:pPr>
        <w:pStyle w:val="Odstavecseseznamem"/>
        <w:numPr>
          <w:ilvl w:val="0"/>
          <w:numId w:val="15"/>
        </w:numPr>
        <w:spacing w:after="0" w:line="276" w:lineRule="auto"/>
        <w:ind w:left="426" w:hanging="426"/>
        <w:contextualSpacing w:val="0"/>
        <w:jc w:val="both"/>
        <w:rPr>
          <w:szCs w:val="24"/>
        </w:rPr>
      </w:pPr>
      <w:r w:rsidRPr="003E7DDE">
        <w:rPr>
          <w:szCs w:val="24"/>
        </w:rPr>
        <w:t xml:space="preserve">V čl. I bodu 8 se slova „bodě 7“ nahrazují slovy „bodě 5“. </w:t>
      </w:r>
    </w:p>
    <w:p w:rsidR="003E7DDE" w:rsidRPr="001F66B9" w:rsidRDefault="003E7DDE" w:rsidP="003E7DDE">
      <w:pPr>
        <w:spacing w:after="0" w:line="276" w:lineRule="auto"/>
        <w:jc w:val="both"/>
        <w:rPr>
          <w:szCs w:val="24"/>
        </w:rPr>
      </w:pPr>
    </w:p>
    <w:p w:rsidR="003537DF" w:rsidRDefault="003537DF" w:rsidP="00FB677E">
      <w:pPr>
        <w:pStyle w:val="PS-uvodnodstavec"/>
        <w:spacing w:after="0"/>
      </w:pPr>
    </w:p>
    <w:p w:rsidR="00FB677E" w:rsidRDefault="00FB677E" w:rsidP="00FB677E">
      <w:pPr>
        <w:pStyle w:val="PS-uvodnodstavec"/>
        <w:spacing w:after="0"/>
        <w:ind w:firstLine="0"/>
      </w:pPr>
      <w:r>
        <w:t>II.   z m o c ň u j e   zpravodajku výboru, aby</w:t>
      </w:r>
    </w:p>
    <w:p w:rsidR="00FB677E" w:rsidRDefault="00FB677E" w:rsidP="00FB677E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FB677E" w:rsidRDefault="00FB677E" w:rsidP="00FB677E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FB677E" w:rsidRDefault="00FB677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B677E" w:rsidRDefault="00FB677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E7DDE" w:rsidRDefault="003E7DD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E7DDE" w:rsidRDefault="003E7DD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B677E" w:rsidRDefault="00FB677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3E7DDE">
        <w:t>Alena   G a j d ů š k o v</w:t>
      </w:r>
      <w:r w:rsidR="005A7067">
        <w:t> </w:t>
      </w:r>
      <w:r w:rsidR="003E7DDE">
        <w:t>á</w:t>
      </w:r>
      <w:r w:rsidR="005A7067">
        <w:t xml:space="preserve"> ,   v. r.</w:t>
      </w:r>
      <w:r>
        <w:tab/>
      </w:r>
      <w:r>
        <w:tab/>
      </w:r>
      <w:r w:rsidR="00FB677E">
        <w:t>Veronika   V r e c i o n o v</w:t>
      </w:r>
      <w:r w:rsidR="005A7067">
        <w:t> </w:t>
      </w:r>
      <w:r w:rsidR="00FB677E">
        <w:t>á</w:t>
      </w:r>
      <w:r w:rsidR="005A7067">
        <w:t xml:space="preserve"> ,   v. r.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3E7DDE">
        <w:t>ka</w:t>
      </w:r>
      <w:r>
        <w:t xml:space="preserve"> výboru</w:t>
      </w:r>
      <w:r>
        <w:tab/>
      </w:r>
      <w:r>
        <w:tab/>
        <w:t>zpravodajka výboru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Radka   M a x o v á </w:t>
      </w:r>
      <w:r w:rsidR="007B3187">
        <w:t>,</w:t>
      </w:r>
      <w:bookmarkStart w:id="0" w:name="_GoBack"/>
      <w:bookmarkEnd w:id="0"/>
      <w:r w:rsidR="007B3187">
        <w:t xml:space="preserve">   v. r.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5C4EFD" w:rsidRDefault="00E052D5" w:rsidP="005C4EFD">
      <w:pPr>
        <w:spacing w:after="0"/>
        <w:jc w:val="both"/>
      </w:pPr>
      <w:r w:rsidRPr="00E052D5">
        <w:tab/>
      </w:r>
    </w:p>
    <w:sectPr w:rsidR="005C4EF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87B" w:rsidRDefault="0021087B" w:rsidP="009A5EDB">
      <w:pPr>
        <w:spacing w:after="0" w:line="240" w:lineRule="auto"/>
      </w:pPr>
      <w:r>
        <w:separator/>
      </w:r>
    </w:p>
  </w:endnote>
  <w:endnote w:type="continuationSeparator" w:id="0">
    <w:p w:rsidR="0021087B" w:rsidRDefault="0021087B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877224"/>
      <w:docPartObj>
        <w:docPartGallery w:val="Page Numbers (Bottom of Page)"/>
        <w:docPartUnique/>
      </w:docPartObj>
    </w:sdtPr>
    <w:sdtEndPr/>
    <w:sdtContent>
      <w:p w:rsidR="00E26756" w:rsidRDefault="00E267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317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87B" w:rsidRDefault="0021087B" w:rsidP="009A5EDB">
      <w:pPr>
        <w:spacing w:after="0" w:line="240" w:lineRule="auto"/>
      </w:pPr>
      <w:r>
        <w:separator/>
      </w:r>
    </w:p>
  </w:footnote>
  <w:footnote w:type="continuationSeparator" w:id="0">
    <w:p w:rsidR="0021087B" w:rsidRDefault="0021087B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748C2"/>
    <w:multiLevelType w:val="hybridMultilevel"/>
    <w:tmpl w:val="55EA7CFE"/>
    <w:lvl w:ilvl="0" w:tplc="86889B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5FE1A38"/>
    <w:multiLevelType w:val="hybridMultilevel"/>
    <w:tmpl w:val="D8BA0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2"/>
  </w:num>
  <w:num w:numId="5">
    <w:abstractNumId w:val="0"/>
  </w:num>
  <w:num w:numId="6">
    <w:abstractNumId w:val="13"/>
  </w:num>
  <w:num w:numId="7">
    <w:abstractNumId w:val="6"/>
  </w:num>
  <w:num w:numId="8">
    <w:abstractNumId w:val="11"/>
  </w:num>
  <w:num w:numId="9">
    <w:abstractNumId w:val="8"/>
  </w:num>
  <w:num w:numId="10">
    <w:abstractNumId w:val="10"/>
  </w:num>
  <w:num w:numId="11">
    <w:abstractNumId w:val="15"/>
  </w:num>
  <w:num w:numId="12">
    <w:abstractNumId w:val="14"/>
  </w:num>
  <w:num w:numId="13">
    <w:abstractNumId w:val="9"/>
  </w:num>
  <w:num w:numId="14">
    <w:abstractNumId w:val="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4C1"/>
    <w:rsid w:val="00097D31"/>
    <w:rsid w:val="000B2130"/>
    <w:rsid w:val="000B724D"/>
    <w:rsid w:val="000C6AE4"/>
    <w:rsid w:val="000D432B"/>
    <w:rsid w:val="000E5670"/>
    <w:rsid w:val="000E6983"/>
    <w:rsid w:val="000F0377"/>
    <w:rsid w:val="000F795B"/>
    <w:rsid w:val="00100630"/>
    <w:rsid w:val="00101A4E"/>
    <w:rsid w:val="00106317"/>
    <w:rsid w:val="001063A2"/>
    <w:rsid w:val="0010685A"/>
    <w:rsid w:val="00151B4E"/>
    <w:rsid w:val="00164372"/>
    <w:rsid w:val="00172FB5"/>
    <w:rsid w:val="00177799"/>
    <w:rsid w:val="001834CA"/>
    <w:rsid w:val="001A4368"/>
    <w:rsid w:val="001B2B7C"/>
    <w:rsid w:val="001C1570"/>
    <w:rsid w:val="001C412A"/>
    <w:rsid w:val="001C6BB6"/>
    <w:rsid w:val="001F4E2E"/>
    <w:rsid w:val="0021087B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C8F"/>
    <w:rsid w:val="002F4F6C"/>
    <w:rsid w:val="002F71EB"/>
    <w:rsid w:val="00302825"/>
    <w:rsid w:val="00303B27"/>
    <w:rsid w:val="00304551"/>
    <w:rsid w:val="00304C34"/>
    <w:rsid w:val="00305986"/>
    <w:rsid w:val="00317F09"/>
    <w:rsid w:val="003537DF"/>
    <w:rsid w:val="00357F60"/>
    <w:rsid w:val="00363216"/>
    <w:rsid w:val="00365DBB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0D63"/>
    <w:rsid w:val="003E4F11"/>
    <w:rsid w:val="003E7DDE"/>
    <w:rsid w:val="003F1CD2"/>
    <w:rsid w:val="00405A77"/>
    <w:rsid w:val="00426677"/>
    <w:rsid w:val="004268D0"/>
    <w:rsid w:val="00443DA9"/>
    <w:rsid w:val="004463BF"/>
    <w:rsid w:val="00457F23"/>
    <w:rsid w:val="0048043B"/>
    <w:rsid w:val="004805B8"/>
    <w:rsid w:val="004832E9"/>
    <w:rsid w:val="00485963"/>
    <w:rsid w:val="00487E80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067"/>
    <w:rsid w:val="005A722F"/>
    <w:rsid w:val="005C03E3"/>
    <w:rsid w:val="005C4EFD"/>
    <w:rsid w:val="005C7F21"/>
    <w:rsid w:val="005F46DA"/>
    <w:rsid w:val="00625D3F"/>
    <w:rsid w:val="00635969"/>
    <w:rsid w:val="00640AFD"/>
    <w:rsid w:val="00651373"/>
    <w:rsid w:val="006668E7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97D"/>
    <w:rsid w:val="00726FE6"/>
    <w:rsid w:val="00727063"/>
    <w:rsid w:val="00744B25"/>
    <w:rsid w:val="00744F67"/>
    <w:rsid w:val="00745E82"/>
    <w:rsid w:val="007641EB"/>
    <w:rsid w:val="007720C0"/>
    <w:rsid w:val="007872E9"/>
    <w:rsid w:val="00793A03"/>
    <w:rsid w:val="007A07E4"/>
    <w:rsid w:val="007A0A80"/>
    <w:rsid w:val="007B0192"/>
    <w:rsid w:val="007B3187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03F6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3A4C"/>
    <w:rsid w:val="00A44E3B"/>
    <w:rsid w:val="00A46CA8"/>
    <w:rsid w:val="00A676FB"/>
    <w:rsid w:val="00A73BB0"/>
    <w:rsid w:val="00A74A3B"/>
    <w:rsid w:val="00A9170D"/>
    <w:rsid w:val="00A95116"/>
    <w:rsid w:val="00A975C3"/>
    <w:rsid w:val="00AB7A00"/>
    <w:rsid w:val="00AB7FAA"/>
    <w:rsid w:val="00AD6C61"/>
    <w:rsid w:val="00AE091C"/>
    <w:rsid w:val="00AF2C78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84537"/>
    <w:rsid w:val="00CA04C0"/>
    <w:rsid w:val="00CB1965"/>
    <w:rsid w:val="00CB75DB"/>
    <w:rsid w:val="00CC36DD"/>
    <w:rsid w:val="00CF198E"/>
    <w:rsid w:val="00D0475D"/>
    <w:rsid w:val="00D06C46"/>
    <w:rsid w:val="00D074D8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052D5"/>
    <w:rsid w:val="00E236FF"/>
    <w:rsid w:val="00E24A72"/>
    <w:rsid w:val="00E26756"/>
    <w:rsid w:val="00E31228"/>
    <w:rsid w:val="00E43FF3"/>
    <w:rsid w:val="00E454B0"/>
    <w:rsid w:val="00E51907"/>
    <w:rsid w:val="00E7084B"/>
    <w:rsid w:val="00E72366"/>
    <w:rsid w:val="00E87FE5"/>
    <w:rsid w:val="00E952C2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B677E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aliases w:val="List Paragraph (Czech Tourism),1 odstavecH"/>
    <w:basedOn w:val="Normln"/>
    <w:link w:val="OdstavecseseznamemChar"/>
    <w:uiPriority w:val="34"/>
    <w:qFormat/>
    <w:rsid w:val="00CC36DD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1 odstavecH Char"/>
    <w:link w:val="Odstavecseseznamem"/>
    <w:uiPriority w:val="34"/>
    <w:qFormat/>
    <w:locked/>
    <w:rsid w:val="003E7DDE"/>
    <w:rPr>
      <w:rFonts w:ascii="Times New Roman" w:hAnsi="Times New Roman"/>
      <w:sz w:val="24"/>
      <w:szCs w:val="22"/>
      <w:lang w:eastAsia="en-US"/>
    </w:rPr>
  </w:style>
  <w:style w:type="paragraph" w:customStyle="1" w:styleId="Textlnku">
    <w:name w:val="Text článku"/>
    <w:basedOn w:val="Normln"/>
    <w:rsid w:val="003E7DDE"/>
    <w:pPr>
      <w:spacing w:before="240" w:after="200" w:line="276" w:lineRule="auto"/>
      <w:ind w:firstLine="425"/>
      <w:jc w:val="both"/>
      <w:outlineLvl w:val="5"/>
    </w:pPr>
    <w:rPr>
      <w:rFonts w:eastAsia="Times New Roman"/>
      <w:color w:val="00000A"/>
      <w:szCs w:val="24"/>
      <w:lang w:eastAsia="cs-CZ"/>
    </w:rPr>
  </w:style>
  <w:style w:type="paragraph" w:customStyle="1" w:styleId="l21">
    <w:name w:val="l21"/>
    <w:basedOn w:val="Normln"/>
    <w:rsid w:val="003E7DDE"/>
    <w:pPr>
      <w:spacing w:after="200" w:line="276" w:lineRule="auto"/>
      <w:jc w:val="both"/>
    </w:pPr>
    <w:rPr>
      <w:rFonts w:eastAsia="Times New Roman"/>
      <w:color w:val="00000A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2019-02-11T09:38:00Z</cp:lastPrinted>
  <dcterms:created xsi:type="dcterms:W3CDTF">2019-02-11T14:15:00Z</dcterms:created>
  <dcterms:modified xsi:type="dcterms:W3CDTF">2019-02-11T14:15:00Z</dcterms:modified>
  <dc:language>cs-CZ</dc:language>
</cp:coreProperties>
</file>