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PARLAMENT ČESKÉ REPUBLIKY</w:t>
      </w:r>
    </w:p>
    <w:p w:rsidR="00000000" w:rsidDel="00000000" w:rsidP="00000000" w:rsidRDefault="00000000" w:rsidRPr="00000000" w14:paraId="00000002">
      <w:pPr>
        <w:spacing w:after="20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Poslanecká sněmovna</w:t>
      </w:r>
    </w:p>
    <w:p w:rsidR="00000000" w:rsidDel="00000000" w:rsidP="00000000" w:rsidRDefault="00000000" w:rsidRPr="00000000" w14:paraId="00000003">
      <w:pPr>
        <w:spacing w:after="20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2019</w:t>
      </w:r>
    </w:p>
    <w:p w:rsidR="00000000" w:rsidDel="00000000" w:rsidP="00000000" w:rsidRDefault="00000000" w:rsidRPr="00000000" w14:paraId="00000004">
      <w:pPr>
        <w:spacing w:after="20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VIII. volební období</w:t>
      </w:r>
    </w:p>
    <w:p w:rsidR="00000000" w:rsidDel="00000000" w:rsidP="00000000" w:rsidRDefault="00000000" w:rsidRPr="00000000" w14:paraId="00000005">
      <w:pPr>
        <w:spacing w:after="200" w:line="276" w:lineRule="auto"/>
        <w:jc w:val="center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6">
      <w:pPr>
        <w:spacing w:after="160" w:line="276" w:lineRule="auto"/>
        <w:jc w:val="center"/>
        <w:rPr>
          <w:b w:val="1"/>
          <w:sz w:val="48"/>
          <w:szCs w:val="48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76" w:lineRule="auto"/>
        <w:jc w:val="center"/>
        <w:rPr>
          <w:b w:val="1"/>
          <w:sz w:val="48"/>
          <w:szCs w:val="48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76" w:lineRule="auto"/>
        <w:jc w:val="center"/>
        <w:rPr>
          <w:b w:val="1"/>
          <w:sz w:val="36"/>
          <w:szCs w:val="36"/>
        </w:rPr>
      </w:pPr>
      <w:bookmarkStart w:colFirst="0" w:colLast="0" w:name="_3znysh7" w:id="3"/>
      <w:bookmarkEnd w:id="3"/>
      <w:r w:rsidDel="00000000" w:rsidR="00000000" w:rsidRPr="00000000">
        <w:rPr>
          <w:b w:val="1"/>
          <w:sz w:val="36"/>
          <w:szCs w:val="36"/>
          <w:rtl w:val="0"/>
        </w:rPr>
        <w:t xml:space="preserve">Pozměňovací návrh</w:t>
      </w:r>
    </w:p>
    <w:p w:rsidR="00000000" w:rsidDel="00000000" w:rsidP="00000000" w:rsidRDefault="00000000" w:rsidRPr="00000000" w14:paraId="00000009">
      <w:pPr>
        <w:spacing w:after="16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poslance</w:t>
      </w:r>
    </w:p>
    <w:p w:rsidR="00000000" w:rsidDel="00000000" w:rsidP="00000000" w:rsidRDefault="00000000" w:rsidRPr="00000000" w14:paraId="0000000B">
      <w:pPr>
        <w:spacing w:after="16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Tomáše Martínka</w:t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sz w:val="36"/>
          <w:szCs w:val="36"/>
        </w:rPr>
      </w:pPr>
      <w:r w:rsidDel="00000000" w:rsidR="00000000" w:rsidRPr="00000000">
        <w:rPr>
          <w:sz w:val="28"/>
          <w:szCs w:val="28"/>
          <w:rtl w:val="0"/>
        </w:rPr>
        <w:t xml:space="preserve">k vládnímu návrhu zákona, kterým se mění zákon č. 155/1995 Sb., o důchodovém pojištění, ve znění pozdějších předpisů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(sněmovní tisk 452)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V článku I se doplňuje úvodní ustanovení, které zní: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„Zákon č. 155/1995 Sb., o důchodovém pojištění, ve znění zákona č. 134/1997 Sb., zákona č. 289/1997 Sb., zákona č. 224/1999 Sb., zákona č. 18/2000 Sb., zákona č. 118/2000 Sb., zákona č. 132/2000 Sb., zákona č. 220/2000 Sb., zákona č. 116/2001 Sb., zákona č. 188/2001 Sb., zákona č. 353/2001 Sb., zákona č. 198/2002 Sb., zákona č. 263/2002 Sb., zákona č. 264/2002 Sb., zákona č. 362/2003 Sb., zákona č. 424/2003 Sb., zákona č. 425/2003 Sb., zákona č. 85/2004 Sb., zákona č. 281/2004 Sb., zákona č. 359/2004 Sb., zákona č. 436/2004 Sb., zákona č. 562/2004 Sb., zákona č. 168/2005 Sb., zákona č. 361/2005 Sb., zákona č. 377/2005 Sb., zákona č. 24/2006 Sb., zákona č. 109/2006 Sb., zákona č. 189/2006 Sb., zákona č. 264/2006 Sb., zákona č. 267/2006 Sb., nálezu Ústavního soudu, vyhlášeného pod č. 405/2006 Sb., zákona č. 152/2007 Sb., zákona č. 181/2007 Sb., zákona č. 218/2007 Sb., zákona č. 261/2007 Sb., zákona č. 296/2007 Sb., zákona č. 178/2008 Sb., zákona č. 305/2008 Sb., zákona č. 306/2008 Sb., zákona č. 382/2008 Sb., zákona č. 479/2008 Sb., zákona č. 41/2009 Sb., zákona č. 108/2009 Sb., zákona č. 158/2009 Sb., zákona č. 303/2009 Sb., nálezu Ústavního soudu, vyhlášeného pod č. 135/2010 Sb., zákona č. 347/2010 Sb., zákona č. 73/2011 Sb., zákona č. 220/2011 Sb., zákona č. 341/2011 Sb., zákona č. 348/2011 Sb., zákona č. 364/2011 Sb., zákona č. 365/2011 Sb., zákona č. 428/2011 Sb., zákona č. 458/2011 Sb., zákona č. 470/2011 Sb., zákona č. 314/2012 Sb., zákona č. 401/2012 Sb., zákona č. 403/2012 Sb., zákona č. 463/2012 Sb., zákona č. 267/2013 Sb., zákona č. 274/2013 Sb., zákona č. 303/2013 Sb., zákonného opatření Senátu č. 344/2013 Sb., zákona č. 182/2014 Sb., zákona č. 183/2014 Sb., zákona č. 250/2014 Sb., zákona č. 267/2014 Sb., zákona č. 332/2014 Sb., zákona č. 131/2015 Sb., zákona č. 377/2015 Sb., zákona č. 47/2016 Sb., zákona č. 137/2016 Sb., zákona č. 190/2016 Sb., zákona č. 212/2016 Sb., zákona č. 213/2016 Sb., zákona č. 24/2017 Sb., zákona č. 99/2017 Sb., zákona č. 148/2017 Sb., zákona č. 150/2017 Sb., zákona č. 203/2017 Sb., zákona č. 259/2017 Sb., zákona č. 310/2017 Sb., zákona č. 191/2018 Sb. a zákona č. 32/2019 Sb., se mění takto:“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Doplňují se novelizační body 1 a 2, které znějí: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„1. V § 16 odst. 4 na konci písmene k) se tečka nahrazuje čárkou a doplňuje se nové písmeno l), které zní: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„l) účasti pojištěnců pečujících osobně o dítě ve věku do 9 let.“.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2. V § 16 odst. 7 se text „písm. a) až k)“ nahrazuje textem „písm. a) až l)“.“.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Dosavadní text článku I se označuje jako novelizační bod 3.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Odůvodnění:</w:t>
      </w:r>
    </w:p>
    <w:p w:rsidR="00000000" w:rsidDel="00000000" w:rsidP="00000000" w:rsidRDefault="00000000" w:rsidRPr="00000000" w14:paraId="00000023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Navrhuje se prodloužení možnosti uplatnění vyloučené doby pro rodiče pečující o dítě do 9 let věku. Možnost vyloučení období péče o dítě do věku 9 let bude mít jeden z rodičů. Věk devíti let je zvolen proto, že do tohoto věku dochází k největším rozdílům v příjmech mezi osobami pečujícími o děti a ostatními. Rodič tak bude mít možnost pracovat na částečný úvazek po delší dobu a pečovat o dítě, aniž by to negativně ovlivnilo výši důchodu při výpočtu procentní výměry. V současnosti se příjmy rodičů pečujících o dítě po jeho čtvrtém roku života započítávají do jejich průměrného celoživotního příjmu, což se pak negativně projeví ve výši důchodu pečujících. </w:t>
      </w:r>
    </w:p>
    <w:p w:rsidR="00000000" w:rsidDel="00000000" w:rsidP="00000000" w:rsidRDefault="00000000" w:rsidRPr="00000000" w14:paraId="00000024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Návrh není diskriminační, vyloučenou dobu budou moci uplatnit muži i ženy. Podmínkou však zůstává, že vyloučenou dobu může uplatnit pouze jeden z rodičů. Rozpočtové dopady návrhu budou v prvních letech omezené, protože možnost delší vyloučené doby při péči o dítě se bude týkat nově přiznávaných důchodů. V materiálu Komise pro spravedlivé důchody jsou výdaje spojené s tímto opatřením odhadnuty v řádu maximálně stovek milionů ročně v prvních letech od zavedení. Postupně je odhadován trend zvyšování těchto výdajů a plné rozpočtové dopady lze, dle tohoto materiálu, očekávat za cca 30 let. </w:t>
      </w:r>
    </w:p>
    <w:p w:rsidR="00000000" w:rsidDel="00000000" w:rsidP="00000000" w:rsidRDefault="00000000" w:rsidRPr="00000000" w14:paraId="00000025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Na této úpravě důchodového systému, která podporuje částečné úvazky i snížení rozdílu ve výši důchodů u osob pečujících o děti a ostatními, panovala většinová shoda na Komisi pro spravedlivé důchody MPSV.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