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027C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C59AE" w:rsidP="000E730C">
      <w:pPr>
        <w:pStyle w:val="PS-slousnesen"/>
      </w:pPr>
      <w:r>
        <w:t>614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027C3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C59AE">
        <w:t>24</w:t>
      </w:r>
      <w:r>
        <w:t xml:space="preserve">. </w:t>
      </w:r>
      <w:r w:rsidR="008027C3">
        <w:t>dubna</w:t>
      </w:r>
      <w:r>
        <w:t xml:space="preserve"> 201</w:t>
      </w:r>
      <w:r w:rsidR="008027C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DC59AE">
        <w:t>,</w:t>
      </w:r>
      <w:r w:rsidR="008027C3">
        <w:t xml:space="preserve"> </w:t>
      </w:r>
      <w:r w:rsidR="00DC59AE" w:rsidRPr="00DC59AE">
        <w:t>kterým se mění zákon č. 127/2005 Sb., o elektronických komunikacích a o změně některých souvisejících zákonů (zákon o elektronických komunikacích), ve znění pozdějších zákonů /sněmovní tisk 420/ - prvé čtení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C59AE">
        <w:rPr>
          <w:rStyle w:val="proloenChar"/>
          <w:b w:val="0"/>
        </w:rPr>
        <w:t xml:space="preserve">hospodářskému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2B142E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B142E" w:rsidP="00A66149">
      <w:pPr>
        <w:pStyle w:val="PS-jmeno2"/>
      </w:pPr>
      <w:r>
        <w:t xml:space="preserve">Tomáš Vymazal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142E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59AE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6039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2019-04-26T13:13:00Z</cp:lastPrinted>
  <dcterms:created xsi:type="dcterms:W3CDTF">2019-04-17T13:53:00Z</dcterms:created>
  <dcterms:modified xsi:type="dcterms:W3CDTF">2019-04-26T13:13:00Z</dcterms:modified>
</cp:coreProperties>
</file>