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47C83" w:rsidP="000E730C">
      <w:pPr>
        <w:pStyle w:val="PS-slousnesen"/>
      </w:pPr>
      <w:r>
        <w:t>360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47C83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547C83">
        <w:t xml:space="preserve"> 23</w:t>
      </w:r>
      <w:r>
        <w:t xml:space="preserve">. </w:t>
      </w:r>
      <w:r w:rsidR="00547C83">
        <w:t>října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547C83">
        <w:t xml:space="preserve"> vládnímu </w:t>
      </w:r>
      <w:r>
        <w:t xml:space="preserve">návrhu </w:t>
      </w:r>
      <w:r w:rsidR="00547C83">
        <w:t>zákona, kterým se mění zákon č. 112/2016 Sb., o evidenci tržeb, ve znění pozdějších předpisů, a zákon č. 235/2004 Sb., o dani z přidané hodnoty, ve znění pozdějších předpisů /sněmovní tisk 205/ - prvé čtení</w:t>
      </w:r>
      <w:r w:rsidR="00547C83">
        <w:rPr>
          <w:b/>
          <w:sz w:val="20"/>
        </w:rPr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návrhu 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a odročuje </w:t>
      </w:r>
      <w:r>
        <w:rPr>
          <w:rFonts w:ascii="Times New Roman" w:hAnsi="Times New Roman"/>
          <w:spacing w:val="-3"/>
          <w:sz w:val="24"/>
          <w:szCs w:val="24"/>
        </w:rPr>
        <w:t>jej do</w:t>
      </w:r>
      <w:r w:rsidR="00547C83">
        <w:rPr>
          <w:rFonts w:ascii="Times New Roman" w:hAnsi="Times New Roman"/>
          <w:spacing w:val="-3"/>
          <w:sz w:val="24"/>
          <w:szCs w:val="24"/>
        </w:rPr>
        <w:t xml:space="preserve"> příští řádné schůze Poslanecké sněmovny.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43E4A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43E4A" w:rsidP="00A66149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C83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43E4A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D565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2018-10-30T13:45:00Z</cp:lastPrinted>
  <dcterms:created xsi:type="dcterms:W3CDTF">2018-03-27T08:45:00Z</dcterms:created>
  <dcterms:modified xsi:type="dcterms:W3CDTF">2018-10-30T13:45:00Z</dcterms:modified>
</cp:coreProperties>
</file>