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445C3" w:rsidP="000E730C">
      <w:pPr>
        <w:pStyle w:val="PS-slousnesen"/>
      </w:pPr>
      <w:r>
        <w:t>361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445C3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445C3">
        <w:t>23</w:t>
      </w:r>
      <w:r>
        <w:t xml:space="preserve">. </w:t>
      </w:r>
      <w:r w:rsidR="00A445C3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A445C3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A445C3">
        <w:t>zákona, kterým se mění zákon č. 114/1995 Sb., o vnitrozemské plavbě, ve znění pozdějších předpisů, a zákon č. 634/2004 Sb., o správních poplatcích, ve znění pozdějších předpisů /sněmovní tisk 195/ - prvé čtení</w:t>
      </w:r>
      <w:r w:rsidR="00A445C3">
        <w:rPr>
          <w:b/>
          <w:sz w:val="20"/>
        </w:rPr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445C3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BE0F20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BE0F20" w:rsidP="00E1210A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 w:rsidRPr="00A445C3">
        <w:t>ověřovatel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45C3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0F20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49A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2018-10-30T13:45:00Z</cp:lastPrinted>
  <dcterms:created xsi:type="dcterms:W3CDTF">2018-03-27T08:46:00Z</dcterms:created>
  <dcterms:modified xsi:type="dcterms:W3CDTF">2018-10-30T13:45:00Z</dcterms:modified>
</cp:coreProperties>
</file>