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28759D">
        <w:t>3</w:t>
      </w:r>
      <w:r w:rsidR="00DD66CA">
        <w:t>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A5326">
        <w:t>2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CE227C" w:rsidRPr="00C44A3B">
        <w:t>Zastupitelstva Pardubického kraje na vydání zákona, kterým se mění zákon č. 500/2004 Sb., správní řád, ve znění pozdějších předpisů /sněmovní tisk 54/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E227C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227C">
        <w:rPr>
          <w:rFonts w:ascii="Times New Roman" w:hAnsi="Times New Roman"/>
          <w:spacing w:val="-3"/>
          <w:sz w:val="24"/>
          <w:szCs w:val="24"/>
        </w:rPr>
        <w:t>, výboru pro veřejnou správu a regionální rozvoj jako výboru dalšímu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07B86" w:rsidRDefault="00053FAA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53FAA" w:rsidP="00A66149">
      <w:pPr>
        <w:pStyle w:val="PS-jmeno2"/>
      </w:pPr>
      <w:r>
        <w:t xml:space="preserve">Jiří Valenta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53FAA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2018-02-28T08:51:00Z</cp:lastPrinted>
  <dcterms:created xsi:type="dcterms:W3CDTF">2018-03-05T07:51:00Z</dcterms:created>
  <dcterms:modified xsi:type="dcterms:W3CDTF">2018-03-06T17:51:00Z</dcterms:modified>
</cp:coreProperties>
</file>