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5266" w:rsidRDefault="00B20ABC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Roboto" w:eastAsia="Roboto" w:hAnsi="Roboto" w:cs="Roboto"/>
          <w:b/>
          <w:color w:val="000000"/>
          <w:sz w:val="36"/>
          <w:szCs w:val="36"/>
        </w:rPr>
      </w:pPr>
      <w:r>
        <w:rPr>
          <w:rFonts w:ascii="Roboto" w:eastAsia="Roboto" w:hAnsi="Roboto" w:cs="Roboto"/>
          <w:b/>
          <w:color w:val="000000"/>
          <w:sz w:val="36"/>
          <w:szCs w:val="36"/>
        </w:rPr>
        <w:t>PARLAMENT ČESKÉ REPUBLIKY</w:t>
      </w:r>
    </w:p>
    <w:p w:rsidR="00B25266" w:rsidRDefault="00B20ABC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Roboto" w:eastAsia="Roboto" w:hAnsi="Roboto" w:cs="Roboto"/>
          <w:color w:val="000000"/>
          <w:sz w:val="36"/>
          <w:szCs w:val="36"/>
        </w:rPr>
      </w:pPr>
      <w:r>
        <w:rPr>
          <w:rFonts w:ascii="Roboto" w:eastAsia="Roboto" w:hAnsi="Roboto" w:cs="Roboto"/>
          <w:color w:val="000000"/>
          <w:sz w:val="36"/>
          <w:szCs w:val="36"/>
        </w:rPr>
        <w:t>Poslanecká sněmovna</w:t>
      </w:r>
    </w:p>
    <w:p w:rsidR="00B25266" w:rsidRDefault="00B20ABC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Roboto" w:eastAsia="Roboto" w:hAnsi="Roboto" w:cs="Roboto"/>
          <w:color w:val="000000"/>
          <w:sz w:val="36"/>
          <w:szCs w:val="36"/>
        </w:rPr>
      </w:pPr>
      <w:r>
        <w:rPr>
          <w:rFonts w:ascii="Roboto" w:eastAsia="Roboto" w:hAnsi="Roboto" w:cs="Roboto"/>
          <w:color w:val="000000"/>
          <w:sz w:val="36"/>
          <w:szCs w:val="36"/>
        </w:rPr>
        <w:t>201</w:t>
      </w:r>
      <w:r>
        <w:rPr>
          <w:rFonts w:ascii="Roboto" w:eastAsia="Roboto" w:hAnsi="Roboto" w:cs="Roboto"/>
          <w:sz w:val="36"/>
          <w:szCs w:val="36"/>
        </w:rPr>
        <w:t>9</w:t>
      </w:r>
    </w:p>
    <w:p w:rsidR="00B25266" w:rsidRDefault="00B20ABC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Roboto" w:eastAsia="Roboto" w:hAnsi="Roboto" w:cs="Roboto"/>
          <w:color w:val="000000"/>
          <w:sz w:val="28"/>
          <w:szCs w:val="28"/>
        </w:rPr>
      </w:pPr>
      <w:r>
        <w:rPr>
          <w:rFonts w:ascii="Roboto" w:eastAsia="Roboto" w:hAnsi="Roboto" w:cs="Roboto"/>
          <w:color w:val="000000"/>
          <w:sz w:val="36"/>
          <w:szCs w:val="36"/>
        </w:rPr>
        <w:t>VIII. volební období</w:t>
      </w:r>
    </w:p>
    <w:p w:rsidR="00B25266" w:rsidRDefault="00B20ABC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Roboto" w:eastAsia="Roboto" w:hAnsi="Roboto" w:cs="Roboto"/>
          <w:color w:val="000000"/>
          <w:sz w:val="28"/>
          <w:szCs w:val="28"/>
        </w:rPr>
      </w:pPr>
      <w:r>
        <w:rPr>
          <w:rFonts w:ascii="Roboto" w:eastAsia="Roboto" w:hAnsi="Roboto" w:cs="Roboto"/>
          <w:color w:val="000000"/>
          <w:sz w:val="28"/>
          <w:szCs w:val="28"/>
        </w:rPr>
        <w:t>___________________________________________________________</w:t>
      </w:r>
    </w:p>
    <w:p w:rsidR="00B25266" w:rsidRDefault="00B25266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Roboto" w:eastAsia="Roboto" w:hAnsi="Roboto" w:cs="Roboto"/>
          <w:color w:val="000000"/>
          <w:sz w:val="28"/>
          <w:szCs w:val="28"/>
        </w:rPr>
      </w:pPr>
    </w:p>
    <w:p w:rsidR="00B25266" w:rsidRDefault="00B25266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Roboto" w:eastAsia="Roboto" w:hAnsi="Roboto" w:cs="Roboto"/>
          <w:color w:val="000000"/>
          <w:sz w:val="28"/>
          <w:szCs w:val="28"/>
        </w:rPr>
      </w:pPr>
    </w:p>
    <w:p w:rsidR="00B25266" w:rsidRDefault="00B20ABC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center"/>
        <w:rPr>
          <w:rFonts w:ascii="Roboto" w:eastAsia="Roboto" w:hAnsi="Roboto" w:cs="Roboto"/>
          <w:b/>
          <w:color w:val="000000"/>
          <w:sz w:val="28"/>
          <w:szCs w:val="28"/>
        </w:rPr>
      </w:pPr>
      <w:r>
        <w:rPr>
          <w:rFonts w:ascii="Roboto" w:eastAsia="Roboto" w:hAnsi="Roboto" w:cs="Roboto"/>
          <w:b/>
          <w:color w:val="000000"/>
          <w:sz w:val="32"/>
          <w:szCs w:val="32"/>
        </w:rPr>
        <w:t xml:space="preserve">Pozměňovací návrh </w:t>
      </w:r>
    </w:p>
    <w:p w:rsidR="00B25266" w:rsidRDefault="00B25266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Roboto" w:eastAsia="Roboto" w:hAnsi="Roboto" w:cs="Roboto"/>
          <w:color w:val="000000"/>
          <w:sz w:val="28"/>
          <w:szCs w:val="28"/>
        </w:rPr>
      </w:pPr>
    </w:p>
    <w:p w:rsidR="00B25266" w:rsidRDefault="00B20ABC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Roboto" w:eastAsia="Roboto" w:hAnsi="Roboto" w:cs="Roboto"/>
          <w:color w:val="000000"/>
          <w:sz w:val="28"/>
          <w:szCs w:val="28"/>
        </w:rPr>
      </w:pPr>
      <w:r>
        <w:rPr>
          <w:rFonts w:ascii="Roboto" w:eastAsia="Roboto" w:hAnsi="Roboto" w:cs="Roboto"/>
          <w:b/>
          <w:color w:val="000000"/>
          <w:sz w:val="28"/>
          <w:szCs w:val="28"/>
        </w:rPr>
        <w:t>Tomáše Martínka a R</w:t>
      </w:r>
      <w:r>
        <w:rPr>
          <w:rFonts w:ascii="Roboto" w:eastAsia="Roboto" w:hAnsi="Roboto" w:cs="Roboto"/>
          <w:b/>
          <w:sz w:val="28"/>
          <w:szCs w:val="28"/>
        </w:rPr>
        <w:t xml:space="preserve">adka </w:t>
      </w:r>
      <w:proofErr w:type="spellStart"/>
      <w:r>
        <w:rPr>
          <w:rFonts w:ascii="Roboto" w:eastAsia="Roboto" w:hAnsi="Roboto" w:cs="Roboto"/>
          <w:b/>
          <w:sz w:val="28"/>
          <w:szCs w:val="28"/>
        </w:rPr>
        <w:t>Holomčíka</w:t>
      </w:r>
      <w:proofErr w:type="spellEnd"/>
    </w:p>
    <w:p w:rsidR="00B25266" w:rsidRDefault="00B25266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Roboto" w:eastAsia="Roboto" w:hAnsi="Roboto" w:cs="Roboto"/>
          <w:color w:val="000000"/>
          <w:sz w:val="28"/>
          <w:szCs w:val="28"/>
        </w:rPr>
      </w:pPr>
    </w:p>
    <w:p w:rsidR="00B25266" w:rsidRDefault="00B20ABC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Roboto" w:eastAsia="Roboto" w:hAnsi="Roboto" w:cs="Roboto"/>
          <w:color w:val="FF0000"/>
          <w:sz w:val="28"/>
          <w:szCs w:val="28"/>
        </w:rPr>
      </w:pPr>
      <w:r>
        <w:rPr>
          <w:rFonts w:ascii="Roboto" w:eastAsia="Roboto" w:hAnsi="Roboto" w:cs="Roboto"/>
          <w:b/>
          <w:color w:val="000000"/>
          <w:sz w:val="28"/>
          <w:szCs w:val="28"/>
        </w:rPr>
        <w:t>k návrhu poslance Karla Raise na vydání zákona, kterým se mění zákonné opatření Senátu č. 340/2013 Sb., o dani z nabytí nemovitých věcí, ve znění zákona č. 254/2016 Sb.</w:t>
      </w:r>
      <w:r>
        <w:rPr>
          <w:rFonts w:ascii="Roboto" w:eastAsia="Roboto" w:hAnsi="Roboto" w:cs="Roboto"/>
          <w:b/>
          <w:color w:val="FF0000"/>
          <w:sz w:val="28"/>
          <w:szCs w:val="28"/>
        </w:rPr>
        <w:br/>
      </w:r>
    </w:p>
    <w:p w:rsidR="00B25266" w:rsidRDefault="00B25266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Roboto" w:eastAsia="Roboto" w:hAnsi="Roboto" w:cs="Roboto"/>
          <w:color w:val="000000"/>
          <w:sz w:val="30"/>
          <w:szCs w:val="30"/>
        </w:rPr>
      </w:pPr>
    </w:p>
    <w:p w:rsidR="00B25266" w:rsidRDefault="00B25266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Roboto" w:eastAsia="Roboto" w:hAnsi="Roboto" w:cs="Roboto"/>
          <w:color w:val="000000"/>
          <w:sz w:val="30"/>
          <w:szCs w:val="30"/>
        </w:rPr>
      </w:pPr>
    </w:p>
    <w:p w:rsidR="00B25266" w:rsidRDefault="00B20ABC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Roboto" w:eastAsia="Roboto" w:hAnsi="Roboto" w:cs="Roboto"/>
          <w:color w:val="000000"/>
          <w:sz w:val="24"/>
          <w:szCs w:val="24"/>
        </w:rPr>
      </w:pPr>
      <w:r>
        <w:rPr>
          <w:rFonts w:ascii="Roboto" w:eastAsia="Roboto" w:hAnsi="Roboto" w:cs="Roboto"/>
          <w:color w:val="000000"/>
          <w:sz w:val="30"/>
          <w:szCs w:val="30"/>
        </w:rPr>
        <w:t>(sněmovní tisk č. 179)</w:t>
      </w:r>
    </w:p>
    <w:p w:rsidR="00B25266" w:rsidRDefault="00B25266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center"/>
        <w:rPr>
          <w:rFonts w:ascii="Roboto" w:eastAsia="Roboto" w:hAnsi="Roboto" w:cs="Roboto"/>
          <w:b/>
          <w:color w:val="000000"/>
          <w:sz w:val="36"/>
          <w:szCs w:val="36"/>
        </w:rPr>
      </w:pPr>
    </w:p>
    <w:p w:rsidR="00B25266" w:rsidRDefault="00B25266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  <w:sz w:val="22"/>
          <w:szCs w:val="22"/>
        </w:rPr>
      </w:pPr>
    </w:p>
    <w:p w:rsidR="00B25266" w:rsidRDefault="00B25266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  <w:sz w:val="22"/>
          <w:szCs w:val="22"/>
        </w:rPr>
      </w:pPr>
    </w:p>
    <w:p w:rsidR="00B25266" w:rsidRDefault="00B25266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  <w:sz w:val="22"/>
          <w:szCs w:val="22"/>
        </w:rPr>
      </w:pPr>
    </w:p>
    <w:p w:rsidR="00B20ABC" w:rsidRDefault="00B20ABC">
      <w:pPr>
        <w:rPr>
          <w:b/>
          <w:color w:val="000000"/>
          <w:sz w:val="24"/>
          <w:szCs w:val="24"/>
          <w:u w:val="single"/>
        </w:rPr>
      </w:pPr>
      <w:bookmarkStart w:id="0" w:name="_GoBack"/>
      <w:bookmarkEnd w:id="0"/>
      <w:r>
        <w:rPr>
          <w:b/>
          <w:color w:val="000000"/>
          <w:sz w:val="24"/>
          <w:szCs w:val="24"/>
          <w:u w:val="single"/>
        </w:rPr>
        <w:br w:type="page"/>
      </w:r>
    </w:p>
    <w:p w:rsidR="00B25266" w:rsidRDefault="00B20ABC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  <w:u w:val="single"/>
        </w:rPr>
      </w:pPr>
      <w:r>
        <w:rPr>
          <w:b/>
          <w:color w:val="000000"/>
          <w:sz w:val="24"/>
          <w:szCs w:val="24"/>
          <w:u w:val="single"/>
        </w:rPr>
        <w:lastRenderedPageBreak/>
        <w:t>Text návrhu:</w:t>
      </w:r>
    </w:p>
    <w:p w:rsidR="00B25266" w:rsidRDefault="00B25266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B25266" w:rsidRDefault="00B20ABC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120"/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>V článku I se doplňují novelizační body 3 a 4, které znějí:</w:t>
      </w:r>
    </w:p>
    <w:p w:rsidR="00B25266" w:rsidRDefault="00B20ABC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120"/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>“3. V § 32 se slovo “třetího” nahrazuje slovem “šestého”.</w:t>
      </w:r>
    </w:p>
    <w:p w:rsidR="00B25266" w:rsidRDefault="00B20ABC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120"/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>4. V § 33 odst. 1 a 2 se slovo “třetího” nahrazuje slovem “šestého”.”.</w:t>
      </w:r>
    </w:p>
    <w:p w:rsidR="00B25266" w:rsidRDefault="00B25266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120"/>
        <w:ind w:left="567" w:hanging="567"/>
        <w:jc w:val="both"/>
        <w:rPr>
          <w:sz w:val="24"/>
          <w:szCs w:val="24"/>
        </w:rPr>
      </w:pPr>
    </w:p>
    <w:p w:rsidR="00B25266" w:rsidRDefault="00B25266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120"/>
        <w:ind w:left="567" w:hanging="567"/>
        <w:jc w:val="both"/>
        <w:rPr>
          <w:sz w:val="24"/>
          <w:szCs w:val="24"/>
        </w:rPr>
      </w:pPr>
    </w:p>
    <w:p w:rsidR="00B25266" w:rsidRDefault="00B20ABC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  <w:u w:val="single"/>
        </w:rPr>
      </w:pPr>
      <w:r>
        <w:br w:type="page"/>
      </w:r>
      <w:r>
        <w:rPr>
          <w:b/>
          <w:color w:val="000000"/>
          <w:sz w:val="24"/>
          <w:szCs w:val="24"/>
          <w:u w:val="single"/>
        </w:rPr>
        <w:lastRenderedPageBreak/>
        <w:t>Odůvodnění:</w:t>
      </w:r>
    </w:p>
    <w:p w:rsidR="00B25266" w:rsidRDefault="00B25266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  <w:u w:val="single"/>
        </w:rPr>
      </w:pPr>
    </w:p>
    <w:p w:rsidR="00B25266" w:rsidRDefault="00B20ABC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Od 1. listopadu 2016 vstoupila v platnost novela zá</w:t>
      </w:r>
      <w:r>
        <w:rPr>
          <w:sz w:val="24"/>
          <w:szCs w:val="24"/>
        </w:rPr>
        <w:t>kona o dani z nabytí nemovitých věcí. Touto úpravou se také stanovilo, že nově platí daň z nabytí nemovitých věcí pouze kupující nemovitosti. Podle legislativy platné do 31. října 2016 platil daň zpravidla prodávající, nový majitel pouze ručil za to, že da</w:t>
      </w:r>
      <w:r>
        <w:rPr>
          <w:sz w:val="24"/>
          <w:szCs w:val="24"/>
        </w:rPr>
        <w:t>ň prodávající skutečně zaplatil, ačkoli neměl žádnou možnost jej k tomu donutit. Pokud své povinnosti nesplnil, musel kupující uhradit daň státu za něj.</w:t>
      </w:r>
    </w:p>
    <w:p w:rsidR="00B25266" w:rsidRDefault="00B20ABC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Daň z nabytí nemovitých věcí je splatná formou zálohy hrazené nejdéle ke dni vypršení lhůty pro podání </w:t>
      </w:r>
      <w:r>
        <w:rPr>
          <w:sz w:val="24"/>
          <w:szCs w:val="24"/>
        </w:rPr>
        <w:t>daňového přiznání k dani z nabytí nemovitých věcí. Daňové přiznání k dani z nabytí nemovitých věcí je poplatník povinen podat nejpozději do konce třetího kalendářního měsíce následujícího po kalendářním měsíci, v němž byl v katastru nemovitostí proveden vk</w:t>
      </w:r>
      <w:r>
        <w:rPr>
          <w:sz w:val="24"/>
          <w:szCs w:val="24"/>
        </w:rPr>
        <w:t>lad.</w:t>
      </w:r>
    </w:p>
    <w:p w:rsidR="00B25266" w:rsidRDefault="00B20ABC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Cena nemovitostí dlouhodobě roste. Mnoh</w:t>
      </w:r>
      <w:r w:rsidR="00FF4C90">
        <w:rPr>
          <w:sz w:val="24"/>
          <w:szCs w:val="24"/>
        </w:rPr>
        <w:t xml:space="preserve">o kupujících tak při koupi </w:t>
      </w:r>
      <w:r>
        <w:rPr>
          <w:sz w:val="24"/>
          <w:szCs w:val="24"/>
        </w:rPr>
        <w:t>nemovitosti vynaloží veškeré své prostředky pro pořízení dané nemovitosti, tito kupující poté mají problém v krátkém časovém horizontu obstarat dostatečné prostředky potřebné k platbě t</w:t>
      </w:r>
      <w:r>
        <w:rPr>
          <w:sz w:val="24"/>
          <w:szCs w:val="24"/>
        </w:rPr>
        <w:t>éto daně. To může způsobovat zbytečné problémy v rámci nedoplatků a sankcí i lidem, kteří jsou jinak řádnými daňovými poplatníky.</w:t>
      </w:r>
    </w:p>
    <w:p w:rsidR="00B25266" w:rsidRDefault="00B20ABC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Tento návrh prodlužuje lhůtu pro podání daňového přiznání k dani z nabytí nemovitých věcí o 3 měsíce. Díky této úpravě tak bud</w:t>
      </w:r>
      <w:r>
        <w:rPr>
          <w:sz w:val="24"/>
          <w:szCs w:val="24"/>
        </w:rPr>
        <w:t xml:space="preserve">ou mít kupující více času na obstarání prostředků k uhrazení své daňové povinnosti. Stát změnou není připraven o peníze, pouze se o 3 měsíce posune </w:t>
      </w:r>
      <w:proofErr w:type="spellStart"/>
      <w:r>
        <w:rPr>
          <w:sz w:val="24"/>
          <w:szCs w:val="24"/>
        </w:rPr>
        <w:t>cashflow</w:t>
      </w:r>
      <w:proofErr w:type="spellEnd"/>
      <w:r>
        <w:rPr>
          <w:sz w:val="24"/>
          <w:szCs w:val="24"/>
        </w:rPr>
        <w:t xml:space="preserve"> státu, která se navíc poté opět srovná. V prvním roce zavedení je proto možné, že se sníží výběr té</w:t>
      </w:r>
      <w:r>
        <w:rPr>
          <w:sz w:val="24"/>
          <w:szCs w:val="24"/>
        </w:rPr>
        <w:t xml:space="preserve">to daně maximálně o 25 %. Stát o tuto část nepřijde, pouze ji obdrží až v roce následujícím, ve kterém již výběr bude na standardní výši nebo pravděpodobně i vyšší, protože tato úleva může pomoci mnoha kupujícím, kteří tak mohou uskutečnit více transakcí, </w:t>
      </w:r>
      <w:r>
        <w:rPr>
          <w:sz w:val="24"/>
          <w:szCs w:val="24"/>
        </w:rPr>
        <w:t xml:space="preserve">ze kterých budou odvádět daň. Zavedení této změny je proto vhodné provádět nyní, kdy má ekonomika rostoucí tendenci. </w:t>
      </w:r>
    </w:p>
    <w:p w:rsidR="00B25266" w:rsidRDefault="00B20ABC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Tato úprava vychází vstříc většině společnosti. Díky této úpravě by se na straně státu mělo také snížit procento nedoplatků daně a tedy ta</w:t>
      </w:r>
      <w:r>
        <w:rPr>
          <w:sz w:val="24"/>
          <w:szCs w:val="24"/>
        </w:rPr>
        <w:t>ké náklady na administrativu spojenou s vymáháním daně a případnými sankcemi.</w:t>
      </w:r>
    </w:p>
    <w:p w:rsidR="00B25266" w:rsidRDefault="00B25266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sz w:val="22"/>
          <w:szCs w:val="22"/>
        </w:rPr>
      </w:pPr>
    </w:p>
    <w:p w:rsidR="00B25266" w:rsidRDefault="00B25266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  <w:u w:val="single"/>
        </w:rPr>
      </w:pPr>
    </w:p>
    <w:p w:rsidR="00B25266" w:rsidRDefault="00B25266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  <w:u w:val="single"/>
        </w:rPr>
      </w:pPr>
    </w:p>
    <w:sectPr w:rsidR="00B25266">
      <w:pgSz w:w="12240" w:h="15840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Roboto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266"/>
    <w:rsid w:val="00022612"/>
    <w:rsid w:val="00905EFB"/>
    <w:rsid w:val="00B20ABC"/>
    <w:rsid w:val="00B25266"/>
    <w:rsid w:val="00BD1581"/>
    <w:rsid w:val="00FF4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766C5"/>
  <w15:docId w15:val="{69AECCFA-D561-44F4-B9AB-ADA2CB7AC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404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MartinekT</dc:creator>
  <cp:lastModifiedBy>MartinekT</cp:lastModifiedBy>
  <cp:revision>3</cp:revision>
  <dcterms:created xsi:type="dcterms:W3CDTF">2019-01-22T12:43:00Z</dcterms:created>
  <dcterms:modified xsi:type="dcterms:W3CDTF">2019-01-22T12:44:00Z</dcterms:modified>
</cp:coreProperties>
</file>