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E78" w:rsidRDefault="00922E78" w:rsidP="00922E78">
      <w:pPr>
        <w:autoSpaceDE w:val="0"/>
        <w:autoSpaceDN w:val="0"/>
        <w:adjustRightInd w:val="0"/>
        <w:rPr>
          <w:rFonts w:ascii="Times New Roman" w:hAnsi="Times New Roman"/>
          <w:b/>
          <w:bCs/>
          <w:sz w:val="24"/>
          <w:szCs w:val="24"/>
        </w:rPr>
      </w:pPr>
      <w:bookmarkStart w:id="0" w:name="_GoBack"/>
      <w:bookmarkEnd w:id="0"/>
      <w:r>
        <w:rPr>
          <w:rFonts w:ascii="Times New Roman" w:hAnsi="Times New Roman"/>
          <w:b/>
          <w:bCs/>
          <w:sz w:val="24"/>
          <w:szCs w:val="24"/>
        </w:rPr>
        <w:t xml:space="preserve">PLATNÉ ZNĚNÍ PŘÍSLUŠNÉ ČÁSTI ZÁKONA </w:t>
      </w:r>
      <w:r w:rsidRPr="00922E78">
        <w:rPr>
          <w:rFonts w:ascii="Times New Roman" w:hAnsi="Times New Roman"/>
          <w:b/>
          <w:bCs/>
          <w:sz w:val="24"/>
          <w:szCs w:val="24"/>
        </w:rPr>
        <w:t>Č. 361/2000 SB., O PROVOZU NA POZEMNÍCH KOMUNIKACÍCH A O ZMĚNĚ NĚKTERÝCH ZÁKONŮ (ZÁKON O SILNIČNÍM PROVOZU), VE ZNĚNÍ POZDĚJŠÍCH PŘEDPISŮ</w:t>
      </w:r>
      <w:r>
        <w:rPr>
          <w:rFonts w:ascii="Times New Roman" w:hAnsi="Times New Roman"/>
          <w:b/>
          <w:bCs/>
          <w:sz w:val="24"/>
          <w:szCs w:val="24"/>
        </w:rPr>
        <w:t xml:space="preserve"> S VYZNAČENÍM NAVRHOVANÝCH ZMĚN</w:t>
      </w:r>
    </w:p>
    <w:p w:rsidR="00922E78" w:rsidRDefault="00922E78" w:rsidP="00922E78">
      <w:pPr>
        <w:autoSpaceDE w:val="0"/>
        <w:autoSpaceDN w:val="0"/>
        <w:adjustRightInd w:val="0"/>
        <w:rPr>
          <w:rFonts w:ascii="Times New Roman" w:hAnsi="Times New Roman"/>
          <w:b/>
          <w:bCs/>
          <w:sz w:val="24"/>
          <w:szCs w:val="24"/>
        </w:rPr>
      </w:pPr>
    </w:p>
    <w:p w:rsidR="00C77A47" w:rsidRPr="00C77A47" w:rsidRDefault="00C77A47" w:rsidP="00C77A47">
      <w:pPr>
        <w:autoSpaceDE w:val="0"/>
        <w:autoSpaceDN w:val="0"/>
        <w:adjustRightInd w:val="0"/>
        <w:jc w:val="center"/>
        <w:rPr>
          <w:rFonts w:ascii="Times New Roman" w:hAnsi="Times New Roman"/>
          <w:b/>
          <w:sz w:val="24"/>
          <w:szCs w:val="24"/>
        </w:rPr>
      </w:pPr>
      <w:r w:rsidRPr="00C77A47">
        <w:rPr>
          <w:rFonts w:ascii="Times New Roman" w:hAnsi="Times New Roman"/>
          <w:b/>
          <w:sz w:val="24"/>
          <w:szCs w:val="24"/>
        </w:rPr>
        <w:t>HLAVA VI</w:t>
      </w:r>
    </w:p>
    <w:p w:rsidR="00C77A47" w:rsidRPr="00C77A47" w:rsidRDefault="00C77A47" w:rsidP="00C77A47">
      <w:pPr>
        <w:autoSpaceDE w:val="0"/>
        <w:autoSpaceDN w:val="0"/>
        <w:adjustRightInd w:val="0"/>
        <w:jc w:val="center"/>
        <w:rPr>
          <w:rFonts w:ascii="Times New Roman" w:hAnsi="Times New Roman"/>
          <w:sz w:val="24"/>
          <w:szCs w:val="24"/>
        </w:rPr>
      </w:pPr>
      <w:r w:rsidRPr="00C77A47">
        <w:rPr>
          <w:rFonts w:ascii="Times New Roman" w:hAnsi="Times New Roman"/>
          <w:sz w:val="24"/>
          <w:szCs w:val="24"/>
        </w:rPr>
        <w:t>STÁTNÍ SPRÁVA</w:t>
      </w:r>
    </w:p>
    <w:p w:rsidR="00C77A47" w:rsidRDefault="00C77A47" w:rsidP="00C77A47">
      <w:pPr>
        <w:autoSpaceDE w:val="0"/>
        <w:autoSpaceDN w:val="0"/>
        <w:adjustRightInd w:val="0"/>
        <w:jc w:val="both"/>
        <w:rPr>
          <w:rFonts w:ascii="Times New Roman" w:hAnsi="Times New Roman"/>
          <w:sz w:val="24"/>
          <w:szCs w:val="24"/>
        </w:rPr>
      </w:pPr>
    </w:p>
    <w:p w:rsidR="00C77A47" w:rsidRPr="00C77A47" w:rsidRDefault="00C77A47" w:rsidP="00C77A47">
      <w:pPr>
        <w:autoSpaceDE w:val="0"/>
        <w:autoSpaceDN w:val="0"/>
        <w:adjustRightInd w:val="0"/>
        <w:jc w:val="center"/>
        <w:rPr>
          <w:rFonts w:ascii="Times New Roman" w:hAnsi="Times New Roman"/>
          <w:sz w:val="24"/>
          <w:szCs w:val="24"/>
        </w:rPr>
      </w:pPr>
      <w:r w:rsidRPr="00C77A47">
        <w:rPr>
          <w:rFonts w:ascii="Times New Roman" w:hAnsi="Times New Roman"/>
          <w:sz w:val="24"/>
          <w:szCs w:val="24"/>
        </w:rPr>
        <w:t>§ 124</w:t>
      </w:r>
    </w:p>
    <w:p w:rsidR="00C77A47" w:rsidRPr="00C77A47" w:rsidRDefault="00C77A47" w:rsidP="00C77A47">
      <w:pPr>
        <w:autoSpaceDE w:val="0"/>
        <w:autoSpaceDN w:val="0"/>
        <w:adjustRightInd w:val="0"/>
        <w:jc w:val="center"/>
        <w:rPr>
          <w:rFonts w:ascii="Times New Roman" w:hAnsi="Times New Roman"/>
          <w:b/>
          <w:sz w:val="24"/>
          <w:szCs w:val="24"/>
        </w:rPr>
      </w:pPr>
      <w:r w:rsidRPr="00C77A47">
        <w:rPr>
          <w:rFonts w:ascii="Times New Roman" w:hAnsi="Times New Roman"/>
          <w:b/>
          <w:sz w:val="24"/>
          <w:szCs w:val="24"/>
        </w:rPr>
        <w:t>Působnost</w:t>
      </w:r>
    </w:p>
    <w:p w:rsid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(1) Státní správu ve věcech provozu na pozemních komunikacích vykonává ministerstvo, které je ústředním orgánem státní správy ve věcech provozu na pozemních komunikacích, krajský úřad, obecní úřad obce s rozšířenou působností, Ministerstvo vnitra a policie.</w:t>
      </w:r>
    </w:p>
    <w:p w:rsidR="00C77A47" w:rsidRPr="00C77A47" w:rsidRDefault="00C77A47" w:rsidP="00C77A47">
      <w:pPr>
        <w:autoSpaceDE w:val="0"/>
        <w:autoSpaceDN w:val="0"/>
        <w:adjustRightInd w:val="0"/>
        <w:ind w:firstLine="708"/>
        <w:jc w:val="both"/>
        <w:rPr>
          <w:rFonts w:ascii="Times New Roman" w:hAnsi="Times New Roman"/>
          <w:sz w:val="24"/>
          <w:szCs w:val="24"/>
        </w:rPr>
      </w:pP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(2) Ministerstvo</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a) povoluje výjimky podle § 43 odst. 5 a § 83 odst. 5,</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b) stanoví po písemném vyjádření Ministerstva vnitra místní a přechodnou úpravu provozu na pozemních komunikacích na dálnici a užití zařízení pro provozní informace na dálnici,</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c) schvaluje na žádost a náklady výrobce nebo výhradního dovozce provedení a používání dopravních značek, světelných a akustických signálů, dopravních zařízení a zařízení pro provozní informace,</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d) rozhoduje o odvolání proti rozhodnutí krajského úřadu vydaného podle tohoto zákona,</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e) vede centrální registr řidičů,</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f) zabezpečuje výrobu a distribuci řidičských průkazů, mezinárodních řidičských průkazů a dalších dokladů stanovených tímto zákonem,</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g) zabezpečuje výrobu a na základě požadavků obecních úřadů obcí s rozšířenou působností i distribuci paměťových karet řidiče a vede jejich centrální evidenci,</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h) provádí prevenci v oblasti bezpečnosti provozu na pozemních komunikacích,</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i) na žádost příslušného orgánu jiného členského státu ověřuje a sděluje údaje o platnosti a rozsahu řidičských oprávnění.</w:t>
      </w:r>
    </w:p>
    <w:p w:rsidR="00C77A47" w:rsidRDefault="00C77A47" w:rsidP="00C77A47">
      <w:pPr>
        <w:autoSpaceDE w:val="0"/>
        <w:autoSpaceDN w:val="0"/>
        <w:adjustRightInd w:val="0"/>
        <w:ind w:firstLine="708"/>
        <w:jc w:val="both"/>
        <w:rPr>
          <w:rFonts w:ascii="Times New Roman" w:hAnsi="Times New Roman"/>
          <w:sz w:val="24"/>
          <w:szCs w:val="24"/>
        </w:rPr>
      </w:pP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(3) Ministerstvo nebo jím pověřená osoba zajišťuje informovanost veřejnosti o situacích v provozu na pozemních komunikacích, které mají vliv na bezpečnost a plynulost provozu na pozemních komunikacích. Za tím účelem jsou policie, obecní policie, silniční správní úřady, správci pozemních komunikací a Hasičský záchranný sbor povinni poskytovat ministerstvu aktuální informace, které mají vliv na bezpečnost a plynulost provozu na pozemních komunikacích. Prováděcí právní předpis stanoví druh informací, které mají vliv na bezpečnost a plynulost silničního provozu, způsob předávání informací, způsob sběru informací a způsob zveřejňování informací pro potřeby dopravní veřejnosti.</w:t>
      </w:r>
    </w:p>
    <w:p w:rsidR="00C77A47" w:rsidRDefault="00C77A47" w:rsidP="00C77A47">
      <w:pPr>
        <w:autoSpaceDE w:val="0"/>
        <w:autoSpaceDN w:val="0"/>
        <w:adjustRightInd w:val="0"/>
        <w:jc w:val="both"/>
        <w:rPr>
          <w:rFonts w:ascii="Times New Roman" w:hAnsi="Times New Roman"/>
          <w:sz w:val="24"/>
          <w:szCs w:val="24"/>
        </w:rPr>
      </w:pPr>
      <w:r>
        <w:rPr>
          <w:rFonts w:ascii="Times New Roman" w:hAnsi="Times New Roman"/>
          <w:sz w:val="24"/>
          <w:szCs w:val="24"/>
        </w:rPr>
        <w:tab/>
      </w: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(4) Krajský úřad</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a) povoluje výjimky podle § 43 odst. 5,</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b) stanoví místní a přechodnou úpravu provozu na pozemních komunikacích na silnici I. třídy a užití zařízení pro provozní informace na silnici I. třídy; místně příslušný je krajský úřad, v jehož územním obvodu se silnice I. třídy nachází,</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c) provádí prevenci v oblasti bezpečnosti provozu na pozemních komunikacích.</w:t>
      </w:r>
    </w:p>
    <w:p w:rsidR="00C77A47" w:rsidRDefault="00C77A47" w:rsidP="00C77A47">
      <w:pPr>
        <w:autoSpaceDE w:val="0"/>
        <w:autoSpaceDN w:val="0"/>
        <w:adjustRightInd w:val="0"/>
        <w:ind w:firstLine="708"/>
        <w:jc w:val="both"/>
        <w:rPr>
          <w:rFonts w:ascii="Times New Roman" w:hAnsi="Times New Roman"/>
          <w:sz w:val="24"/>
          <w:szCs w:val="24"/>
        </w:rPr>
      </w:pP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(5) Obecní úřad obce s rozšířenou působností</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a) pověřuje osoby oprávněné k zastavování vozidel podle § 79 odst. 1 písm. j),</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lastRenderedPageBreak/>
        <w:t>b) uděluje, podmiňuje, omezuje, odnímá a vrací řidičské oprávnění a zrušuje podmínění nebo omezení řidičského oprávnění,</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c) nařizuje přezkoumání zdravotní způsobilosti držitele řidičského oprávnění,</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d) nařizuje přezkoušení z odborné způsobilosti držitele řidičského oprávnění,</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e) vydává a vyměňuje řidičské průkazy a mezinárodní řidičské průkazy,</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f) vyměňuje řidičské průkazy členského státu, řidičské průkazy vydané cizím státem podle § 116,</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g) zapisuje do mezinárodního řidičského průkazu vydaného cizím státem skutečnosti podle § 107 a oznamuje je orgánu cizího státu, který tento mezinárodní řidičský průkaz vydal,</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h) vede registr řidičů a vydává data z registru řidičů,</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i) vydává speciální označení vozidel podle § 67,</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j) projednává přestupky podle tohoto zákona,</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k) provádí v registru řidičů záznamy o počtech bodů dosažených řidiči v bodovém hodnocení a o odečtu bodů,</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l) projednává námitky a rozhoduje ve věci záznamu o počtu řidičem dosažených bodů v bodovém hodnocení,</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m) provádí prevenci v oblasti bezpečnosti provozu na pozemních komunikacích,</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n) informuje orgán činný v trestním řízení, který rozhodl o podmíněném odložení podání návrhu na potrestání nebo o podmíněném zastavení trestního stíhání,</w:t>
      </w:r>
    </w:p>
    <w:p w:rsidR="00C77A47" w:rsidRPr="00C77A47" w:rsidRDefault="00C77A47" w:rsidP="00C77A47">
      <w:pPr>
        <w:autoSpaceDE w:val="0"/>
        <w:autoSpaceDN w:val="0"/>
        <w:adjustRightInd w:val="0"/>
        <w:ind w:left="708"/>
        <w:jc w:val="both"/>
        <w:rPr>
          <w:rFonts w:ascii="Times New Roman" w:hAnsi="Times New Roman"/>
          <w:sz w:val="24"/>
          <w:szCs w:val="24"/>
        </w:rPr>
      </w:pPr>
      <w:r w:rsidRPr="00C77A47">
        <w:rPr>
          <w:rFonts w:ascii="Times New Roman" w:hAnsi="Times New Roman"/>
          <w:sz w:val="24"/>
          <w:szCs w:val="24"/>
        </w:rPr>
        <w:t>1. o odevzdání řidičského průkazu držitelem řidičského průkazu, který se zavázal zdržet se řízení motorových vozidel během zkušební doby tohoto podmíněného odložení podání návrhu na potrestání nebo podmíněného zastavení trestního stíhání,</w:t>
      </w:r>
    </w:p>
    <w:p w:rsidR="00C77A47" w:rsidRPr="00C77A47" w:rsidRDefault="00C77A47" w:rsidP="00C77A47">
      <w:pPr>
        <w:autoSpaceDE w:val="0"/>
        <w:autoSpaceDN w:val="0"/>
        <w:adjustRightInd w:val="0"/>
        <w:ind w:left="708"/>
        <w:jc w:val="both"/>
        <w:rPr>
          <w:rFonts w:ascii="Times New Roman" w:hAnsi="Times New Roman"/>
          <w:sz w:val="24"/>
          <w:szCs w:val="24"/>
        </w:rPr>
      </w:pPr>
      <w:r w:rsidRPr="00C77A47">
        <w:rPr>
          <w:rFonts w:ascii="Times New Roman" w:hAnsi="Times New Roman"/>
          <w:sz w:val="24"/>
          <w:szCs w:val="24"/>
        </w:rPr>
        <w:t>2. o žádosti o řidičské oprávnění osoby, která se zavázala během zkušební doby tohoto podmíněného odložení podání návrhu na potrestání nebo podmíněného zastavení trestního stíhání zdržet se řízení motorových vozidel, pokud nebyl příslušný obecní úřad obce s rozšířenou působností vyrozuměn o tom, zda se tato osoba ve zkušební době osvědčila, nebo o tom, že se má za to, že se osvědčila; zároveň obecní úřad obce s rozšířenou působností informuje orgán činný v trestním řízení o tom, zda žadatel doložil odbornou způsobilost.</w:t>
      </w:r>
    </w:p>
    <w:p w:rsidR="00C77A47" w:rsidRDefault="00C77A47" w:rsidP="00C77A47">
      <w:pPr>
        <w:autoSpaceDE w:val="0"/>
        <w:autoSpaceDN w:val="0"/>
        <w:adjustRightInd w:val="0"/>
        <w:ind w:firstLine="708"/>
        <w:jc w:val="both"/>
        <w:rPr>
          <w:rFonts w:ascii="Times New Roman" w:hAnsi="Times New Roman"/>
          <w:sz w:val="24"/>
          <w:szCs w:val="24"/>
        </w:rPr>
      </w:pP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(6) Obecní úřad obce s rozšířenou působností stanoví místní a přechodnou úpravu provozu na pozemních komunikacích na silnici II. a III. třídy, místní komunikaci a veřejně přístupné účelové komunikaci a užití zařízení pro provozní informace na silnici II. a III. třídy, místní komunikaci a veřejně přístupné účelové komunikaci. Místně příslušný je obecní úřad obce s rozšířenou působností, v jehož územním obvodu se pozemní komunikace nachází.</w:t>
      </w:r>
    </w:p>
    <w:p w:rsidR="00C77A47" w:rsidRPr="00C77A47" w:rsidRDefault="00C77A47" w:rsidP="00C77A47">
      <w:pPr>
        <w:autoSpaceDE w:val="0"/>
        <w:autoSpaceDN w:val="0"/>
        <w:adjustRightInd w:val="0"/>
        <w:jc w:val="both"/>
        <w:rPr>
          <w:rFonts w:ascii="Times New Roman" w:hAnsi="Times New Roman"/>
          <w:sz w:val="24"/>
          <w:szCs w:val="24"/>
        </w:rPr>
      </w:pP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(7) Kterýkoli obecní úřad obce s rozšířenou působností je příslušný k</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a) vedení řízení o</w:t>
      </w: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1. udělení nebo rozšíření řidičského oprávnění,</w:t>
      </w: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2. vydání řidičského průkazu nebo mezinárodního řidičského průkazu,</w:t>
      </w: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3. vydání paměťové karty řidiče,</w:t>
      </w: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4. výměně řidičského průkazu členského státu nebo řidičského průkazu vydaného cizím státem,</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b) přijetí vzdání se řidičského oprávnění podle § 93 odst. 2 písm. c) nebo § 94 odst. 2, přijetí oznámení změny údajů v řidičském průkazu nebo mezinárodním řidičském průkazu, přijetí vrácené nebo odevzdané paměťové karty řidiče, přijetí ohlášení ztráty, odcizení, poškození nebo zničení řidičského průkazu nebo mezinárodního řidičského průkazu a k dalším souvisejícím úkonům,</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c) poskytnutí údajů z registru řidičů nebo k vydání výpisu z registru řidičů o záznamech bodového hodnocení řidiče.</w:t>
      </w: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lastRenderedPageBreak/>
        <w:t>(8) Obecní úřad obce s rozšířenou působností, který vedl řízení nebo provedl úkon podle odstavce 7, zapíše související údaje do registru řidičů.</w:t>
      </w:r>
    </w:p>
    <w:p w:rsidR="00C77A47" w:rsidRPr="00C77A47" w:rsidRDefault="00C77A47" w:rsidP="00C77A47">
      <w:pPr>
        <w:autoSpaceDE w:val="0"/>
        <w:autoSpaceDN w:val="0"/>
        <w:adjustRightInd w:val="0"/>
        <w:jc w:val="both"/>
        <w:rPr>
          <w:rFonts w:ascii="Times New Roman" w:hAnsi="Times New Roman"/>
          <w:sz w:val="24"/>
          <w:szCs w:val="24"/>
        </w:rPr>
      </w:pP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(9) K činnostem uvedeným v hlavě III, IV a V tohoto zákona, které vykonává obecní úřad obce s rozšířenou působností, s výjimkou činností uvedených v odstavci 7 nebo 8, je příslušný obecní úřad obce s rozšířenou působností, v jehož územním obvodu se nachází obvyklé bydliště žadatele o řidičské oprávnění, žadatele o vrácení řidičského oprávnění, držitele řidičského oprávnění nebo držitele řidičského průkazu nebo, jde-li o osoby bez obvyklého bydliště na území České republiky, místo studia.</w:t>
      </w:r>
    </w:p>
    <w:p w:rsidR="00C77A47" w:rsidRPr="00C77A47" w:rsidRDefault="00C77A47" w:rsidP="00C77A47">
      <w:pPr>
        <w:autoSpaceDE w:val="0"/>
        <w:autoSpaceDN w:val="0"/>
        <w:adjustRightInd w:val="0"/>
        <w:jc w:val="both"/>
        <w:rPr>
          <w:rFonts w:ascii="Times New Roman" w:hAnsi="Times New Roman"/>
          <w:sz w:val="24"/>
          <w:szCs w:val="24"/>
        </w:rPr>
      </w:pP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(10) Ministerstvo vnitra spolupracuje s ministerstvem při provádění prevence v oblasti bezpečnosti provozu na pozemních komunikacích.</w:t>
      </w:r>
    </w:p>
    <w:p w:rsidR="00C77A47" w:rsidRPr="00C77A47" w:rsidRDefault="00C77A47" w:rsidP="00C77A47">
      <w:pPr>
        <w:autoSpaceDE w:val="0"/>
        <w:autoSpaceDN w:val="0"/>
        <w:adjustRightInd w:val="0"/>
        <w:jc w:val="both"/>
        <w:rPr>
          <w:rFonts w:ascii="Times New Roman" w:hAnsi="Times New Roman"/>
          <w:sz w:val="24"/>
          <w:szCs w:val="24"/>
        </w:rPr>
      </w:pP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(11) Policie vykonává dohled na bezpečnost a plynulost provozu na pozemních komunikacích tím, že</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a) kontroluje dodržování povinností účastníků a pravidel provozu na pozemních komunikacích a podílí se na jeho řízení,</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b) objasňuje dopravní nehody,</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c) vede evidenci dopravních nehod,</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d) projednává příkazem na místě přestupky podle tohoto zákona,</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e) provádí prevenci v oblasti bezpečnosti provozu na pozemních komunikacích.</w:t>
      </w:r>
    </w:p>
    <w:p w:rsidR="00C77A47" w:rsidRPr="00C77A47" w:rsidRDefault="00C77A47" w:rsidP="00C77A47">
      <w:pPr>
        <w:autoSpaceDE w:val="0"/>
        <w:autoSpaceDN w:val="0"/>
        <w:adjustRightInd w:val="0"/>
        <w:jc w:val="both"/>
        <w:rPr>
          <w:rFonts w:ascii="Times New Roman" w:hAnsi="Times New Roman"/>
          <w:sz w:val="24"/>
          <w:szCs w:val="24"/>
        </w:rPr>
      </w:pPr>
    </w:p>
    <w:p w:rsidR="00C77A47" w:rsidRP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(12) Při dohledu na bezpečnost a plynulost provozu na pozemních komunikacích jsou příslušníci Policie ve služebním stejnokroji oprávněni zejména</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a) dávat pokyny k řízení provozu na pozemních komunikacích,</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b) zastavovat vozidla,</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c) zabránit v jízdě řidiči podle § 118a,</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d) zadržet řidičský průkaz podle § 118b,</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e) zakázat řidiči jízdu na nezbytně nutnou dobu nebo mu přikázat směr jízdy, vyžaduje-li to bezpečnost a plynulost provozu na pozemních komunikacích, popřípadě jiný veřejný zájem,</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f) vyzvat řidiče a učitele autoškoly k vyšetření podle zvláštního právního předpisu ke zjištění, zda není ovlivněn alkoholem,</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g) vyzvat řidiče a učitele autoškoly k vyšetření podle zvláštního právního předpisu ke zjištění, zda není ovlivněn jinou návykovou látkou,</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h) vyzvat řidiče motorového vozidla k předložení dokladů k řízení a provozu vozidla,</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i) vyzvat řidiče vozidla, aby podrobil vozidlo technické silniční kontrole, kontrole umístění, upevnění nebo zajištění nákladu, kontrole hmotnosti vozidla nebo jízdní soupravy, kontrole poměru hmotností vozidel v jízdní soupravě, kontrole rozložení hmotnosti na nápravy, skupiny náprav, kola nebo skupiny kol, kontrole rozměrů vozidla nebo jízdní soupravy včetně nákladu nebo kontrole dodržení podmínek spojitelnosti vozidel v jízdní soupravu,</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j) rozhodnout o odstranění vozidla, je-li překážkou provozu na pozemní komunikaci, postupem dle § 45 odst. 4, nebo vozidla, které neoprávněně stojí na vyhrazeném parkovišti,</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k) použít technických prostředků k zabránění odjezdu vozidla podle zvláštního právního předpisu,</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l) vybírat kauce podle § 124a,</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m) zadržet osvědčení o registraci vozidla podle § 6b,</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t>n) zajistit vozidlo nebo osvědčení o registraci vozidla podle § 124c.</w:t>
      </w:r>
    </w:p>
    <w:p w:rsidR="00C77A47" w:rsidRPr="00C77A47" w:rsidRDefault="00C77A47" w:rsidP="00C77A47">
      <w:pPr>
        <w:autoSpaceDE w:val="0"/>
        <w:autoSpaceDN w:val="0"/>
        <w:adjustRightInd w:val="0"/>
        <w:jc w:val="both"/>
        <w:rPr>
          <w:rFonts w:ascii="Times New Roman" w:hAnsi="Times New Roman"/>
          <w:sz w:val="24"/>
          <w:szCs w:val="24"/>
        </w:rPr>
      </w:pPr>
    </w:p>
    <w:p w:rsidR="00C77A47" w:rsidRDefault="00C77A47" w:rsidP="00C77A47">
      <w:pPr>
        <w:autoSpaceDE w:val="0"/>
        <w:autoSpaceDN w:val="0"/>
        <w:adjustRightInd w:val="0"/>
        <w:ind w:firstLine="708"/>
        <w:jc w:val="both"/>
        <w:rPr>
          <w:rFonts w:ascii="Times New Roman" w:hAnsi="Times New Roman"/>
          <w:sz w:val="24"/>
          <w:szCs w:val="24"/>
        </w:rPr>
      </w:pPr>
      <w:r w:rsidRPr="00C77A47">
        <w:rPr>
          <w:rFonts w:ascii="Times New Roman" w:hAnsi="Times New Roman"/>
          <w:sz w:val="24"/>
          <w:szCs w:val="24"/>
        </w:rPr>
        <w:t>(13) Příkazem na místě může obecní policie projednat přestupek podle § 125c odst. 1 písm. f) bodů 1, 3 až 6 a 8, 9 a 11. Příkazem na místě může obecní policie dále projednat přestupek podle tohoto zákona spáchaný</w:t>
      </w:r>
    </w:p>
    <w:p w:rsidR="00C77A47" w:rsidRPr="00C77A47"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z w:val="24"/>
          <w:szCs w:val="24"/>
        </w:rPr>
        <w:lastRenderedPageBreak/>
        <w:t>a) porušením místní nebo přechodné úpravy provozu na pozemních komunikacích,</w:t>
      </w:r>
    </w:p>
    <w:p w:rsidR="00C77A47" w:rsidRDefault="00C77A47" w:rsidP="00C77A47">
      <w:pPr>
        <w:autoSpaceDE w:val="0"/>
        <w:autoSpaceDN w:val="0"/>
        <w:adjustRightInd w:val="0"/>
        <w:jc w:val="both"/>
        <w:rPr>
          <w:rFonts w:ascii="Times New Roman" w:hAnsi="Times New Roman"/>
          <w:strike/>
          <w:sz w:val="24"/>
          <w:szCs w:val="24"/>
        </w:rPr>
      </w:pPr>
      <w:r w:rsidRPr="00C77A47">
        <w:rPr>
          <w:rFonts w:ascii="Times New Roman" w:hAnsi="Times New Roman"/>
          <w:sz w:val="24"/>
          <w:szCs w:val="24"/>
        </w:rPr>
        <w:t xml:space="preserve">b) nedovoleným zastavením nebo stáním vozidla na pozemní komunikaci, </w:t>
      </w:r>
      <w:r w:rsidRPr="00C77A47">
        <w:rPr>
          <w:rFonts w:ascii="Times New Roman" w:hAnsi="Times New Roman"/>
          <w:strike/>
          <w:sz w:val="24"/>
          <w:szCs w:val="24"/>
        </w:rPr>
        <w:t>nebo</w:t>
      </w:r>
    </w:p>
    <w:p w:rsidR="00C77A47" w:rsidRPr="00C77A47" w:rsidRDefault="00C77A47" w:rsidP="00C77A47">
      <w:pPr>
        <w:autoSpaceDE w:val="0"/>
        <w:autoSpaceDN w:val="0"/>
        <w:adjustRightInd w:val="0"/>
        <w:jc w:val="both"/>
        <w:rPr>
          <w:rFonts w:ascii="Times New Roman" w:hAnsi="Times New Roman"/>
          <w:b/>
          <w:sz w:val="24"/>
          <w:szCs w:val="24"/>
        </w:rPr>
      </w:pPr>
      <w:r>
        <w:rPr>
          <w:rFonts w:ascii="Times New Roman" w:hAnsi="Times New Roman"/>
          <w:sz w:val="24"/>
          <w:szCs w:val="24"/>
        </w:rPr>
        <w:t xml:space="preserve">c) </w:t>
      </w:r>
      <w:r w:rsidRPr="00C77A47">
        <w:rPr>
          <w:rFonts w:ascii="Times New Roman" w:hAnsi="Times New Roman"/>
          <w:b/>
          <w:sz w:val="24"/>
          <w:szCs w:val="24"/>
        </w:rPr>
        <w:t>užitím vyhrazeného jízdního pruhu v rozporu s § 14 odst. 1 a 2, nebo</w:t>
      </w:r>
    </w:p>
    <w:p w:rsidR="00922E78" w:rsidRPr="00E65CB2" w:rsidRDefault="00C77A47" w:rsidP="00C77A47">
      <w:pPr>
        <w:autoSpaceDE w:val="0"/>
        <w:autoSpaceDN w:val="0"/>
        <w:adjustRightInd w:val="0"/>
        <w:jc w:val="both"/>
        <w:rPr>
          <w:rFonts w:ascii="Times New Roman" w:hAnsi="Times New Roman"/>
          <w:sz w:val="24"/>
          <w:szCs w:val="24"/>
        </w:rPr>
      </w:pPr>
      <w:r w:rsidRPr="00C77A47">
        <w:rPr>
          <w:rFonts w:ascii="Times New Roman" w:hAnsi="Times New Roman"/>
          <w:strike/>
          <w:sz w:val="24"/>
          <w:szCs w:val="24"/>
        </w:rPr>
        <w:t>c)</w:t>
      </w:r>
      <w:r>
        <w:rPr>
          <w:rFonts w:ascii="Times New Roman" w:hAnsi="Times New Roman"/>
          <w:sz w:val="24"/>
          <w:szCs w:val="24"/>
        </w:rPr>
        <w:t xml:space="preserve"> </w:t>
      </w:r>
      <w:r w:rsidRPr="00C77A47">
        <w:rPr>
          <w:rFonts w:ascii="Times New Roman" w:hAnsi="Times New Roman"/>
          <w:b/>
          <w:sz w:val="24"/>
          <w:szCs w:val="24"/>
        </w:rPr>
        <w:t>d)</w:t>
      </w:r>
      <w:r w:rsidRPr="00C77A47">
        <w:rPr>
          <w:rFonts w:ascii="Times New Roman" w:hAnsi="Times New Roman"/>
          <w:sz w:val="24"/>
          <w:szCs w:val="24"/>
        </w:rPr>
        <w:t xml:space="preserve"> porušením pravidel pro chůzi, jízdu na jízdním kole, jízdu nemotorových vozidel, jízdu na zvířatech, vedení a hnaní zvířat nebo užívání osobního přepravníku.</w:t>
      </w:r>
    </w:p>
    <w:sectPr w:rsidR="00922E78" w:rsidRPr="00E65CB2" w:rsidSect="001E34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F6200D"/>
    <w:multiLevelType w:val="hybridMultilevel"/>
    <w:tmpl w:val="AFA4C16C"/>
    <w:lvl w:ilvl="0" w:tplc="C63EB79E">
      <w:start w:val="1"/>
      <w:numFmt w:val="upperLetter"/>
      <w:lvlText w:val="%1."/>
      <w:lvlJc w:val="left"/>
      <w:pPr>
        <w:ind w:left="358" w:hanging="360"/>
      </w:pPr>
      <w:rPr>
        <w:rFonts w:hint="default"/>
      </w:rPr>
    </w:lvl>
    <w:lvl w:ilvl="1" w:tplc="04050019" w:tentative="1">
      <w:start w:val="1"/>
      <w:numFmt w:val="lowerLetter"/>
      <w:lvlText w:val="%2."/>
      <w:lvlJc w:val="left"/>
      <w:pPr>
        <w:ind w:left="1078" w:hanging="360"/>
      </w:pPr>
    </w:lvl>
    <w:lvl w:ilvl="2" w:tplc="0405001B" w:tentative="1">
      <w:start w:val="1"/>
      <w:numFmt w:val="lowerRoman"/>
      <w:lvlText w:val="%3."/>
      <w:lvlJc w:val="right"/>
      <w:pPr>
        <w:ind w:left="1798" w:hanging="180"/>
      </w:pPr>
    </w:lvl>
    <w:lvl w:ilvl="3" w:tplc="0405000F" w:tentative="1">
      <w:start w:val="1"/>
      <w:numFmt w:val="decimal"/>
      <w:lvlText w:val="%4."/>
      <w:lvlJc w:val="left"/>
      <w:pPr>
        <w:ind w:left="2518" w:hanging="360"/>
      </w:pPr>
    </w:lvl>
    <w:lvl w:ilvl="4" w:tplc="04050019" w:tentative="1">
      <w:start w:val="1"/>
      <w:numFmt w:val="lowerLetter"/>
      <w:lvlText w:val="%5."/>
      <w:lvlJc w:val="left"/>
      <w:pPr>
        <w:ind w:left="3238" w:hanging="360"/>
      </w:pPr>
    </w:lvl>
    <w:lvl w:ilvl="5" w:tplc="0405001B" w:tentative="1">
      <w:start w:val="1"/>
      <w:numFmt w:val="lowerRoman"/>
      <w:lvlText w:val="%6."/>
      <w:lvlJc w:val="right"/>
      <w:pPr>
        <w:ind w:left="3958" w:hanging="180"/>
      </w:pPr>
    </w:lvl>
    <w:lvl w:ilvl="6" w:tplc="0405000F" w:tentative="1">
      <w:start w:val="1"/>
      <w:numFmt w:val="decimal"/>
      <w:lvlText w:val="%7."/>
      <w:lvlJc w:val="left"/>
      <w:pPr>
        <w:ind w:left="4678" w:hanging="360"/>
      </w:pPr>
    </w:lvl>
    <w:lvl w:ilvl="7" w:tplc="04050019" w:tentative="1">
      <w:start w:val="1"/>
      <w:numFmt w:val="lowerLetter"/>
      <w:lvlText w:val="%8."/>
      <w:lvlJc w:val="left"/>
      <w:pPr>
        <w:ind w:left="5398" w:hanging="360"/>
      </w:pPr>
    </w:lvl>
    <w:lvl w:ilvl="8" w:tplc="0405001B" w:tentative="1">
      <w:start w:val="1"/>
      <w:numFmt w:val="lowerRoman"/>
      <w:lvlText w:val="%9."/>
      <w:lvlJc w:val="right"/>
      <w:pPr>
        <w:ind w:left="6118" w:hanging="180"/>
      </w:pPr>
    </w:lvl>
  </w:abstractNum>
  <w:abstractNum w:abstractNumId="1" w15:restartNumberingAfterBreak="0">
    <w:nsid w:val="5DE26347"/>
    <w:multiLevelType w:val="hybridMultilevel"/>
    <w:tmpl w:val="1B90B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DAB6667"/>
    <w:multiLevelType w:val="hybridMultilevel"/>
    <w:tmpl w:val="6576F41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137"/>
    <w:rsid w:val="00021A10"/>
    <w:rsid w:val="00024B2B"/>
    <w:rsid w:val="000944C0"/>
    <w:rsid w:val="000A3720"/>
    <w:rsid w:val="0013752C"/>
    <w:rsid w:val="001E3430"/>
    <w:rsid w:val="00200646"/>
    <w:rsid w:val="00385244"/>
    <w:rsid w:val="003B48BF"/>
    <w:rsid w:val="00464E4F"/>
    <w:rsid w:val="0056712F"/>
    <w:rsid w:val="006277CF"/>
    <w:rsid w:val="006D7E97"/>
    <w:rsid w:val="006F5E2B"/>
    <w:rsid w:val="007967A7"/>
    <w:rsid w:val="00806550"/>
    <w:rsid w:val="00922E78"/>
    <w:rsid w:val="00995A95"/>
    <w:rsid w:val="00AD1407"/>
    <w:rsid w:val="00AE0EBB"/>
    <w:rsid w:val="00C31B14"/>
    <w:rsid w:val="00C77A47"/>
    <w:rsid w:val="00CC2FB7"/>
    <w:rsid w:val="00D03137"/>
    <w:rsid w:val="00D81207"/>
    <w:rsid w:val="00DB745F"/>
    <w:rsid w:val="00DD0DAB"/>
    <w:rsid w:val="00E01330"/>
    <w:rsid w:val="00E05530"/>
    <w:rsid w:val="00E65C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96AE0"/>
  <w15:chartTrackingRefBased/>
  <w15:docId w15:val="{30A95D53-7463-48CB-889C-0B10B121D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unhideWhenUsed/>
    <w:rsid w:val="00DD0DAB"/>
    <w:pPr>
      <w:spacing w:after="200"/>
    </w:pPr>
    <w:rPr>
      <w:rFonts w:ascii="Calibri" w:eastAsia="Calibri" w:hAnsi="Calibri" w:cs="Times New Roman"/>
      <w:sz w:val="20"/>
      <w:szCs w:val="20"/>
      <w:lang w:val="x-none" w:eastAsia="x-none"/>
    </w:rPr>
  </w:style>
  <w:style w:type="character" w:customStyle="1" w:styleId="TextkomenteChar">
    <w:name w:val="Text komentáře Char"/>
    <w:basedOn w:val="Standardnpsmoodstavce"/>
    <w:link w:val="Textkomente"/>
    <w:semiHidden/>
    <w:rsid w:val="00DD0DAB"/>
    <w:rPr>
      <w:rFonts w:ascii="Calibri" w:eastAsia="Calibri" w:hAnsi="Calibri" w:cs="Times New Roman"/>
      <w:sz w:val="20"/>
      <w:szCs w:val="20"/>
      <w:lang w:val="x-none" w:eastAsia="x-none"/>
    </w:rPr>
  </w:style>
  <w:style w:type="paragraph" w:styleId="Zkladntext">
    <w:name w:val="Body Text"/>
    <w:basedOn w:val="Normln"/>
    <w:link w:val="ZkladntextChar"/>
    <w:semiHidden/>
    <w:unhideWhenUsed/>
    <w:rsid w:val="00DD0DAB"/>
    <w:pPr>
      <w:jc w:val="both"/>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semiHidden/>
    <w:rsid w:val="00DD0DAB"/>
    <w:rPr>
      <w:rFonts w:ascii="Times New Roman" w:eastAsia="Times New Roman" w:hAnsi="Times New Roman" w:cs="Times New Roman"/>
      <w:sz w:val="24"/>
      <w:szCs w:val="24"/>
      <w:lang w:val="x-none" w:eastAsia="x-none"/>
    </w:rPr>
  </w:style>
  <w:style w:type="paragraph" w:styleId="Bezmezer">
    <w:name w:val="No Spacing"/>
    <w:qFormat/>
    <w:rsid w:val="00DD0DAB"/>
    <w:rPr>
      <w:rFonts w:ascii="Calibri" w:eastAsia="Calibri" w:hAnsi="Calibri" w:cs="Times New Roman"/>
    </w:rPr>
  </w:style>
  <w:style w:type="paragraph" w:customStyle="1" w:styleId="Default">
    <w:name w:val="Default"/>
    <w:rsid w:val="00DD0DAB"/>
    <w:pPr>
      <w:autoSpaceDE w:val="0"/>
      <w:autoSpaceDN w:val="0"/>
      <w:adjustRightInd w:val="0"/>
    </w:pPr>
    <w:rPr>
      <w:rFonts w:ascii="Verdana" w:eastAsia="Times New Roman" w:hAnsi="Verdana" w:cs="Verdana"/>
      <w:color w:val="000000"/>
      <w:sz w:val="24"/>
      <w:szCs w:val="24"/>
    </w:rPr>
  </w:style>
  <w:style w:type="character" w:customStyle="1" w:styleId="dn">
    <w:name w:val="Žádný"/>
    <w:rsid w:val="00DD0DAB"/>
  </w:style>
  <w:style w:type="paragraph" w:styleId="Odstavecseseznamem">
    <w:name w:val="List Paragraph"/>
    <w:basedOn w:val="Normln"/>
    <w:uiPriority w:val="34"/>
    <w:qFormat/>
    <w:rsid w:val="00C77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85550">
      <w:bodyDiv w:val="1"/>
      <w:marLeft w:val="0"/>
      <w:marRight w:val="0"/>
      <w:marTop w:val="0"/>
      <w:marBottom w:val="0"/>
      <w:divBdr>
        <w:top w:val="none" w:sz="0" w:space="0" w:color="auto"/>
        <w:left w:val="none" w:sz="0" w:space="0" w:color="auto"/>
        <w:bottom w:val="none" w:sz="0" w:space="0" w:color="auto"/>
        <w:right w:val="none" w:sz="0" w:space="0" w:color="auto"/>
      </w:divBdr>
    </w:div>
    <w:div w:id="201498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0D8A7-3645-4E08-8841-8D5452D3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1376</Words>
  <Characters>8120</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dc:creator>
  <cp:keywords/>
  <dc:description/>
  <cp:lastModifiedBy>Kapounova Ilona</cp:lastModifiedBy>
  <cp:revision>3</cp:revision>
  <dcterms:created xsi:type="dcterms:W3CDTF">2019-01-15T13:28:00Z</dcterms:created>
  <dcterms:modified xsi:type="dcterms:W3CDTF">2019-01-15T13:38:00Z</dcterms:modified>
</cp:coreProperties>
</file>