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767" w:rsidRPr="00941767" w:rsidRDefault="00941767" w:rsidP="00F40BAB">
      <w:pPr>
        <w:tabs>
          <w:tab w:val="left" w:pos="6660"/>
        </w:tabs>
        <w:spacing w:line="240" w:lineRule="auto"/>
        <w:jc w:val="center"/>
        <w:rPr>
          <w:rFonts w:ascii="Arial" w:hAnsi="Arial" w:cs="Arial"/>
          <w:b/>
          <w:bCs/>
        </w:rPr>
      </w:pPr>
    </w:p>
    <w:p w:rsidR="00941767" w:rsidRPr="00B87455" w:rsidRDefault="00941767" w:rsidP="00F40BAB">
      <w:pPr>
        <w:tabs>
          <w:tab w:val="left" w:pos="6660"/>
        </w:tabs>
        <w:spacing w:line="240" w:lineRule="auto"/>
        <w:jc w:val="center"/>
        <w:rPr>
          <w:rFonts w:ascii="Times New Roman" w:hAnsi="Times New Roman"/>
          <w:b/>
          <w:bCs/>
          <w:sz w:val="24"/>
          <w:szCs w:val="24"/>
        </w:rPr>
      </w:pPr>
    </w:p>
    <w:p w:rsidR="00534BAF" w:rsidRPr="00B87455" w:rsidRDefault="00534BAF" w:rsidP="00534BAF">
      <w:pPr>
        <w:spacing w:before="240" w:after="240"/>
        <w:jc w:val="center"/>
        <w:rPr>
          <w:rFonts w:ascii="Times New Roman" w:hAnsi="Times New Roman"/>
          <w:b/>
          <w:color w:val="1F497D"/>
          <w:sz w:val="24"/>
          <w:szCs w:val="24"/>
        </w:rPr>
      </w:pPr>
    </w:p>
    <w:p w:rsidR="00534BAF" w:rsidRPr="00912FBC" w:rsidRDefault="00534BAF" w:rsidP="00534BAF">
      <w:pPr>
        <w:spacing w:before="480" w:after="480"/>
        <w:jc w:val="both"/>
        <w:rPr>
          <w:rFonts w:ascii="Times New Roman" w:hAnsi="Times New Roman"/>
          <w:b/>
          <w:caps/>
          <w:sz w:val="36"/>
          <w:szCs w:val="36"/>
        </w:rPr>
      </w:pPr>
      <w:r w:rsidRPr="00912FBC">
        <w:rPr>
          <w:rFonts w:ascii="Times New Roman" w:hAnsi="Times New Roman"/>
          <w:b/>
          <w:caps/>
          <w:sz w:val="36"/>
          <w:szCs w:val="36"/>
        </w:rPr>
        <w:t>Závěrečná zpráva z</w:t>
      </w:r>
      <w:r w:rsidR="0038289E" w:rsidRPr="00912FBC">
        <w:rPr>
          <w:rFonts w:ascii="Times New Roman" w:hAnsi="Times New Roman"/>
          <w:b/>
          <w:caps/>
          <w:sz w:val="36"/>
          <w:szCs w:val="36"/>
        </w:rPr>
        <w:t> </w:t>
      </w:r>
      <w:r w:rsidRPr="00912FBC">
        <w:rPr>
          <w:rFonts w:ascii="Times New Roman" w:hAnsi="Times New Roman"/>
          <w:b/>
          <w:caps/>
          <w:sz w:val="36"/>
          <w:szCs w:val="36"/>
        </w:rPr>
        <w:t xml:space="preserve">hodnocení dopadŮ </w:t>
      </w:r>
    </w:p>
    <w:p w:rsidR="00534BAF" w:rsidRPr="00912FBC" w:rsidRDefault="00534BAF" w:rsidP="00534BAF">
      <w:pPr>
        <w:spacing w:before="480" w:after="480"/>
        <w:jc w:val="both"/>
        <w:rPr>
          <w:rFonts w:ascii="Times New Roman" w:hAnsi="Times New Roman"/>
          <w:b/>
          <w:caps/>
          <w:smallCaps/>
          <w:sz w:val="36"/>
          <w:szCs w:val="36"/>
        </w:rPr>
      </w:pPr>
      <w:r w:rsidRPr="00912FBC">
        <w:rPr>
          <w:rFonts w:ascii="Times New Roman" w:hAnsi="Times New Roman"/>
          <w:b/>
          <w:caps/>
          <w:sz w:val="36"/>
          <w:szCs w:val="36"/>
        </w:rPr>
        <w:t>regulace (RIA)</w:t>
      </w:r>
    </w:p>
    <w:p w:rsidR="00534BAF" w:rsidRPr="00B87455" w:rsidRDefault="00534BAF" w:rsidP="00534BAF">
      <w:pPr>
        <w:spacing w:before="240" w:after="240"/>
        <w:jc w:val="both"/>
        <w:rPr>
          <w:rFonts w:ascii="Times New Roman" w:hAnsi="Times New Roman"/>
          <w:b/>
          <w:sz w:val="24"/>
          <w:szCs w:val="24"/>
        </w:rPr>
      </w:pPr>
    </w:p>
    <w:p w:rsidR="00534BAF" w:rsidRPr="00B87455" w:rsidRDefault="00534BAF" w:rsidP="00BA6DB5">
      <w:pPr>
        <w:spacing w:before="240" w:after="240"/>
        <w:jc w:val="center"/>
        <w:rPr>
          <w:rFonts w:ascii="Times New Roman" w:hAnsi="Times New Roman"/>
          <w:b/>
          <w:sz w:val="24"/>
          <w:szCs w:val="24"/>
        </w:rPr>
      </w:pPr>
    </w:p>
    <w:p w:rsidR="00534BAF" w:rsidRPr="00912FBC" w:rsidRDefault="003402BE" w:rsidP="00BA6DB5">
      <w:pPr>
        <w:spacing w:before="240" w:after="240"/>
        <w:jc w:val="both"/>
        <w:rPr>
          <w:rFonts w:ascii="Times New Roman" w:hAnsi="Times New Roman"/>
          <w:b/>
          <w:sz w:val="36"/>
          <w:szCs w:val="36"/>
        </w:rPr>
      </w:pPr>
      <w:r w:rsidRPr="00F85E66">
        <w:rPr>
          <w:rFonts w:ascii="Times New Roman" w:hAnsi="Times New Roman"/>
          <w:b/>
          <w:sz w:val="36"/>
          <w:szCs w:val="36"/>
        </w:rPr>
        <w:t>Návrh z</w:t>
      </w:r>
      <w:r w:rsidR="00534BAF" w:rsidRPr="00F85E66">
        <w:rPr>
          <w:rFonts w:ascii="Times New Roman" w:hAnsi="Times New Roman"/>
          <w:b/>
          <w:sz w:val="36"/>
          <w:szCs w:val="36"/>
        </w:rPr>
        <w:t>ákon</w:t>
      </w:r>
      <w:r w:rsidRPr="00F85E66">
        <w:rPr>
          <w:rFonts w:ascii="Times New Roman" w:hAnsi="Times New Roman"/>
          <w:b/>
          <w:sz w:val="36"/>
          <w:szCs w:val="36"/>
        </w:rPr>
        <w:t>a</w:t>
      </w:r>
      <w:r w:rsidR="00F85E66">
        <w:rPr>
          <w:rFonts w:ascii="Times New Roman" w:hAnsi="Times New Roman"/>
          <w:b/>
          <w:sz w:val="36"/>
          <w:szCs w:val="36"/>
        </w:rPr>
        <w:t>, kterým se mění zákon</w:t>
      </w:r>
      <w:r w:rsidR="00D621BF">
        <w:rPr>
          <w:rFonts w:ascii="Times New Roman" w:hAnsi="Times New Roman"/>
          <w:b/>
          <w:sz w:val="36"/>
          <w:szCs w:val="36"/>
        </w:rPr>
        <w:t xml:space="preserve"> č. </w:t>
      </w:r>
      <w:r w:rsidR="00D621BF" w:rsidRPr="00D621BF">
        <w:rPr>
          <w:rFonts w:ascii="Times New Roman" w:hAnsi="Times New Roman"/>
          <w:b/>
          <w:sz w:val="36"/>
          <w:szCs w:val="36"/>
        </w:rPr>
        <w:t>311/2006 Sb.,</w:t>
      </w:r>
      <w:r w:rsidR="00534BAF" w:rsidRPr="00F85E66">
        <w:rPr>
          <w:rFonts w:ascii="Times New Roman" w:hAnsi="Times New Roman"/>
          <w:b/>
          <w:sz w:val="36"/>
          <w:szCs w:val="36"/>
        </w:rPr>
        <w:t xml:space="preserve"> o</w:t>
      </w:r>
      <w:r w:rsidR="0038289E" w:rsidRPr="00F85E66">
        <w:rPr>
          <w:rFonts w:ascii="Times New Roman" w:hAnsi="Times New Roman"/>
          <w:b/>
          <w:sz w:val="36"/>
          <w:szCs w:val="36"/>
        </w:rPr>
        <w:t> </w:t>
      </w:r>
      <w:r w:rsidR="00534BAF" w:rsidRPr="00F85E66">
        <w:rPr>
          <w:rFonts w:ascii="Times New Roman" w:hAnsi="Times New Roman"/>
          <w:b/>
          <w:sz w:val="36"/>
          <w:szCs w:val="36"/>
        </w:rPr>
        <w:t>pohonných hmotách a</w:t>
      </w:r>
      <w:r w:rsidR="0038289E" w:rsidRPr="00F85E66">
        <w:rPr>
          <w:rFonts w:ascii="Times New Roman" w:hAnsi="Times New Roman"/>
          <w:b/>
          <w:sz w:val="36"/>
          <w:szCs w:val="36"/>
        </w:rPr>
        <w:t> </w:t>
      </w:r>
      <w:r w:rsidR="00534BAF" w:rsidRPr="00F85E66">
        <w:rPr>
          <w:rFonts w:ascii="Times New Roman" w:hAnsi="Times New Roman"/>
          <w:b/>
          <w:sz w:val="36"/>
          <w:szCs w:val="36"/>
        </w:rPr>
        <w:t>čerpacích stanicích pohonných hmot a</w:t>
      </w:r>
      <w:r w:rsidR="0038289E" w:rsidRPr="00F85E66">
        <w:rPr>
          <w:rFonts w:ascii="Times New Roman" w:hAnsi="Times New Roman"/>
          <w:b/>
          <w:sz w:val="36"/>
          <w:szCs w:val="36"/>
        </w:rPr>
        <w:t> </w:t>
      </w:r>
      <w:r w:rsidR="00534BAF" w:rsidRPr="00F85E66">
        <w:rPr>
          <w:rFonts w:ascii="Times New Roman" w:hAnsi="Times New Roman"/>
          <w:b/>
          <w:sz w:val="36"/>
          <w:szCs w:val="36"/>
        </w:rPr>
        <w:t>o</w:t>
      </w:r>
      <w:r w:rsidR="0038289E" w:rsidRPr="00F85E66">
        <w:rPr>
          <w:rFonts w:ascii="Times New Roman" w:hAnsi="Times New Roman"/>
          <w:b/>
          <w:sz w:val="36"/>
          <w:szCs w:val="36"/>
        </w:rPr>
        <w:t> </w:t>
      </w:r>
      <w:r w:rsidR="00534BAF" w:rsidRPr="00F85E66">
        <w:rPr>
          <w:rFonts w:ascii="Times New Roman" w:hAnsi="Times New Roman"/>
          <w:b/>
          <w:sz w:val="36"/>
          <w:szCs w:val="36"/>
        </w:rPr>
        <w:t>změně některých souvisejících zákonů</w:t>
      </w:r>
      <w:r w:rsidR="00534BAF" w:rsidRPr="00912FBC">
        <w:rPr>
          <w:rFonts w:ascii="Times New Roman" w:hAnsi="Times New Roman"/>
          <w:b/>
          <w:sz w:val="36"/>
          <w:szCs w:val="36"/>
        </w:rPr>
        <w:t xml:space="preserve"> (zákon o</w:t>
      </w:r>
      <w:r w:rsidR="0038289E" w:rsidRPr="00912FBC">
        <w:rPr>
          <w:rFonts w:ascii="Times New Roman" w:hAnsi="Times New Roman"/>
          <w:b/>
          <w:sz w:val="36"/>
          <w:szCs w:val="36"/>
        </w:rPr>
        <w:t> </w:t>
      </w:r>
      <w:r w:rsidR="00534BAF" w:rsidRPr="00912FBC">
        <w:rPr>
          <w:rFonts w:ascii="Times New Roman" w:hAnsi="Times New Roman"/>
          <w:b/>
          <w:sz w:val="36"/>
          <w:szCs w:val="36"/>
        </w:rPr>
        <w:t>pohonných hmotách)</w:t>
      </w:r>
      <w:r w:rsidR="00620C94" w:rsidRPr="00912FBC">
        <w:rPr>
          <w:rFonts w:ascii="Times New Roman" w:hAnsi="Times New Roman"/>
          <w:b/>
          <w:sz w:val="36"/>
          <w:szCs w:val="36"/>
        </w:rPr>
        <w:t>, ve</w:t>
      </w:r>
      <w:r w:rsidR="00F85E66">
        <w:rPr>
          <w:rFonts w:ascii="Times New Roman" w:hAnsi="Times New Roman"/>
          <w:b/>
          <w:sz w:val="36"/>
          <w:szCs w:val="36"/>
        </w:rPr>
        <w:t> </w:t>
      </w:r>
      <w:r w:rsidR="00620C94" w:rsidRPr="00912FBC">
        <w:rPr>
          <w:rFonts w:ascii="Times New Roman" w:hAnsi="Times New Roman"/>
          <w:b/>
          <w:sz w:val="36"/>
          <w:szCs w:val="36"/>
        </w:rPr>
        <w:t>znění pozdějších předpisů</w:t>
      </w:r>
    </w:p>
    <w:p w:rsidR="00534BAF" w:rsidRPr="00B87455" w:rsidRDefault="00534BAF" w:rsidP="00534BAF">
      <w:pPr>
        <w:overflowPunct/>
        <w:spacing w:after="0" w:line="240" w:lineRule="auto"/>
        <w:jc w:val="both"/>
        <w:textAlignment w:val="auto"/>
        <w:rPr>
          <w:rFonts w:ascii="Times New Roman" w:hAnsi="Times New Roman"/>
          <w:sz w:val="24"/>
          <w:szCs w:val="24"/>
        </w:rPr>
      </w:pPr>
      <w:r w:rsidRPr="00B87455">
        <w:rPr>
          <w:rFonts w:ascii="Times New Roman" w:hAnsi="Times New Roman"/>
          <w:sz w:val="24"/>
          <w:szCs w:val="24"/>
        </w:rPr>
        <w:br w:type="page"/>
      </w:r>
    </w:p>
    <w:p w:rsidR="00534BAF" w:rsidRPr="00B87455" w:rsidRDefault="00534BAF" w:rsidP="00534BAF">
      <w:pPr>
        <w:jc w:val="both"/>
        <w:rPr>
          <w:rFonts w:ascii="Times New Roman" w:hAnsi="Times New Roman"/>
          <w:sz w:val="24"/>
          <w:szCs w:val="24"/>
        </w:rPr>
        <w:sectPr w:rsidR="00534BAF" w:rsidRPr="00B87455" w:rsidSect="00941767">
          <w:footerReference w:type="default" r:id="rId8"/>
          <w:pgSz w:w="11906" w:h="16838"/>
          <w:pgMar w:top="1417" w:right="1426" w:bottom="1417" w:left="1418" w:header="708" w:footer="708" w:gutter="0"/>
          <w:cols w:space="708"/>
          <w:formProt w:val="0"/>
          <w:docGrid w:linePitch="240" w:charSpace="-2049"/>
        </w:sectPr>
      </w:pPr>
      <w:bookmarkStart w:id="0" w:name="_GoBack"/>
      <w:bookmarkEnd w:id="0"/>
    </w:p>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187"/>
        </w:trPr>
        <w:tc>
          <w:tcPr>
            <w:tcW w:w="9480" w:type="dxa"/>
            <w:tcBorders>
              <w:top w:val="single" w:sz="12" w:space="0" w:color="000001"/>
            </w:tcBorders>
            <w:shd w:val="clear" w:color="auto" w:fill="FFFFFF"/>
            <w:tcMar>
              <w:left w:w="0" w:type="dxa"/>
            </w:tcMar>
            <w:vAlign w:val="bottom"/>
          </w:tcPr>
          <w:p w:rsidR="005631F2" w:rsidRPr="00B87455" w:rsidRDefault="005631F2" w:rsidP="00F47500">
            <w:pPr>
              <w:widowControl w:val="0"/>
              <w:tabs>
                <w:tab w:val="left" w:pos="6660"/>
              </w:tabs>
              <w:spacing w:before="240" w:after="240" w:line="264" w:lineRule="auto"/>
              <w:rPr>
                <w:rFonts w:ascii="Times New Roman" w:hAnsi="Times New Roman"/>
                <w:bCs/>
                <w:sz w:val="24"/>
                <w:szCs w:val="24"/>
              </w:rPr>
            </w:pPr>
            <w:r w:rsidRPr="00B87455">
              <w:rPr>
                <w:rFonts w:ascii="Times New Roman" w:hAnsi="Times New Roman"/>
                <w:b/>
                <w:bCs/>
                <w:sz w:val="24"/>
                <w:szCs w:val="24"/>
              </w:rPr>
              <w:lastRenderedPageBreak/>
              <w:t>1. Základní identifikační údaje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187"/>
        </w:trPr>
        <w:tc>
          <w:tcPr>
            <w:tcW w:w="9480" w:type="dxa"/>
            <w:tcBorders>
              <w:top w:val="single" w:sz="12" w:space="0" w:color="000001"/>
            </w:tcBorders>
            <w:shd w:val="clear" w:color="auto" w:fill="FFFFFF"/>
            <w:tcMar>
              <w:left w:w="0" w:type="dxa"/>
            </w:tcMar>
            <w:vAlign w:val="bottom"/>
          </w:tcPr>
          <w:p w:rsidR="005631F2" w:rsidRPr="00B87455" w:rsidRDefault="005631F2" w:rsidP="00F47500">
            <w:pPr>
              <w:widowControl w:val="0"/>
              <w:tabs>
                <w:tab w:val="left" w:pos="6660"/>
              </w:tabs>
              <w:spacing w:before="240" w:after="240" w:line="264" w:lineRule="auto"/>
              <w:jc w:val="center"/>
              <w:rPr>
                <w:rFonts w:ascii="Times New Roman" w:hAnsi="Times New Roman"/>
                <w:bCs/>
                <w:sz w:val="24"/>
                <w:szCs w:val="24"/>
              </w:rPr>
            </w:pPr>
            <w:r w:rsidRPr="00B87455">
              <w:rPr>
                <w:rFonts w:ascii="Times New Roman" w:hAnsi="Times New Roman"/>
                <w:bCs/>
                <w:sz w:val="24"/>
                <w:szCs w:val="24"/>
              </w:rPr>
              <w:t xml:space="preserve">Název návrhu: </w:t>
            </w:r>
            <w:r w:rsidRPr="00B87455">
              <w:rPr>
                <w:rFonts w:ascii="Times New Roman" w:hAnsi="Times New Roman"/>
                <w:bCs/>
                <w:sz w:val="24"/>
                <w:szCs w:val="24"/>
              </w:rPr>
              <w:t> </w:t>
            </w:r>
          </w:p>
          <w:p w:rsidR="005631F2" w:rsidRPr="00B87455" w:rsidRDefault="005631F2" w:rsidP="00F47500">
            <w:pPr>
              <w:widowControl w:val="0"/>
              <w:rPr>
                <w:rFonts w:ascii="Times New Roman" w:hAnsi="Times New Roman"/>
                <w:b/>
                <w:bCs/>
                <w:sz w:val="24"/>
                <w:szCs w:val="24"/>
              </w:rPr>
            </w:pPr>
            <w:r w:rsidRPr="00B87455">
              <w:rPr>
                <w:rFonts w:ascii="Times New Roman" w:hAnsi="Times New Roman"/>
                <w:b/>
                <w:sz w:val="24"/>
                <w:szCs w:val="24"/>
              </w:rPr>
              <w:t xml:space="preserve">Návrh zákona, kterým se mění zákon č. 311/2006 Sb., </w:t>
            </w:r>
            <w:r w:rsidR="003F44E2" w:rsidRPr="00B87455">
              <w:rPr>
                <w:rFonts w:ascii="Times New Roman" w:hAnsi="Times New Roman"/>
                <w:b/>
                <w:sz w:val="24"/>
                <w:szCs w:val="24"/>
              </w:rPr>
              <w:t>o</w:t>
            </w:r>
            <w:r w:rsidR="0038289E" w:rsidRPr="00B87455">
              <w:rPr>
                <w:rFonts w:ascii="Times New Roman" w:hAnsi="Times New Roman"/>
                <w:b/>
                <w:sz w:val="24"/>
                <w:szCs w:val="24"/>
              </w:rPr>
              <w:t> </w:t>
            </w:r>
            <w:r w:rsidRPr="00B87455">
              <w:rPr>
                <w:rFonts w:ascii="Times New Roman" w:hAnsi="Times New Roman"/>
                <w:b/>
                <w:bCs/>
                <w:sz w:val="24"/>
                <w:szCs w:val="24"/>
              </w:rPr>
              <w:t>pohonných hmotách a</w:t>
            </w:r>
            <w:r w:rsidR="0038289E" w:rsidRPr="00B87455">
              <w:rPr>
                <w:rFonts w:ascii="Times New Roman" w:hAnsi="Times New Roman"/>
                <w:b/>
                <w:bCs/>
                <w:sz w:val="24"/>
                <w:szCs w:val="24"/>
              </w:rPr>
              <w:t> </w:t>
            </w:r>
            <w:r w:rsidRPr="00B87455">
              <w:rPr>
                <w:rFonts w:ascii="Times New Roman" w:hAnsi="Times New Roman"/>
                <w:b/>
                <w:bCs/>
                <w:sz w:val="24"/>
                <w:szCs w:val="24"/>
              </w:rPr>
              <w:t>čerpacích stanicích pohonných hmot a</w:t>
            </w:r>
            <w:r w:rsidR="0038289E" w:rsidRPr="00B87455">
              <w:rPr>
                <w:rFonts w:ascii="Times New Roman" w:hAnsi="Times New Roman"/>
                <w:b/>
                <w:bCs/>
                <w:sz w:val="24"/>
                <w:szCs w:val="24"/>
              </w:rPr>
              <w:t> </w:t>
            </w:r>
            <w:r w:rsidRPr="00B87455">
              <w:rPr>
                <w:rFonts w:ascii="Times New Roman" w:hAnsi="Times New Roman"/>
                <w:b/>
                <w:bCs/>
                <w:sz w:val="24"/>
                <w:szCs w:val="24"/>
              </w:rPr>
              <w:t>o</w:t>
            </w:r>
            <w:r w:rsidR="0038289E" w:rsidRPr="00B87455">
              <w:rPr>
                <w:rFonts w:ascii="Times New Roman" w:hAnsi="Times New Roman"/>
                <w:b/>
                <w:bCs/>
                <w:sz w:val="24"/>
                <w:szCs w:val="24"/>
              </w:rPr>
              <w:t> </w:t>
            </w:r>
            <w:r w:rsidRPr="00B87455">
              <w:rPr>
                <w:rFonts w:ascii="Times New Roman" w:hAnsi="Times New Roman"/>
                <w:b/>
                <w:bCs/>
                <w:sz w:val="24"/>
                <w:szCs w:val="24"/>
              </w:rPr>
              <w:t>změně některých souvisejících zákonů (zákon o</w:t>
            </w:r>
            <w:r w:rsidR="0038289E" w:rsidRPr="00B87455">
              <w:rPr>
                <w:rFonts w:ascii="Times New Roman" w:hAnsi="Times New Roman"/>
                <w:b/>
                <w:bCs/>
                <w:sz w:val="24"/>
                <w:szCs w:val="24"/>
              </w:rPr>
              <w:t> </w:t>
            </w:r>
            <w:r w:rsidRPr="00B87455">
              <w:rPr>
                <w:rFonts w:ascii="Times New Roman" w:hAnsi="Times New Roman"/>
                <w:b/>
                <w:bCs/>
                <w:sz w:val="24"/>
                <w:szCs w:val="24"/>
              </w:rPr>
              <w:t xml:space="preserve">pohonných hmotách) </w:t>
            </w:r>
            <w:r w:rsidRPr="00B87455">
              <w:rPr>
                <w:rFonts w:ascii="Times New Roman" w:hAnsi="Times New Roman"/>
                <w:b/>
                <w:sz w:val="24"/>
                <w:szCs w:val="24"/>
              </w:rPr>
              <w:t>ve znění pozdějších předpisů</w:t>
            </w:r>
          </w:p>
          <w:p w:rsidR="005631F2" w:rsidRPr="00B87455" w:rsidRDefault="005631F2" w:rsidP="00F47500">
            <w:pPr>
              <w:widowControl w:val="0"/>
              <w:tabs>
                <w:tab w:val="left" w:pos="6660"/>
              </w:tabs>
              <w:spacing w:before="240" w:after="240" w:line="264" w:lineRule="auto"/>
              <w:jc w:val="center"/>
              <w:rPr>
                <w:rFonts w:ascii="Times New Roman" w:hAnsi="Times New Roman"/>
                <w:bCs/>
                <w:sz w:val="24"/>
                <w:szCs w:val="24"/>
              </w:rPr>
            </w:pPr>
            <w:r w:rsidRPr="00B87455">
              <w:rPr>
                <w:rFonts w:ascii="Times New Roman" w:hAnsi="Times New Roman"/>
                <w:bCs/>
                <w:sz w:val="24"/>
                <w:szCs w:val="24"/>
              </w:rPr>
              <w:t> </w:t>
            </w:r>
            <w:r w:rsidRPr="00B87455">
              <w:rPr>
                <w:rFonts w:ascii="Times New Roman" w:hAnsi="Times New Roman"/>
                <w:bCs/>
                <w:sz w:val="24"/>
                <w:szCs w:val="24"/>
              </w:rPr>
              <w:t> </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4160"/>
        <w:gridCol w:w="5320"/>
      </w:tblGrid>
      <w:tr w:rsidR="005F7473" w:rsidRPr="00B87455" w:rsidTr="00F47500">
        <w:trPr>
          <w:trHeight w:val="979"/>
        </w:trPr>
        <w:tc>
          <w:tcPr>
            <w:tcW w:w="4160" w:type="dxa"/>
            <w:tcBorders>
              <w:right w:val="single" w:sz="4" w:space="0" w:color="000001"/>
            </w:tcBorders>
            <w:shd w:val="clear" w:color="auto" w:fill="FFFFFF"/>
            <w:tcMar>
              <w:left w:w="0" w:type="dxa"/>
            </w:tcMar>
            <w:vAlign w:val="center"/>
          </w:tcPr>
          <w:p w:rsidR="005631F2" w:rsidRPr="00B87455" w:rsidRDefault="005631F2" w:rsidP="00F47500">
            <w:pPr>
              <w:widowControl w:val="0"/>
              <w:tabs>
                <w:tab w:val="left" w:pos="6660"/>
              </w:tabs>
              <w:spacing w:before="120" w:after="120" w:line="264" w:lineRule="auto"/>
              <w:jc w:val="center"/>
              <w:rPr>
                <w:rFonts w:ascii="Times New Roman" w:hAnsi="Times New Roman"/>
                <w:bCs/>
                <w:sz w:val="24"/>
                <w:szCs w:val="24"/>
              </w:rPr>
            </w:pPr>
            <w:r w:rsidRPr="00B87455">
              <w:rPr>
                <w:rFonts w:ascii="Times New Roman" w:hAnsi="Times New Roman"/>
                <w:bCs/>
                <w:sz w:val="24"/>
                <w:szCs w:val="24"/>
              </w:rPr>
              <w:t xml:space="preserve">Zpracovatel / zástupce předkladatele: </w:t>
            </w:r>
          </w:p>
          <w:p w:rsidR="005631F2" w:rsidRPr="00B87455" w:rsidRDefault="005631F2" w:rsidP="0038289E">
            <w:pPr>
              <w:widowControl w:val="0"/>
              <w:tabs>
                <w:tab w:val="left" w:pos="6660"/>
              </w:tabs>
              <w:spacing w:before="120" w:after="120" w:line="264" w:lineRule="auto"/>
              <w:jc w:val="center"/>
              <w:rPr>
                <w:rFonts w:ascii="Times New Roman" w:hAnsi="Times New Roman"/>
                <w:bCs/>
                <w:sz w:val="24"/>
                <w:szCs w:val="24"/>
              </w:rPr>
            </w:pPr>
            <w:r w:rsidRPr="00B87455">
              <w:rPr>
                <w:rFonts w:ascii="Times New Roman" w:hAnsi="Times New Roman"/>
                <w:bCs/>
                <w:sz w:val="24"/>
                <w:szCs w:val="24"/>
              </w:rPr>
              <w:t>Ministerstvo průmyslu a</w:t>
            </w:r>
            <w:r w:rsidR="0038289E" w:rsidRPr="00B87455">
              <w:rPr>
                <w:rFonts w:ascii="Times New Roman" w:hAnsi="Times New Roman"/>
                <w:bCs/>
                <w:sz w:val="24"/>
                <w:szCs w:val="24"/>
              </w:rPr>
              <w:t> </w:t>
            </w:r>
            <w:r w:rsidRPr="00B87455">
              <w:rPr>
                <w:rFonts w:ascii="Times New Roman" w:hAnsi="Times New Roman"/>
                <w:bCs/>
                <w:sz w:val="24"/>
                <w:szCs w:val="24"/>
              </w:rPr>
              <w:t>obchodu</w:t>
            </w:r>
          </w:p>
        </w:tc>
        <w:tc>
          <w:tcPr>
            <w:tcW w:w="5320" w:type="dxa"/>
            <w:tcBorders>
              <w:left w:val="single" w:sz="4" w:space="0" w:color="000001"/>
            </w:tcBorders>
            <w:shd w:val="clear" w:color="auto" w:fill="FFFFFF"/>
            <w:tcMar>
              <w:left w:w="38" w:type="dxa"/>
            </w:tcMar>
            <w:vAlign w:val="center"/>
          </w:tcPr>
          <w:p w:rsidR="002E3421" w:rsidRPr="00B87455" w:rsidRDefault="002E3421" w:rsidP="00F47500">
            <w:pPr>
              <w:widowControl w:val="0"/>
              <w:tabs>
                <w:tab w:val="left" w:pos="6660"/>
              </w:tabs>
              <w:spacing w:before="120" w:after="120" w:line="264" w:lineRule="auto"/>
              <w:jc w:val="center"/>
              <w:rPr>
                <w:rFonts w:ascii="Times New Roman" w:hAnsi="Times New Roman"/>
                <w:bCs/>
                <w:sz w:val="24"/>
                <w:szCs w:val="24"/>
              </w:rPr>
            </w:pPr>
          </w:p>
          <w:p w:rsidR="002E3421" w:rsidRPr="00B87455" w:rsidRDefault="002E3421" w:rsidP="00F47500">
            <w:pPr>
              <w:widowControl w:val="0"/>
              <w:tabs>
                <w:tab w:val="left" w:pos="6660"/>
              </w:tabs>
              <w:spacing w:before="120" w:after="120" w:line="264" w:lineRule="auto"/>
              <w:jc w:val="center"/>
              <w:rPr>
                <w:rFonts w:ascii="Times New Roman" w:hAnsi="Times New Roman"/>
                <w:bCs/>
                <w:sz w:val="24"/>
                <w:szCs w:val="24"/>
              </w:rPr>
            </w:pPr>
          </w:p>
          <w:p w:rsidR="005631F2" w:rsidRPr="00B87455" w:rsidRDefault="005631F2" w:rsidP="00F47500">
            <w:pPr>
              <w:widowControl w:val="0"/>
              <w:tabs>
                <w:tab w:val="left" w:pos="6660"/>
              </w:tabs>
              <w:spacing w:before="120" w:after="120" w:line="264" w:lineRule="auto"/>
              <w:jc w:val="center"/>
              <w:rPr>
                <w:rFonts w:ascii="Times New Roman" w:hAnsi="Times New Roman"/>
                <w:bCs/>
                <w:sz w:val="24"/>
                <w:szCs w:val="24"/>
              </w:rPr>
            </w:pPr>
            <w:r w:rsidRPr="00B87455">
              <w:rPr>
                <w:rFonts w:ascii="Times New Roman" w:hAnsi="Times New Roman"/>
                <w:bCs/>
                <w:sz w:val="24"/>
                <w:szCs w:val="24"/>
              </w:rPr>
              <w:t>Předpokládaný termín nabytí účinnosti, v</w:t>
            </w:r>
            <w:r w:rsidR="0038289E" w:rsidRPr="00B87455">
              <w:rPr>
                <w:rFonts w:ascii="Times New Roman" w:hAnsi="Times New Roman"/>
                <w:bCs/>
                <w:sz w:val="24"/>
                <w:szCs w:val="24"/>
              </w:rPr>
              <w:t> </w:t>
            </w:r>
            <w:r w:rsidRPr="00B87455">
              <w:rPr>
                <w:rFonts w:ascii="Times New Roman" w:hAnsi="Times New Roman"/>
                <w:bCs/>
                <w:sz w:val="24"/>
                <w:szCs w:val="24"/>
              </w:rPr>
              <w:t>případě dělené účinnosti rozveďte</w:t>
            </w:r>
          </w:p>
          <w:p w:rsidR="005631F2" w:rsidRPr="00B87455" w:rsidRDefault="005631F2" w:rsidP="00F47500">
            <w:pPr>
              <w:widowControl w:val="0"/>
              <w:tabs>
                <w:tab w:val="left" w:pos="6660"/>
              </w:tabs>
              <w:spacing w:before="120" w:after="120" w:line="264" w:lineRule="auto"/>
              <w:jc w:val="center"/>
              <w:rPr>
                <w:rFonts w:ascii="Times New Roman" w:hAnsi="Times New Roman"/>
                <w:bCs/>
                <w:sz w:val="24"/>
                <w:szCs w:val="24"/>
              </w:rPr>
            </w:pPr>
            <w:r w:rsidRPr="00B87455">
              <w:rPr>
                <w:rFonts w:ascii="Times New Roman" w:hAnsi="Times New Roman"/>
                <w:bCs/>
                <w:sz w:val="24"/>
                <w:szCs w:val="24"/>
              </w:rPr>
              <w:t>l</w:t>
            </w:r>
            <w:r w:rsidRPr="00F85E66">
              <w:rPr>
                <w:rFonts w:ascii="Times New Roman" w:hAnsi="Times New Roman"/>
                <w:bCs/>
                <w:sz w:val="24"/>
                <w:szCs w:val="24"/>
              </w:rPr>
              <w:t>eden 2019</w:t>
            </w:r>
            <w:r w:rsidR="003402BE" w:rsidRPr="00F85E66">
              <w:rPr>
                <w:rFonts w:ascii="Times New Roman" w:hAnsi="Times New Roman"/>
                <w:bCs/>
                <w:sz w:val="24"/>
                <w:szCs w:val="24"/>
              </w:rPr>
              <w:t>, leden 2021</w:t>
            </w:r>
          </w:p>
          <w:p w:rsidR="005631F2" w:rsidRPr="00B87455" w:rsidRDefault="005631F2" w:rsidP="00F47500">
            <w:pPr>
              <w:spacing w:line="360" w:lineRule="auto"/>
              <w:jc w:val="both"/>
              <w:rPr>
                <w:rFonts w:ascii="Times New Roman" w:hAnsi="Times New Roman"/>
                <w:sz w:val="24"/>
                <w:szCs w:val="24"/>
              </w:rPr>
            </w:pP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1080"/>
        </w:trPr>
        <w:tc>
          <w:tcPr>
            <w:tcW w:w="9480" w:type="dxa"/>
            <w:tcBorders>
              <w:top w:val="single" w:sz="12" w:space="0" w:color="000001"/>
            </w:tcBorders>
            <w:shd w:val="clear" w:color="auto" w:fill="FFFFFF"/>
            <w:tcMar>
              <w:left w:w="0" w:type="dxa"/>
            </w:tcMar>
            <w:vAlign w:val="center"/>
          </w:tcPr>
          <w:p w:rsidR="005631F2" w:rsidRPr="00B87455" w:rsidRDefault="005631F2" w:rsidP="00F47500">
            <w:pPr>
              <w:widowControl w:val="0"/>
              <w:tabs>
                <w:tab w:val="left" w:pos="6660"/>
              </w:tabs>
              <w:spacing w:before="120" w:after="120" w:line="264" w:lineRule="auto"/>
              <w:rPr>
                <w:rFonts w:ascii="Times New Roman" w:hAnsi="Times New Roman"/>
                <w:bCs/>
                <w:sz w:val="24"/>
                <w:szCs w:val="24"/>
              </w:rPr>
            </w:pPr>
            <w:r w:rsidRPr="00B87455">
              <w:rPr>
                <w:rFonts w:ascii="Times New Roman" w:hAnsi="Times New Roman"/>
                <w:bCs/>
                <w:sz w:val="24"/>
                <w:szCs w:val="24"/>
              </w:rPr>
              <w:t>Implementace práva EU:  NE</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top w:val="single" w:sz="12" w:space="0" w:color="000001"/>
              <w:bottom w:val="single" w:sz="12" w:space="0" w:color="000001"/>
            </w:tcBorders>
            <w:shd w:val="clear" w:color="auto" w:fill="99CCFF"/>
            <w:tcMar>
              <w:left w:w="0" w:type="dxa"/>
            </w:tcMar>
          </w:tcPr>
          <w:p w:rsidR="005631F2" w:rsidRPr="00B87455" w:rsidRDefault="005631F2" w:rsidP="00F47500">
            <w:pPr>
              <w:widowControl w:val="0"/>
              <w:tabs>
                <w:tab w:val="left" w:pos="6660"/>
              </w:tabs>
              <w:spacing w:before="120" w:after="120" w:line="264" w:lineRule="auto"/>
              <w:rPr>
                <w:rFonts w:ascii="Times New Roman" w:hAnsi="Times New Roman"/>
                <w:bCs/>
                <w:sz w:val="24"/>
                <w:szCs w:val="24"/>
              </w:rPr>
            </w:pPr>
            <w:r w:rsidRPr="00B87455">
              <w:rPr>
                <w:rFonts w:ascii="Times New Roman" w:hAnsi="Times New Roman"/>
                <w:bCs/>
                <w:sz w:val="24"/>
                <w:szCs w:val="24"/>
              </w:rPr>
              <w:t xml:space="preserve">2. Cíl návrhu zákona </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top w:val="single" w:sz="12" w:space="0" w:color="000001"/>
              <w:bottom w:val="single" w:sz="12" w:space="0" w:color="000001"/>
            </w:tcBorders>
            <w:shd w:val="clear" w:color="auto" w:fill="FFFFFF"/>
            <w:tcMar>
              <w:left w:w="0" w:type="dxa"/>
            </w:tcMar>
          </w:tcPr>
          <w:p w:rsidR="005631F2" w:rsidRPr="00B87455" w:rsidRDefault="005631F2" w:rsidP="004B62CF">
            <w:pPr>
              <w:jc w:val="both"/>
              <w:rPr>
                <w:rFonts w:ascii="Times New Roman" w:hAnsi="Times New Roman"/>
                <w:bCs/>
                <w:sz w:val="24"/>
                <w:szCs w:val="24"/>
              </w:rPr>
            </w:pPr>
            <w:r w:rsidRPr="00B87455">
              <w:rPr>
                <w:rFonts w:ascii="Times New Roman" w:hAnsi="Times New Roman"/>
                <w:bCs/>
                <w:iCs/>
                <w:sz w:val="24"/>
                <w:szCs w:val="24"/>
              </w:rPr>
              <w:t>Účelem návrhu novely zákona je odstranění stavu, kdy na velkou skupinu subjektů podnikatelské veřejnosti může být při striktním výkladu právní normy nahlíženo jako na distributory pohonných hmot, přestože se v</w:t>
            </w:r>
            <w:r w:rsidR="0038289E" w:rsidRPr="00B87455">
              <w:rPr>
                <w:rFonts w:ascii="Times New Roman" w:hAnsi="Times New Roman"/>
                <w:bCs/>
                <w:iCs/>
                <w:sz w:val="24"/>
                <w:szCs w:val="24"/>
              </w:rPr>
              <w:t> </w:t>
            </w:r>
            <w:r w:rsidRPr="00B87455">
              <w:rPr>
                <w:rFonts w:ascii="Times New Roman" w:hAnsi="Times New Roman"/>
                <w:bCs/>
                <w:iCs/>
                <w:sz w:val="24"/>
                <w:szCs w:val="24"/>
              </w:rPr>
              <w:t>případě jejich činnosti o</w:t>
            </w:r>
            <w:r w:rsidR="0038289E" w:rsidRPr="00B87455">
              <w:rPr>
                <w:rFonts w:ascii="Times New Roman" w:hAnsi="Times New Roman"/>
                <w:bCs/>
                <w:iCs/>
                <w:sz w:val="24"/>
                <w:szCs w:val="24"/>
              </w:rPr>
              <w:t> </w:t>
            </w:r>
            <w:r w:rsidRPr="00B87455">
              <w:rPr>
                <w:rFonts w:ascii="Times New Roman" w:hAnsi="Times New Roman"/>
                <w:bCs/>
                <w:iCs/>
                <w:sz w:val="24"/>
                <w:szCs w:val="24"/>
              </w:rPr>
              <w:t>distribuci v</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pravém smyslu slova nejedná. Při takovém výkladu </w:t>
            </w:r>
            <w:r w:rsidR="00B12083" w:rsidRPr="00B87455">
              <w:rPr>
                <w:rFonts w:ascii="Times New Roman" w:hAnsi="Times New Roman"/>
                <w:bCs/>
                <w:iCs/>
                <w:sz w:val="24"/>
                <w:szCs w:val="24"/>
              </w:rPr>
              <w:t xml:space="preserve">musí </w:t>
            </w:r>
            <w:r w:rsidRPr="00B87455">
              <w:rPr>
                <w:rFonts w:ascii="Times New Roman" w:hAnsi="Times New Roman"/>
                <w:bCs/>
                <w:iCs/>
                <w:sz w:val="24"/>
                <w:szCs w:val="24"/>
              </w:rPr>
              <w:t xml:space="preserve">vůči státní správě </w:t>
            </w:r>
            <w:r w:rsidR="002E3421" w:rsidRPr="00B87455">
              <w:rPr>
                <w:rFonts w:ascii="Times New Roman" w:hAnsi="Times New Roman"/>
                <w:bCs/>
                <w:iCs/>
                <w:sz w:val="24"/>
                <w:szCs w:val="24"/>
              </w:rPr>
              <w:t xml:space="preserve">dotčené subjekty </w:t>
            </w:r>
            <w:r w:rsidRPr="00B87455">
              <w:rPr>
                <w:rFonts w:ascii="Times New Roman" w:hAnsi="Times New Roman"/>
                <w:bCs/>
                <w:iCs/>
                <w:sz w:val="24"/>
                <w:szCs w:val="24"/>
              </w:rPr>
              <w:t>strpět povinnosti, které je nadbytečně ekonomicky zatěžují, například povinnost skládat kauci až 20 milionů Kč, jakožto ochranu státu před teoretickým daňovým deliktem. Záměrem je odstranění nadbytečných požadavků na plnění povinností uložených v</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zákoně distributorům těm subjektům, které svou činností neohrožují výkon daňové správy, kvůli které byl institut distributora do legislativy zapracován. </w:t>
            </w:r>
            <w:r w:rsidRPr="00B87455">
              <w:rPr>
                <w:rFonts w:ascii="Times New Roman" w:hAnsi="Times New Roman"/>
                <w:sz w:val="24"/>
                <w:szCs w:val="24"/>
              </w:rPr>
              <w:t>Striktní definice distributora pohonných hmot činí určité problémy i</w:t>
            </w:r>
            <w:r w:rsidR="0038289E" w:rsidRPr="00B87455">
              <w:rPr>
                <w:rFonts w:ascii="Times New Roman" w:hAnsi="Times New Roman"/>
                <w:sz w:val="24"/>
                <w:szCs w:val="24"/>
              </w:rPr>
              <w:t> </w:t>
            </w:r>
            <w:r w:rsidRPr="00B87455">
              <w:rPr>
                <w:rFonts w:ascii="Times New Roman" w:hAnsi="Times New Roman"/>
                <w:sz w:val="24"/>
                <w:szCs w:val="24"/>
              </w:rPr>
              <w:t>státní správě v</w:t>
            </w:r>
            <w:r w:rsidR="0038289E" w:rsidRPr="00B87455">
              <w:rPr>
                <w:rFonts w:ascii="Times New Roman" w:hAnsi="Times New Roman"/>
                <w:sz w:val="24"/>
                <w:szCs w:val="24"/>
              </w:rPr>
              <w:t> </w:t>
            </w:r>
            <w:r w:rsidRPr="00B87455">
              <w:rPr>
                <w:rFonts w:ascii="Times New Roman" w:hAnsi="Times New Roman"/>
                <w:sz w:val="24"/>
                <w:szCs w:val="24"/>
              </w:rPr>
              <w:t xml:space="preserve">oblasti insolvenčního řízení při </w:t>
            </w:r>
            <w:r w:rsidRPr="00B87455">
              <w:rPr>
                <w:rFonts w:ascii="Times New Roman" w:hAnsi="Times New Roman"/>
                <w:color w:val="000000"/>
                <w:sz w:val="24"/>
                <w:szCs w:val="24"/>
              </w:rPr>
              <w:t xml:space="preserve">prodeji pohonných hmot </w:t>
            </w:r>
            <w:r w:rsidRPr="00B87455">
              <w:rPr>
                <w:rFonts w:ascii="Times New Roman" w:hAnsi="Times New Roman"/>
                <w:sz w:val="24"/>
                <w:szCs w:val="24"/>
              </w:rPr>
              <w:t>insolvenčním správcem po prohlášení konkur</w:t>
            </w:r>
            <w:r w:rsidR="00C01595" w:rsidRPr="00B87455">
              <w:rPr>
                <w:rFonts w:ascii="Times New Roman" w:hAnsi="Times New Roman"/>
                <w:sz w:val="24"/>
                <w:szCs w:val="24"/>
              </w:rPr>
              <w:t>s</w:t>
            </w:r>
            <w:r w:rsidRPr="00B87455">
              <w:rPr>
                <w:rFonts w:ascii="Times New Roman" w:hAnsi="Times New Roman"/>
                <w:sz w:val="24"/>
                <w:szCs w:val="24"/>
              </w:rPr>
              <w:t>u na distributora pohonných hmot.</w:t>
            </w:r>
            <w:r w:rsidR="002420DC" w:rsidRPr="00B87455">
              <w:rPr>
                <w:rFonts w:ascii="Times New Roman" w:hAnsi="Times New Roman"/>
                <w:bCs/>
                <w:iCs/>
                <w:sz w:val="24"/>
                <w:szCs w:val="24"/>
              </w:rPr>
              <w:t xml:space="preserve"> Součástí cílů pro dosažení zlepšené právní úpravy je i</w:t>
            </w:r>
            <w:r w:rsidR="0038289E" w:rsidRPr="00B87455">
              <w:rPr>
                <w:rFonts w:ascii="Times New Roman" w:hAnsi="Times New Roman"/>
                <w:bCs/>
                <w:iCs/>
                <w:sz w:val="24"/>
                <w:szCs w:val="24"/>
              </w:rPr>
              <w:t> </w:t>
            </w:r>
            <w:r w:rsidR="002420DC" w:rsidRPr="00B87455">
              <w:rPr>
                <w:rFonts w:ascii="Times New Roman" w:hAnsi="Times New Roman"/>
                <w:bCs/>
                <w:iCs/>
                <w:sz w:val="24"/>
                <w:szCs w:val="24"/>
              </w:rPr>
              <w:t>zpřesnění definice a</w:t>
            </w:r>
            <w:r w:rsidR="0038289E" w:rsidRPr="00B87455">
              <w:rPr>
                <w:rFonts w:ascii="Times New Roman" w:hAnsi="Times New Roman"/>
                <w:bCs/>
                <w:iCs/>
                <w:sz w:val="24"/>
                <w:szCs w:val="24"/>
              </w:rPr>
              <w:t> </w:t>
            </w:r>
            <w:r w:rsidR="002420DC" w:rsidRPr="00B87455">
              <w:rPr>
                <w:rFonts w:ascii="Times New Roman" w:hAnsi="Times New Roman"/>
                <w:bCs/>
                <w:iCs/>
                <w:sz w:val="24"/>
                <w:szCs w:val="24"/>
              </w:rPr>
              <w:t>evidence výdeje pohonných hmot a</w:t>
            </w:r>
            <w:r w:rsidR="0038289E" w:rsidRPr="00B87455">
              <w:rPr>
                <w:rFonts w:ascii="Times New Roman" w:hAnsi="Times New Roman"/>
                <w:bCs/>
                <w:iCs/>
                <w:sz w:val="24"/>
                <w:szCs w:val="24"/>
              </w:rPr>
              <w:t> </w:t>
            </w:r>
            <w:r w:rsidR="002420DC" w:rsidRPr="00B87455">
              <w:rPr>
                <w:rFonts w:ascii="Times New Roman" w:hAnsi="Times New Roman"/>
                <w:bCs/>
                <w:iCs/>
                <w:sz w:val="24"/>
                <w:szCs w:val="24"/>
              </w:rPr>
              <w:t>také míst, kde k</w:t>
            </w:r>
            <w:r w:rsidR="0038289E" w:rsidRPr="00B87455">
              <w:rPr>
                <w:rFonts w:ascii="Times New Roman" w:hAnsi="Times New Roman"/>
                <w:bCs/>
                <w:iCs/>
                <w:sz w:val="24"/>
                <w:szCs w:val="24"/>
              </w:rPr>
              <w:t> </w:t>
            </w:r>
            <w:r w:rsidR="002420DC" w:rsidRPr="00B87455">
              <w:rPr>
                <w:rFonts w:ascii="Times New Roman" w:hAnsi="Times New Roman"/>
                <w:bCs/>
                <w:iCs/>
                <w:sz w:val="24"/>
                <w:szCs w:val="24"/>
              </w:rPr>
              <w:t>této činnosti dochází.</w:t>
            </w:r>
            <w:r w:rsidRPr="00B87455">
              <w:rPr>
                <w:rFonts w:ascii="Times New Roman" w:hAnsi="Times New Roman"/>
                <w:bCs/>
                <w:iCs/>
                <w:sz w:val="24"/>
                <w:szCs w:val="24"/>
              </w:rPr>
              <w:t xml:space="preserve"> Dalším účelem návrhu novely </w:t>
            </w:r>
            <w:r w:rsidR="00AA32AD" w:rsidRPr="00B87455">
              <w:rPr>
                <w:rFonts w:ascii="Times New Roman" w:hAnsi="Times New Roman"/>
                <w:bCs/>
                <w:iCs/>
                <w:sz w:val="24"/>
                <w:szCs w:val="24"/>
              </w:rPr>
              <w:t xml:space="preserve">zákona </w:t>
            </w:r>
            <w:r w:rsidRPr="00B87455">
              <w:rPr>
                <w:rFonts w:ascii="Times New Roman" w:hAnsi="Times New Roman"/>
                <w:bCs/>
                <w:iCs/>
                <w:sz w:val="24"/>
                <w:szCs w:val="24"/>
              </w:rPr>
              <w:t xml:space="preserve">je zpřesnění podmínek </w:t>
            </w:r>
            <w:r w:rsidR="009E47BD" w:rsidRPr="00B87455">
              <w:rPr>
                <w:rFonts w:ascii="Times New Roman" w:hAnsi="Times New Roman"/>
                <w:bCs/>
                <w:iCs/>
                <w:sz w:val="24"/>
                <w:szCs w:val="24"/>
              </w:rPr>
              <w:t>evidence</w:t>
            </w:r>
            <w:r w:rsidR="00DA30BA" w:rsidRPr="00B87455">
              <w:rPr>
                <w:rFonts w:ascii="Times New Roman" w:hAnsi="Times New Roman"/>
                <w:bCs/>
                <w:iCs/>
                <w:sz w:val="24"/>
                <w:szCs w:val="24"/>
              </w:rPr>
              <w:t xml:space="preserve"> </w:t>
            </w:r>
            <w:r w:rsidRPr="00B87455">
              <w:rPr>
                <w:rFonts w:ascii="Times New Roman" w:hAnsi="Times New Roman"/>
                <w:bCs/>
                <w:iCs/>
                <w:sz w:val="24"/>
                <w:szCs w:val="24"/>
              </w:rPr>
              <w:t>dobíjecích stanic pro elektromobilní vozidla tak, aby tato nová a</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dynamicky </w:t>
            </w:r>
            <w:r w:rsidR="00DA30BA" w:rsidRPr="00B87455">
              <w:rPr>
                <w:rFonts w:ascii="Times New Roman" w:hAnsi="Times New Roman"/>
                <w:bCs/>
                <w:iCs/>
                <w:sz w:val="24"/>
                <w:szCs w:val="24"/>
              </w:rPr>
              <w:t xml:space="preserve">se </w:t>
            </w:r>
            <w:r w:rsidRPr="00B87455">
              <w:rPr>
                <w:rFonts w:ascii="Times New Roman" w:hAnsi="Times New Roman"/>
                <w:bCs/>
                <w:iCs/>
                <w:sz w:val="24"/>
                <w:szCs w:val="24"/>
              </w:rPr>
              <w:t xml:space="preserve">rozvíjející podnikatelská aktivita byla </w:t>
            </w:r>
            <w:r w:rsidR="00764A54" w:rsidRPr="00B87455">
              <w:rPr>
                <w:rFonts w:ascii="Times New Roman" w:hAnsi="Times New Roman"/>
                <w:bCs/>
                <w:iCs/>
                <w:sz w:val="24"/>
                <w:szCs w:val="24"/>
              </w:rPr>
              <w:t xml:space="preserve">exaktněji </w:t>
            </w:r>
            <w:r w:rsidRPr="00B87455">
              <w:rPr>
                <w:rFonts w:ascii="Times New Roman" w:hAnsi="Times New Roman"/>
                <w:bCs/>
                <w:iCs/>
                <w:sz w:val="24"/>
                <w:szCs w:val="24"/>
              </w:rPr>
              <w:t>definována a</w:t>
            </w:r>
            <w:r w:rsidR="0038289E" w:rsidRPr="00B87455">
              <w:rPr>
                <w:rFonts w:ascii="Times New Roman" w:hAnsi="Times New Roman"/>
                <w:bCs/>
                <w:iCs/>
                <w:sz w:val="24"/>
                <w:szCs w:val="24"/>
              </w:rPr>
              <w:t> </w:t>
            </w:r>
            <w:r w:rsidRPr="00B87455">
              <w:rPr>
                <w:rFonts w:ascii="Times New Roman" w:hAnsi="Times New Roman"/>
                <w:bCs/>
                <w:iCs/>
                <w:sz w:val="24"/>
                <w:szCs w:val="24"/>
              </w:rPr>
              <w:t>získaná data sdílena v</w:t>
            </w:r>
            <w:r w:rsidR="0038289E" w:rsidRPr="00B87455">
              <w:rPr>
                <w:rFonts w:ascii="Times New Roman" w:hAnsi="Times New Roman"/>
                <w:bCs/>
                <w:iCs/>
                <w:sz w:val="24"/>
                <w:szCs w:val="24"/>
              </w:rPr>
              <w:t> </w:t>
            </w:r>
            <w:r w:rsidRPr="00B87455">
              <w:rPr>
                <w:rFonts w:ascii="Times New Roman" w:hAnsi="Times New Roman"/>
                <w:bCs/>
                <w:iCs/>
                <w:sz w:val="24"/>
                <w:szCs w:val="24"/>
              </w:rPr>
              <w:t>rámci státní správy pro výkazní účely včetně povinností vůči Evropské komisi a</w:t>
            </w:r>
            <w:r w:rsidR="0038289E" w:rsidRPr="00B87455">
              <w:rPr>
                <w:rFonts w:ascii="Times New Roman" w:hAnsi="Times New Roman"/>
                <w:bCs/>
                <w:iCs/>
                <w:sz w:val="24"/>
                <w:szCs w:val="24"/>
              </w:rPr>
              <w:t> </w:t>
            </w:r>
            <w:r w:rsidRPr="00B87455">
              <w:rPr>
                <w:rFonts w:ascii="Times New Roman" w:hAnsi="Times New Roman"/>
                <w:bCs/>
                <w:iCs/>
                <w:sz w:val="24"/>
                <w:szCs w:val="24"/>
              </w:rPr>
              <w:t>také další žádoucí osvětu veřejnosti. Pohonné hmoty jsou již ze své podstaty obecně nebezpečné chemické látky ohrožující zdraví a</w:t>
            </w:r>
            <w:r w:rsidR="0038289E" w:rsidRPr="00B87455">
              <w:rPr>
                <w:rFonts w:ascii="Times New Roman" w:hAnsi="Times New Roman"/>
                <w:bCs/>
                <w:iCs/>
                <w:sz w:val="24"/>
                <w:szCs w:val="24"/>
              </w:rPr>
              <w:t> </w:t>
            </w:r>
            <w:r w:rsidRPr="00B87455">
              <w:rPr>
                <w:rFonts w:ascii="Times New Roman" w:hAnsi="Times New Roman"/>
                <w:bCs/>
                <w:iCs/>
                <w:sz w:val="24"/>
                <w:szCs w:val="24"/>
              </w:rPr>
              <w:t>životní prostředí. Proto je nezbytné zákon</w:t>
            </w:r>
            <w:r w:rsidR="00590E90" w:rsidRPr="00B87455">
              <w:rPr>
                <w:rFonts w:ascii="Times New Roman" w:hAnsi="Times New Roman"/>
                <w:bCs/>
                <w:iCs/>
                <w:sz w:val="24"/>
                <w:szCs w:val="24"/>
              </w:rPr>
              <w:t>em</w:t>
            </w:r>
            <w:r w:rsidRPr="00B87455">
              <w:rPr>
                <w:rFonts w:ascii="Times New Roman" w:hAnsi="Times New Roman"/>
                <w:bCs/>
                <w:iCs/>
                <w:sz w:val="24"/>
                <w:szCs w:val="24"/>
              </w:rPr>
              <w:t xml:space="preserve"> stanovit pravidla </w:t>
            </w:r>
            <w:r w:rsidR="00764A54" w:rsidRPr="00B87455">
              <w:rPr>
                <w:rFonts w:ascii="Times New Roman" w:hAnsi="Times New Roman"/>
                <w:bCs/>
                <w:iCs/>
                <w:sz w:val="24"/>
                <w:szCs w:val="24"/>
              </w:rPr>
              <w:lastRenderedPageBreak/>
              <w:t>pro</w:t>
            </w:r>
            <w:r w:rsidRPr="00B87455">
              <w:rPr>
                <w:rFonts w:ascii="Times New Roman" w:hAnsi="Times New Roman"/>
                <w:bCs/>
                <w:iCs/>
                <w:sz w:val="24"/>
                <w:szCs w:val="24"/>
              </w:rPr>
              <w:t>  manipulac</w:t>
            </w:r>
            <w:r w:rsidR="00B551E5" w:rsidRPr="00B87455">
              <w:rPr>
                <w:rFonts w:ascii="Times New Roman" w:hAnsi="Times New Roman"/>
                <w:bCs/>
                <w:iCs/>
                <w:sz w:val="24"/>
                <w:szCs w:val="24"/>
              </w:rPr>
              <w:t>i</w:t>
            </w:r>
            <w:r w:rsidRPr="00B87455">
              <w:rPr>
                <w:rFonts w:ascii="Times New Roman" w:hAnsi="Times New Roman"/>
                <w:bCs/>
                <w:iCs/>
                <w:sz w:val="24"/>
                <w:szCs w:val="24"/>
              </w:rPr>
              <w:t xml:space="preserve"> </w:t>
            </w:r>
            <w:r w:rsidR="00DA30BA" w:rsidRPr="00B87455">
              <w:rPr>
                <w:rFonts w:ascii="Times New Roman" w:hAnsi="Times New Roman"/>
                <w:bCs/>
                <w:iCs/>
                <w:sz w:val="24"/>
                <w:szCs w:val="24"/>
              </w:rPr>
              <w:t>s</w:t>
            </w:r>
            <w:r w:rsidR="0038289E" w:rsidRPr="00B87455">
              <w:rPr>
                <w:rFonts w:ascii="Times New Roman" w:hAnsi="Times New Roman"/>
                <w:bCs/>
                <w:iCs/>
                <w:sz w:val="24"/>
                <w:szCs w:val="24"/>
              </w:rPr>
              <w:t> </w:t>
            </w:r>
            <w:r w:rsidR="00DA30BA" w:rsidRPr="00B87455">
              <w:rPr>
                <w:rFonts w:ascii="Times New Roman" w:hAnsi="Times New Roman"/>
                <w:bCs/>
                <w:iCs/>
                <w:sz w:val="24"/>
                <w:szCs w:val="24"/>
              </w:rPr>
              <w:t xml:space="preserve">nimi </w:t>
            </w:r>
            <w:r w:rsidRPr="00B87455">
              <w:rPr>
                <w:rFonts w:ascii="Times New Roman" w:hAnsi="Times New Roman"/>
                <w:bCs/>
                <w:iCs/>
                <w:sz w:val="24"/>
                <w:szCs w:val="24"/>
              </w:rPr>
              <w:t>a</w:t>
            </w:r>
            <w:r w:rsidR="0038289E" w:rsidRPr="00B87455">
              <w:rPr>
                <w:rFonts w:ascii="Times New Roman" w:hAnsi="Times New Roman"/>
                <w:bCs/>
                <w:iCs/>
                <w:sz w:val="24"/>
                <w:szCs w:val="24"/>
              </w:rPr>
              <w:t> </w:t>
            </w:r>
            <w:r w:rsidRPr="00B87455">
              <w:rPr>
                <w:rFonts w:ascii="Times New Roman" w:hAnsi="Times New Roman"/>
                <w:bCs/>
                <w:iCs/>
                <w:sz w:val="24"/>
                <w:szCs w:val="24"/>
              </w:rPr>
              <w:t>zajistit, že nakládání s</w:t>
            </w:r>
            <w:r w:rsidR="0038289E" w:rsidRPr="00B87455">
              <w:rPr>
                <w:rFonts w:ascii="Times New Roman" w:hAnsi="Times New Roman"/>
                <w:bCs/>
                <w:iCs/>
                <w:sz w:val="24"/>
                <w:szCs w:val="24"/>
              </w:rPr>
              <w:t> </w:t>
            </w:r>
            <w:r w:rsidRPr="00B87455">
              <w:rPr>
                <w:rFonts w:ascii="Times New Roman" w:hAnsi="Times New Roman"/>
                <w:bCs/>
                <w:iCs/>
                <w:sz w:val="24"/>
                <w:szCs w:val="24"/>
              </w:rPr>
              <w:t>nimi se odehrává na místech a</w:t>
            </w:r>
            <w:r w:rsidR="0038289E" w:rsidRPr="00B87455">
              <w:rPr>
                <w:rFonts w:ascii="Times New Roman" w:hAnsi="Times New Roman"/>
                <w:bCs/>
                <w:iCs/>
                <w:sz w:val="24"/>
                <w:szCs w:val="24"/>
              </w:rPr>
              <w:t> </w:t>
            </w:r>
            <w:r w:rsidRPr="00B87455">
              <w:rPr>
                <w:rFonts w:ascii="Times New Roman" w:hAnsi="Times New Roman"/>
                <w:bCs/>
                <w:iCs/>
                <w:sz w:val="24"/>
                <w:szCs w:val="24"/>
              </w:rPr>
              <w:t>v</w:t>
            </w:r>
            <w:r w:rsidR="0038289E" w:rsidRPr="00B87455">
              <w:rPr>
                <w:rFonts w:ascii="Times New Roman" w:hAnsi="Times New Roman"/>
                <w:bCs/>
                <w:iCs/>
                <w:sz w:val="24"/>
                <w:szCs w:val="24"/>
              </w:rPr>
              <w:t> </w:t>
            </w:r>
            <w:r w:rsidRPr="00B87455">
              <w:rPr>
                <w:rFonts w:ascii="Times New Roman" w:hAnsi="Times New Roman"/>
                <w:bCs/>
                <w:iCs/>
                <w:sz w:val="24"/>
                <w:szCs w:val="24"/>
              </w:rPr>
              <w:t>zařízeních k</w:t>
            </w:r>
            <w:r w:rsidR="0038289E" w:rsidRPr="00B87455">
              <w:rPr>
                <w:rFonts w:ascii="Times New Roman" w:hAnsi="Times New Roman"/>
                <w:bCs/>
                <w:iCs/>
                <w:sz w:val="24"/>
                <w:szCs w:val="24"/>
              </w:rPr>
              <w:t> </w:t>
            </w:r>
            <w:r w:rsidRPr="00B87455">
              <w:rPr>
                <w:rFonts w:ascii="Times New Roman" w:hAnsi="Times New Roman"/>
                <w:bCs/>
                <w:iCs/>
                <w:sz w:val="24"/>
                <w:szCs w:val="24"/>
              </w:rPr>
              <w:t>tomuto účelu konstruovaných a</w:t>
            </w:r>
            <w:r w:rsidR="0038289E" w:rsidRPr="00B87455">
              <w:rPr>
                <w:rFonts w:ascii="Times New Roman" w:hAnsi="Times New Roman"/>
                <w:bCs/>
                <w:iCs/>
                <w:sz w:val="24"/>
                <w:szCs w:val="24"/>
              </w:rPr>
              <w:t> </w:t>
            </w:r>
            <w:r w:rsidRPr="00B87455">
              <w:rPr>
                <w:rFonts w:ascii="Times New Roman" w:hAnsi="Times New Roman"/>
                <w:bCs/>
                <w:iCs/>
                <w:sz w:val="24"/>
                <w:szCs w:val="24"/>
              </w:rPr>
              <w:t>schválených.</w:t>
            </w:r>
            <w:r w:rsidR="00764A54" w:rsidRPr="00B87455">
              <w:rPr>
                <w:rFonts w:ascii="Times New Roman" w:hAnsi="Times New Roman"/>
                <w:bCs/>
                <w:iCs/>
                <w:sz w:val="24"/>
                <w:szCs w:val="24"/>
              </w:rPr>
              <w:t xml:space="preserve"> Za tím účele</w:t>
            </w:r>
            <w:r w:rsidR="00764A54" w:rsidRPr="002C3A4F">
              <w:rPr>
                <w:rFonts w:ascii="Times New Roman" w:hAnsi="Times New Roman"/>
                <w:bCs/>
                <w:iCs/>
                <w:sz w:val="24"/>
                <w:szCs w:val="24"/>
              </w:rPr>
              <w:t xml:space="preserve">m je nutné </w:t>
            </w:r>
            <w:r w:rsidR="00224BC1" w:rsidRPr="002C3A4F">
              <w:rPr>
                <w:rFonts w:ascii="Times New Roman" w:hAnsi="Times New Roman"/>
                <w:bCs/>
                <w:iCs/>
                <w:sz w:val="24"/>
                <w:szCs w:val="24"/>
              </w:rPr>
              <w:t xml:space="preserve">definovat </w:t>
            </w:r>
            <w:r w:rsidR="00764A54" w:rsidRPr="002C3A4F">
              <w:rPr>
                <w:rFonts w:ascii="Times New Roman" w:hAnsi="Times New Roman"/>
                <w:bCs/>
                <w:iCs/>
                <w:sz w:val="24"/>
                <w:szCs w:val="24"/>
              </w:rPr>
              <w:t>činnosti</w:t>
            </w:r>
            <w:r w:rsidR="00224BC1" w:rsidRPr="002C3A4F">
              <w:rPr>
                <w:rFonts w:ascii="Times New Roman" w:hAnsi="Times New Roman"/>
                <w:bCs/>
                <w:iCs/>
                <w:sz w:val="24"/>
                <w:szCs w:val="24"/>
              </w:rPr>
              <w:t>,</w:t>
            </w:r>
            <w:r w:rsidR="00764A54" w:rsidRPr="002C3A4F">
              <w:rPr>
                <w:rFonts w:ascii="Times New Roman" w:hAnsi="Times New Roman"/>
                <w:bCs/>
                <w:iCs/>
                <w:sz w:val="24"/>
                <w:szCs w:val="24"/>
              </w:rPr>
              <w:t xml:space="preserve"> </w:t>
            </w:r>
            <w:r w:rsidR="00224BC1" w:rsidRPr="002C3A4F">
              <w:rPr>
                <w:rFonts w:ascii="Times New Roman" w:hAnsi="Times New Roman"/>
                <w:bCs/>
                <w:iCs/>
                <w:sz w:val="24"/>
                <w:szCs w:val="24"/>
              </w:rPr>
              <w:t xml:space="preserve">spojené s plněním přepravních nádrží cisternových automobilů či kontejnerů a stanovit ta zařízení, která jsou pro takovou činnost konstruována a povolena. Těmi nejsou čerpací stanice, jejichž prvotní poslání je prodej pohonných hmot do nádrží vozidel konečných uživatelů.  </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s>
              <w:spacing w:before="120" w:after="120" w:line="264" w:lineRule="auto"/>
              <w:rPr>
                <w:rFonts w:ascii="Times New Roman" w:hAnsi="Times New Roman"/>
                <w:bCs/>
                <w:sz w:val="24"/>
                <w:szCs w:val="24"/>
              </w:rPr>
            </w:pPr>
            <w:r w:rsidRPr="00B87455">
              <w:rPr>
                <w:rFonts w:ascii="Times New Roman" w:hAnsi="Times New Roman"/>
                <w:bCs/>
                <w:sz w:val="24"/>
                <w:szCs w:val="24"/>
              </w:rPr>
              <w:lastRenderedPageBreak/>
              <w:t>3. Agregované dopady návrhu zákona</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38289E">
            <w:pPr>
              <w:widowControl w:val="0"/>
              <w:tabs>
                <w:tab w:val="left" w:pos="1037"/>
              </w:tabs>
              <w:spacing w:before="120" w:after="120" w:line="264" w:lineRule="auto"/>
              <w:rPr>
                <w:rFonts w:ascii="Times New Roman" w:hAnsi="Times New Roman"/>
                <w:bCs/>
                <w:sz w:val="24"/>
                <w:szCs w:val="24"/>
              </w:rPr>
            </w:pPr>
            <w:r w:rsidRPr="00B87455">
              <w:rPr>
                <w:rFonts w:ascii="Times New Roman" w:hAnsi="Times New Roman"/>
                <w:bCs/>
                <w:sz w:val="24"/>
                <w:szCs w:val="24"/>
              </w:rPr>
              <w:t>3.1 Dopady na státní rozpočet a</w:t>
            </w:r>
            <w:r w:rsidR="0038289E" w:rsidRPr="00B87455">
              <w:rPr>
                <w:rFonts w:ascii="Times New Roman" w:hAnsi="Times New Roman"/>
                <w:bCs/>
                <w:sz w:val="24"/>
                <w:szCs w:val="24"/>
              </w:rPr>
              <w:t> </w:t>
            </w:r>
            <w:r w:rsidRPr="00B87455">
              <w:rPr>
                <w:rFonts w:ascii="Times New Roman" w:hAnsi="Times New Roman"/>
                <w:bCs/>
                <w:sz w:val="24"/>
                <w:szCs w:val="24"/>
              </w:rPr>
              <w:t>ostatní veřejné rozpočty: NE</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highlight w:val="yellow"/>
              </w:rPr>
            </w:pP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s>
              <w:spacing w:before="120" w:after="120" w:line="264" w:lineRule="auto"/>
              <w:rPr>
                <w:rFonts w:ascii="Times New Roman" w:hAnsi="Times New Roman"/>
                <w:bCs/>
                <w:sz w:val="24"/>
                <w:szCs w:val="24"/>
              </w:rPr>
            </w:pPr>
            <w:r w:rsidRPr="00B87455">
              <w:rPr>
                <w:rFonts w:ascii="Times New Roman" w:hAnsi="Times New Roman"/>
                <w:bCs/>
                <w:sz w:val="24"/>
                <w:szCs w:val="24"/>
              </w:rPr>
              <w:t xml:space="preserve">3.2 Dopady na podnikatelské subjekty: Ano </w:t>
            </w:r>
          </w:p>
        </w:tc>
      </w:tr>
    </w:tbl>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0"/>
      </w:tblGrid>
      <w:tr w:rsidR="005631F2" w:rsidRPr="00B87455" w:rsidTr="00F47500">
        <w:trPr>
          <w:jc w:val="center"/>
        </w:trPr>
        <w:tc>
          <w:tcPr>
            <w:tcW w:w="9468" w:type="dxa"/>
            <w:tcBorders>
              <w:top w:val="single" w:sz="4" w:space="0" w:color="auto"/>
              <w:left w:val="single" w:sz="12" w:space="0" w:color="auto"/>
              <w:bottom w:val="single" w:sz="12" w:space="0" w:color="auto"/>
              <w:right w:val="single" w:sz="12" w:space="0" w:color="auto"/>
            </w:tcBorders>
          </w:tcPr>
          <w:p w:rsidR="005631F2" w:rsidRPr="00B87455" w:rsidRDefault="005631F2" w:rsidP="00BA6DB5">
            <w:pPr>
              <w:tabs>
                <w:tab w:val="left" w:pos="6660"/>
              </w:tabs>
              <w:spacing w:before="120" w:after="120" w:line="240" w:lineRule="auto"/>
              <w:jc w:val="both"/>
              <w:rPr>
                <w:rFonts w:ascii="Times New Roman" w:hAnsi="Times New Roman"/>
                <w:bCs/>
                <w:iCs/>
                <w:sz w:val="24"/>
                <w:szCs w:val="24"/>
              </w:rPr>
            </w:pPr>
            <w:r w:rsidRPr="00B87455">
              <w:rPr>
                <w:rFonts w:ascii="Times New Roman" w:hAnsi="Times New Roman"/>
                <w:bCs/>
                <w:iCs/>
                <w:sz w:val="24"/>
                <w:szCs w:val="24"/>
              </w:rPr>
              <w:t>Podnikatelské subjekty, kterých se týká část navrhovaných úprav zákona stanovující výjimky z</w:t>
            </w:r>
            <w:r w:rsidR="0038289E" w:rsidRPr="00B87455">
              <w:rPr>
                <w:rFonts w:ascii="Times New Roman" w:hAnsi="Times New Roman"/>
                <w:bCs/>
                <w:iCs/>
                <w:sz w:val="24"/>
                <w:szCs w:val="24"/>
              </w:rPr>
              <w:t> </w:t>
            </w:r>
            <w:r w:rsidRPr="00B87455">
              <w:rPr>
                <w:rFonts w:ascii="Times New Roman" w:hAnsi="Times New Roman"/>
                <w:bCs/>
                <w:iCs/>
                <w:sz w:val="24"/>
                <w:szCs w:val="24"/>
              </w:rPr>
              <w:t>definice distributora pohonných hmot, získ</w:t>
            </w:r>
            <w:r w:rsidR="00EA30A8" w:rsidRPr="00B87455">
              <w:rPr>
                <w:rFonts w:ascii="Times New Roman" w:hAnsi="Times New Roman"/>
                <w:bCs/>
                <w:iCs/>
                <w:sz w:val="24"/>
                <w:szCs w:val="24"/>
              </w:rPr>
              <w:t>ají</w:t>
            </w:r>
            <w:r w:rsidRPr="00B87455">
              <w:rPr>
                <w:rFonts w:ascii="Times New Roman" w:hAnsi="Times New Roman"/>
                <w:bCs/>
                <w:iCs/>
                <w:sz w:val="24"/>
                <w:szCs w:val="24"/>
              </w:rPr>
              <w:t xml:space="preserve"> větší právní jistotu při </w:t>
            </w:r>
            <w:r w:rsidR="002E3421" w:rsidRPr="00B87455">
              <w:rPr>
                <w:rFonts w:ascii="Times New Roman" w:hAnsi="Times New Roman"/>
                <w:bCs/>
                <w:iCs/>
                <w:sz w:val="24"/>
                <w:szCs w:val="24"/>
              </w:rPr>
              <w:t xml:space="preserve">výkonu </w:t>
            </w:r>
            <w:r w:rsidRPr="00B87455">
              <w:rPr>
                <w:rFonts w:ascii="Times New Roman" w:hAnsi="Times New Roman"/>
                <w:bCs/>
                <w:iCs/>
                <w:sz w:val="24"/>
                <w:szCs w:val="24"/>
              </w:rPr>
              <w:t>své podnikatelské činnosti. Jedná se, bez rozlišení velikosti dotčených právnických osob i</w:t>
            </w:r>
            <w:r w:rsidR="0038289E" w:rsidRPr="00B87455">
              <w:rPr>
                <w:rFonts w:ascii="Times New Roman" w:hAnsi="Times New Roman"/>
                <w:bCs/>
                <w:iCs/>
                <w:sz w:val="24"/>
                <w:szCs w:val="24"/>
              </w:rPr>
              <w:t> </w:t>
            </w:r>
            <w:r w:rsidRPr="00B87455">
              <w:rPr>
                <w:rFonts w:ascii="Times New Roman" w:hAnsi="Times New Roman"/>
                <w:bCs/>
                <w:iCs/>
                <w:sz w:val="24"/>
                <w:szCs w:val="24"/>
              </w:rPr>
              <w:t>fyzických podnikatelů, zejména o</w:t>
            </w:r>
            <w:r w:rsidR="0038289E" w:rsidRPr="00B87455">
              <w:rPr>
                <w:rFonts w:ascii="Times New Roman" w:hAnsi="Times New Roman"/>
                <w:bCs/>
                <w:iCs/>
                <w:sz w:val="24"/>
                <w:szCs w:val="24"/>
              </w:rPr>
              <w:t> </w:t>
            </w:r>
            <w:r w:rsidRPr="00B87455">
              <w:rPr>
                <w:rFonts w:ascii="Times New Roman" w:hAnsi="Times New Roman"/>
                <w:bCs/>
                <w:iCs/>
                <w:sz w:val="24"/>
                <w:szCs w:val="24"/>
              </w:rPr>
              <w:t>zaměstnavatele, kteří svým zaměstnancům umožňují užívání služebních automobilů i</w:t>
            </w:r>
            <w:r w:rsidR="0038289E" w:rsidRPr="00B87455">
              <w:rPr>
                <w:rFonts w:ascii="Times New Roman" w:hAnsi="Times New Roman"/>
                <w:bCs/>
                <w:iCs/>
                <w:sz w:val="24"/>
                <w:szCs w:val="24"/>
              </w:rPr>
              <w:t> </w:t>
            </w:r>
            <w:r w:rsidRPr="00B87455">
              <w:rPr>
                <w:rFonts w:ascii="Times New Roman" w:hAnsi="Times New Roman"/>
                <w:bCs/>
                <w:iCs/>
                <w:sz w:val="24"/>
                <w:szCs w:val="24"/>
              </w:rPr>
              <w:t>pro soukromé účely podle zákona o</w:t>
            </w:r>
            <w:r w:rsidR="0038289E" w:rsidRPr="00B87455">
              <w:rPr>
                <w:rFonts w:ascii="Times New Roman" w:hAnsi="Times New Roman"/>
                <w:bCs/>
                <w:iCs/>
                <w:sz w:val="24"/>
                <w:szCs w:val="24"/>
              </w:rPr>
              <w:t> </w:t>
            </w:r>
            <w:r w:rsidRPr="00B87455">
              <w:rPr>
                <w:rFonts w:ascii="Times New Roman" w:hAnsi="Times New Roman"/>
                <w:bCs/>
                <w:iCs/>
                <w:sz w:val="24"/>
                <w:szCs w:val="24"/>
              </w:rPr>
              <w:t>daních z</w:t>
            </w:r>
            <w:r w:rsidR="0038289E" w:rsidRPr="00B87455">
              <w:rPr>
                <w:rFonts w:ascii="Times New Roman" w:hAnsi="Times New Roman"/>
                <w:bCs/>
                <w:iCs/>
                <w:sz w:val="24"/>
                <w:szCs w:val="24"/>
              </w:rPr>
              <w:t> </w:t>
            </w:r>
            <w:r w:rsidRPr="00B87455">
              <w:rPr>
                <w:rFonts w:ascii="Times New Roman" w:hAnsi="Times New Roman"/>
                <w:bCs/>
                <w:iCs/>
                <w:sz w:val="24"/>
                <w:szCs w:val="24"/>
              </w:rPr>
              <w:t>příjmů, přičemž jim účtují pohonné hmoty soukromě spotřebované. Stejný dopad má navrhovaná změna i</w:t>
            </w:r>
            <w:r w:rsidR="0038289E" w:rsidRPr="00B87455">
              <w:rPr>
                <w:rFonts w:ascii="Times New Roman" w:hAnsi="Times New Roman"/>
                <w:bCs/>
                <w:iCs/>
                <w:sz w:val="24"/>
                <w:szCs w:val="24"/>
              </w:rPr>
              <w:t> </w:t>
            </w:r>
            <w:r w:rsidRPr="00B87455">
              <w:rPr>
                <w:rFonts w:ascii="Times New Roman" w:hAnsi="Times New Roman"/>
                <w:bCs/>
                <w:iCs/>
                <w:sz w:val="24"/>
                <w:szCs w:val="24"/>
              </w:rPr>
              <w:t>na pronajímatele vozidel, strojů a</w:t>
            </w:r>
            <w:r w:rsidR="0038289E" w:rsidRPr="00B87455">
              <w:rPr>
                <w:rFonts w:ascii="Times New Roman" w:hAnsi="Times New Roman"/>
                <w:bCs/>
                <w:iCs/>
                <w:sz w:val="24"/>
                <w:szCs w:val="24"/>
              </w:rPr>
              <w:t> </w:t>
            </w:r>
            <w:r w:rsidRPr="00B87455">
              <w:rPr>
                <w:rFonts w:ascii="Times New Roman" w:hAnsi="Times New Roman"/>
                <w:bCs/>
                <w:iCs/>
                <w:sz w:val="24"/>
                <w:szCs w:val="24"/>
              </w:rPr>
              <w:t>zařízení, ke kterým jsou dodávány pohonné hmoty v</w:t>
            </w:r>
            <w:r w:rsidR="0038289E" w:rsidRPr="00B87455">
              <w:rPr>
                <w:rFonts w:ascii="Times New Roman" w:hAnsi="Times New Roman"/>
                <w:bCs/>
                <w:iCs/>
                <w:sz w:val="24"/>
                <w:szCs w:val="24"/>
              </w:rPr>
              <w:t> </w:t>
            </w:r>
            <w:r w:rsidRPr="00B87455">
              <w:rPr>
                <w:rFonts w:ascii="Times New Roman" w:hAnsi="Times New Roman"/>
                <w:bCs/>
                <w:iCs/>
                <w:sz w:val="24"/>
                <w:szCs w:val="24"/>
              </w:rPr>
              <w:t>rámci náj</w:t>
            </w:r>
            <w:r w:rsidR="00DA30BA" w:rsidRPr="00B87455">
              <w:rPr>
                <w:rFonts w:ascii="Times New Roman" w:hAnsi="Times New Roman"/>
                <w:bCs/>
                <w:iCs/>
                <w:sz w:val="24"/>
                <w:szCs w:val="24"/>
              </w:rPr>
              <w:t>emního vztahu</w:t>
            </w:r>
            <w:r w:rsidRPr="00B87455">
              <w:rPr>
                <w:rFonts w:ascii="Times New Roman" w:hAnsi="Times New Roman"/>
                <w:bCs/>
                <w:iCs/>
                <w:sz w:val="24"/>
                <w:szCs w:val="24"/>
              </w:rPr>
              <w:t>. Ani v</w:t>
            </w:r>
            <w:r w:rsidR="0038289E" w:rsidRPr="00B87455">
              <w:rPr>
                <w:rFonts w:ascii="Times New Roman" w:hAnsi="Times New Roman"/>
                <w:bCs/>
                <w:iCs/>
                <w:sz w:val="24"/>
                <w:szCs w:val="24"/>
              </w:rPr>
              <w:t> </w:t>
            </w:r>
            <w:r w:rsidRPr="00B87455">
              <w:rPr>
                <w:rFonts w:ascii="Times New Roman" w:hAnsi="Times New Roman"/>
                <w:bCs/>
                <w:iCs/>
                <w:sz w:val="24"/>
                <w:szCs w:val="24"/>
              </w:rPr>
              <w:t>jednom z</w:t>
            </w:r>
            <w:r w:rsidR="0038289E" w:rsidRPr="00B87455">
              <w:rPr>
                <w:rFonts w:ascii="Times New Roman" w:hAnsi="Times New Roman"/>
                <w:bCs/>
                <w:iCs/>
                <w:sz w:val="24"/>
                <w:szCs w:val="24"/>
              </w:rPr>
              <w:t> </w:t>
            </w:r>
            <w:r w:rsidRPr="00B87455">
              <w:rPr>
                <w:rFonts w:ascii="Times New Roman" w:hAnsi="Times New Roman"/>
                <w:bCs/>
                <w:iCs/>
                <w:sz w:val="24"/>
                <w:szCs w:val="24"/>
              </w:rPr>
              <w:t>těchto případů nedochází a</w:t>
            </w:r>
            <w:r w:rsidR="0038289E" w:rsidRPr="00B87455">
              <w:rPr>
                <w:rFonts w:ascii="Times New Roman" w:hAnsi="Times New Roman"/>
                <w:bCs/>
                <w:iCs/>
                <w:sz w:val="24"/>
                <w:szCs w:val="24"/>
              </w:rPr>
              <w:t> </w:t>
            </w:r>
            <w:r w:rsidRPr="00B87455">
              <w:rPr>
                <w:rFonts w:ascii="Times New Roman" w:hAnsi="Times New Roman"/>
                <w:bCs/>
                <w:iCs/>
                <w:sz w:val="24"/>
                <w:szCs w:val="24"/>
              </w:rPr>
              <w:t>nemůže docházet k</w:t>
            </w:r>
            <w:r w:rsidR="0038289E" w:rsidRPr="00B87455">
              <w:rPr>
                <w:rFonts w:ascii="Times New Roman" w:hAnsi="Times New Roman"/>
                <w:bCs/>
                <w:iCs/>
                <w:sz w:val="24"/>
                <w:szCs w:val="24"/>
              </w:rPr>
              <w:t> </w:t>
            </w:r>
            <w:r w:rsidRPr="00B87455">
              <w:rPr>
                <w:rFonts w:ascii="Times New Roman" w:hAnsi="Times New Roman"/>
                <w:bCs/>
                <w:iCs/>
                <w:sz w:val="24"/>
                <w:szCs w:val="24"/>
              </w:rPr>
              <w:t>daňovým deliktům dotčenými subjekty a</w:t>
            </w:r>
            <w:r w:rsidR="0038289E" w:rsidRPr="00B87455">
              <w:rPr>
                <w:rFonts w:ascii="Times New Roman" w:hAnsi="Times New Roman"/>
                <w:bCs/>
                <w:iCs/>
                <w:sz w:val="24"/>
                <w:szCs w:val="24"/>
              </w:rPr>
              <w:t> </w:t>
            </w:r>
            <w:r w:rsidRPr="00B87455">
              <w:rPr>
                <w:rFonts w:ascii="Times New Roman" w:hAnsi="Times New Roman"/>
                <w:bCs/>
                <w:iCs/>
                <w:sz w:val="24"/>
                <w:szCs w:val="24"/>
              </w:rPr>
              <w:t>jejich vynětí z</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definice distributora je </w:t>
            </w:r>
            <w:r w:rsidR="00DE6DDA" w:rsidRPr="00B87455">
              <w:rPr>
                <w:rFonts w:ascii="Times New Roman" w:hAnsi="Times New Roman"/>
                <w:bCs/>
                <w:iCs/>
                <w:sz w:val="24"/>
                <w:szCs w:val="24"/>
              </w:rPr>
              <w:t xml:space="preserve">tedy </w:t>
            </w:r>
            <w:r w:rsidRPr="00B87455">
              <w:rPr>
                <w:rFonts w:ascii="Times New Roman" w:hAnsi="Times New Roman"/>
                <w:bCs/>
                <w:iCs/>
                <w:sz w:val="24"/>
                <w:szCs w:val="24"/>
              </w:rPr>
              <w:t>oprávněné.</w:t>
            </w:r>
            <w:r w:rsidRPr="00B87455">
              <w:rPr>
                <w:rFonts w:ascii="Times New Roman" w:hAnsi="Times New Roman"/>
                <w:bCs/>
                <w:iCs/>
                <w:sz w:val="24"/>
                <w:szCs w:val="24"/>
              </w:rPr>
              <w:br/>
              <w:t xml:space="preserve">U provozovatelů výdejních </w:t>
            </w:r>
            <w:r w:rsidR="00CE2CB2" w:rsidRPr="00B87455">
              <w:rPr>
                <w:rFonts w:ascii="Times New Roman" w:hAnsi="Times New Roman"/>
                <w:bCs/>
                <w:iCs/>
                <w:sz w:val="24"/>
                <w:szCs w:val="24"/>
              </w:rPr>
              <w:t>jednotek</w:t>
            </w:r>
            <w:r w:rsidRPr="00B87455">
              <w:rPr>
                <w:rFonts w:ascii="Times New Roman" w:hAnsi="Times New Roman"/>
                <w:bCs/>
                <w:iCs/>
                <w:sz w:val="24"/>
                <w:szCs w:val="24"/>
              </w:rPr>
              <w:t xml:space="preserve"> pohonných hmot pak návrh novely </w:t>
            </w:r>
            <w:r w:rsidR="00AA32AD" w:rsidRPr="00B87455">
              <w:rPr>
                <w:rFonts w:ascii="Times New Roman" w:hAnsi="Times New Roman"/>
                <w:bCs/>
                <w:iCs/>
                <w:sz w:val="24"/>
                <w:szCs w:val="24"/>
              </w:rPr>
              <w:t xml:space="preserve">zákona </w:t>
            </w:r>
            <w:r w:rsidRPr="00B87455">
              <w:rPr>
                <w:rFonts w:ascii="Times New Roman" w:hAnsi="Times New Roman"/>
                <w:bCs/>
                <w:iCs/>
                <w:sz w:val="24"/>
                <w:szCs w:val="24"/>
              </w:rPr>
              <w:t>předpokládá vedení evidence o</w:t>
            </w:r>
            <w:r w:rsidR="0038289E" w:rsidRPr="00B87455">
              <w:rPr>
                <w:rFonts w:ascii="Times New Roman" w:hAnsi="Times New Roman"/>
                <w:bCs/>
                <w:iCs/>
                <w:sz w:val="24"/>
                <w:szCs w:val="24"/>
              </w:rPr>
              <w:t> </w:t>
            </w:r>
            <w:r w:rsidRPr="00B87455">
              <w:rPr>
                <w:rFonts w:ascii="Times New Roman" w:hAnsi="Times New Roman"/>
                <w:bCs/>
                <w:iCs/>
                <w:sz w:val="24"/>
                <w:szCs w:val="24"/>
              </w:rPr>
              <w:t>vydaných pohonných hmotách pro potřebu</w:t>
            </w:r>
            <w:r w:rsidR="00C27AC6" w:rsidRPr="00B87455">
              <w:rPr>
                <w:rFonts w:ascii="Times New Roman" w:hAnsi="Times New Roman"/>
                <w:bCs/>
                <w:iCs/>
                <w:sz w:val="24"/>
                <w:szCs w:val="24"/>
              </w:rPr>
              <w:t xml:space="preserve"> vlastní</w:t>
            </w:r>
            <w:r w:rsidRPr="00B87455">
              <w:rPr>
                <w:rFonts w:ascii="Times New Roman" w:hAnsi="Times New Roman"/>
                <w:bCs/>
                <w:iCs/>
                <w:sz w:val="24"/>
                <w:szCs w:val="24"/>
              </w:rPr>
              <w:t xml:space="preserve"> i</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potřebu daňově spřízněných subjektů. Podle informací, které poskytly zejména profesní asociace </w:t>
            </w:r>
            <w:r w:rsidR="00C27AC6" w:rsidRPr="00B87455">
              <w:rPr>
                <w:rFonts w:ascii="Times New Roman" w:hAnsi="Times New Roman"/>
                <w:bCs/>
                <w:iCs/>
                <w:sz w:val="24"/>
                <w:szCs w:val="24"/>
              </w:rPr>
              <w:t>podnikatelů</w:t>
            </w:r>
            <w:r w:rsidRPr="00B87455">
              <w:rPr>
                <w:rFonts w:ascii="Times New Roman" w:hAnsi="Times New Roman"/>
                <w:bCs/>
                <w:iCs/>
                <w:sz w:val="24"/>
                <w:szCs w:val="24"/>
              </w:rPr>
              <w:t>, které se touto činností zabývají, je takov</w:t>
            </w:r>
            <w:r w:rsidR="00340C54" w:rsidRPr="00B87455">
              <w:rPr>
                <w:rFonts w:ascii="Times New Roman" w:hAnsi="Times New Roman"/>
                <w:bCs/>
                <w:iCs/>
                <w:sz w:val="24"/>
                <w:szCs w:val="24"/>
              </w:rPr>
              <w:t>á</w:t>
            </w:r>
            <w:r w:rsidR="00C27AC6" w:rsidRPr="00B87455">
              <w:rPr>
                <w:rFonts w:ascii="Times New Roman" w:hAnsi="Times New Roman"/>
                <w:bCs/>
                <w:iCs/>
                <w:sz w:val="24"/>
                <w:szCs w:val="24"/>
              </w:rPr>
              <w:t>,</w:t>
            </w:r>
            <w:r w:rsidR="00837C18">
              <w:rPr>
                <w:rFonts w:ascii="Times New Roman" w:hAnsi="Times New Roman"/>
                <w:bCs/>
                <w:iCs/>
                <w:sz w:val="24"/>
                <w:szCs w:val="24"/>
              </w:rPr>
              <w:t xml:space="preserve"> </w:t>
            </w:r>
            <w:r w:rsidRPr="00B87455">
              <w:rPr>
                <w:rFonts w:ascii="Times New Roman" w:hAnsi="Times New Roman"/>
                <w:bCs/>
                <w:iCs/>
                <w:sz w:val="24"/>
                <w:szCs w:val="24"/>
              </w:rPr>
              <w:t>evidence veden</w:t>
            </w:r>
            <w:r w:rsidR="00340C54" w:rsidRPr="00B87455">
              <w:rPr>
                <w:rFonts w:ascii="Times New Roman" w:hAnsi="Times New Roman"/>
                <w:bCs/>
                <w:iCs/>
                <w:sz w:val="24"/>
                <w:szCs w:val="24"/>
              </w:rPr>
              <w:t>a</w:t>
            </w:r>
            <w:r w:rsidRPr="00B87455">
              <w:rPr>
                <w:rFonts w:ascii="Times New Roman" w:hAnsi="Times New Roman"/>
                <w:bCs/>
                <w:iCs/>
                <w:sz w:val="24"/>
                <w:szCs w:val="24"/>
              </w:rPr>
              <w:t xml:space="preserve"> již dnes, návrh novely zákona o</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pohonných hmotách </w:t>
            </w:r>
            <w:r w:rsidR="002E3421" w:rsidRPr="00B87455">
              <w:rPr>
                <w:rFonts w:ascii="Times New Roman" w:hAnsi="Times New Roman"/>
                <w:bCs/>
                <w:iCs/>
                <w:sz w:val="24"/>
                <w:szCs w:val="24"/>
              </w:rPr>
              <w:t xml:space="preserve">ji pouze umožňuje zpřístupnit </w:t>
            </w:r>
            <w:r w:rsidRPr="00B87455">
              <w:rPr>
                <w:rFonts w:ascii="Times New Roman" w:hAnsi="Times New Roman"/>
                <w:bCs/>
                <w:iCs/>
                <w:sz w:val="24"/>
                <w:szCs w:val="24"/>
              </w:rPr>
              <w:t>příslušným kontrolním orgánům, což je požadavek zcela legitimní. Nepředpokládá se, že by vedení evidence výdeje pohonných hmot nově významně zatížilo dotčené subjekty. V</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návrhu novely </w:t>
            </w:r>
            <w:r w:rsidR="00AA32AD" w:rsidRPr="00B87455">
              <w:rPr>
                <w:rFonts w:ascii="Times New Roman" w:hAnsi="Times New Roman"/>
                <w:bCs/>
                <w:iCs/>
                <w:sz w:val="24"/>
                <w:szCs w:val="24"/>
              </w:rPr>
              <w:t xml:space="preserve">zákona </w:t>
            </w:r>
            <w:r w:rsidRPr="00B87455">
              <w:rPr>
                <w:rFonts w:ascii="Times New Roman" w:hAnsi="Times New Roman"/>
                <w:bCs/>
                <w:iCs/>
                <w:sz w:val="24"/>
                <w:szCs w:val="24"/>
              </w:rPr>
              <w:t xml:space="preserve">není zakotvena ani </w:t>
            </w:r>
            <w:r w:rsidR="002E3421" w:rsidRPr="00B87455">
              <w:rPr>
                <w:rFonts w:ascii="Times New Roman" w:hAnsi="Times New Roman"/>
                <w:bCs/>
                <w:iCs/>
                <w:sz w:val="24"/>
                <w:szCs w:val="24"/>
              </w:rPr>
              <w:t xml:space="preserve">žádná </w:t>
            </w:r>
            <w:r w:rsidRPr="00B87455">
              <w:rPr>
                <w:rFonts w:ascii="Times New Roman" w:hAnsi="Times New Roman"/>
                <w:bCs/>
                <w:iCs/>
                <w:sz w:val="24"/>
                <w:szCs w:val="24"/>
              </w:rPr>
              <w:t>další výkazní povinnost výdeje pohonných hmot vůči státní správě. U</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nové povinnosti evidovat výdejní </w:t>
            </w:r>
            <w:r w:rsidR="00AA32AD" w:rsidRPr="00B87455">
              <w:rPr>
                <w:rFonts w:ascii="Times New Roman" w:hAnsi="Times New Roman"/>
                <w:bCs/>
                <w:iCs/>
                <w:sz w:val="24"/>
                <w:szCs w:val="24"/>
              </w:rPr>
              <w:t xml:space="preserve">jednotky </w:t>
            </w:r>
            <w:r w:rsidRPr="00B87455">
              <w:rPr>
                <w:rFonts w:ascii="Times New Roman" w:hAnsi="Times New Roman"/>
                <w:bCs/>
                <w:iCs/>
                <w:sz w:val="24"/>
                <w:szCs w:val="24"/>
              </w:rPr>
              <w:t>v</w:t>
            </w:r>
            <w:r w:rsidR="0038289E" w:rsidRPr="00B87455">
              <w:rPr>
                <w:rFonts w:ascii="Times New Roman" w:hAnsi="Times New Roman"/>
                <w:bCs/>
                <w:iCs/>
                <w:sz w:val="24"/>
                <w:szCs w:val="24"/>
              </w:rPr>
              <w:t> </w:t>
            </w:r>
            <w:r w:rsidR="00AA32AD" w:rsidRPr="00B87455">
              <w:rPr>
                <w:rFonts w:ascii="Times New Roman" w:hAnsi="Times New Roman"/>
                <w:bCs/>
                <w:iCs/>
                <w:sz w:val="24"/>
                <w:szCs w:val="24"/>
              </w:rPr>
              <w:t>evidenci</w:t>
            </w:r>
            <w:r w:rsidRPr="00B87455">
              <w:rPr>
                <w:rFonts w:ascii="Times New Roman" w:hAnsi="Times New Roman"/>
                <w:bCs/>
                <w:iCs/>
                <w:sz w:val="24"/>
                <w:szCs w:val="24"/>
              </w:rPr>
              <w:t xml:space="preserve"> Ministerstva průmyslu a</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obchodu se rovněž neočekává zásadní zatížení podnikatelských subjektů, které výdejní </w:t>
            </w:r>
            <w:r w:rsidR="00AA32AD" w:rsidRPr="00B87455">
              <w:rPr>
                <w:rFonts w:ascii="Times New Roman" w:hAnsi="Times New Roman"/>
                <w:bCs/>
                <w:iCs/>
                <w:sz w:val="24"/>
                <w:szCs w:val="24"/>
              </w:rPr>
              <w:t xml:space="preserve">jednotky </w:t>
            </w:r>
            <w:r w:rsidRPr="00B87455">
              <w:rPr>
                <w:rFonts w:ascii="Times New Roman" w:hAnsi="Times New Roman"/>
                <w:bCs/>
                <w:iCs/>
                <w:sz w:val="24"/>
                <w:szCs w:val="24"/>
              </w:rPr>
              <w:t>vlastní. Již v</w:t>
            </w:r>
            <w:r w:rsidR="0038289E" w:rsidRPr="00B87455">
              <w:rPr>
                <w:rFonts w:ascii="Times New Roman" w:hAnsi="Times New Roman"/>
                <w:bCs/>
                <w:iCs/>
                <w:sz w:val="24"/>
                <w:szCs w:val="24"/>
              </w:rPr>
              <w:t> </w:t>
            </w:r>
            <w:r w:rsidRPr="00B87455">
              <w:rPr>
                <w:rFonts w:ascii="Times New Roman" w:hAnsi="Times New Roman"/>
                <w:bCs/>
                <w:iCs/>
                <w:sz w:val="24"/>
                <w:szCs w:val="24"/>
              </w:rPr>
              <w:t>současné databázi čerpacích stanic v</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ČR vedené </w:t>
            </w:r>
            <w:r w:rsidR="004A448E" w:rsidRPr="00B87455">
              <w:rPr>
                <w:rFonts w:ascii="Times New Roman" w:hAnsi="Times New Roman"/>
                <w:bCs/>
                <w:iCs/>
                <w:sz w:val="24"/>
                <w:szCs w:val="24"/>
              </w:rPr>
              <w:t>M</w:t>
            </w:r>
            <w:r w:rsidRPr="00B87455">
              <w:rPr>
                <w:rFonts w:ascii="Times New Roman" w:hAnsi="Times New Roman"/>
                <w:bCs/>
                <w:iCs/>
                <w:sz w:val="24"/>
                <w:szCs w:val="24"/>
              </w:rPr>
              <w:t>inisterstvem</w:t>
            </w:r>
            <w:r w:rsidR="004A448E" w:rsidRPr="00B87455">
              <w:rPr>
                <w:rFonts w:ascii="Times New Roman" w:hAnsi="Times New Roman"/>
                <w:bCs/>
                <w:iCs/>
                <w:sz w:val="24"/>
                <w:szCs w:val="24"/>
              </w:rPr>
              <w:t xml:space="preserve"> průmyslu a</w:t>
            </w:r>
            <w:r w:rsidR="0038289E" w:rsidRPr="00B87455">
              <w:rPr>
                <w:rFonts w:ascii="Times New Roman" w:hAnsi="Times New Roman"/>
                <w:bCs/>
                <w:iCs/>
                <w:sz w:val="24"/>
                <w:szCs w:val="24"/>
              </w:rPr>
              <w:t> </w:t>
            </w:r>
            <w:r w:rsidR="004A448E" w:rsidRPr="00B87455">
              <w:rPr>
                <w:rFonts w:ascii="Times New Roman" w:hAnsi="Times New Roman"/>
                <w:bCs/>
                <w:iCs/>
                <w:sz w:val="24"/>
                <w:szCs w:val="24"/>
              </w:rPr>
              <w:t>obchodu</w:t>
            </w:r>
            <w:r w:rsidR="00C27AC6" w:rsidRPr="00B87455">
              <w:rPr>
                <w:rFonts w:ascii="Times New Roman" w:hAnsi="Times New Roman"/>
                <w:bCs/>
                <w:iCs/>
                <w:sz w:val="24"/>
                <w:szCs w:val="24"/>
              </w:rPr>
              <w:t>,</w:t>
            </w:r>
            <w:r w:rsidRPr="00B87455">
              <w:rPr>
                <w:rFonts w:ascii="Times New Roman" w:hAnsi="Times New Roman"/>
                <w:bCs/>
                <w:iCs/>
                <w:sz w:val="24"/>
                <w:szCs w:val="24"/>
              </w:rPr>
              <w:t xml:space="preserve"> je evidováno více než 3000 zařízení, která mají charakter neveřejných čerpacích stanic, a</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tedy reprezentují právě výdejní </w:t>
            </w:r>
            <w:r w:rsidR="00AA32AD" w:rsidRPr="00B87455">
              <w:rPr>
                <w:rFonts w:ascii="Times New Roman" w:hAnsi="Times New Roman"/>
                <w:bCs/>
                <w:iCs/>
                <w:sz w:val="24"/>
                <w:szCs w:val="24"/>
              </w:rPr>
              <w:t>jednotky</w:t>
            </w:r>
            <w:r w:rsidRPr="00B87455">
              <w:rPr>
                <w:rFonts w:ascii="Times New Roman" w:hAnsi="Times New Roman"/>
                <w:bCs/>
                <w:iCs/>
                <w:sz w:val="24"/>
                <w:szCs w:val="24"/>
              </w:rPr>
              <w:t xml:space="preserve"> svých </w:t>
            </w:r>
            <w:r w:rsidR="002E3421" w:rsidRPr="00B87455">
              <w:rPr>
                <w:rFonts w:ascii="Times New Roman" w:hAnsi="Times New Roman"/>
                <w:bCs/>
                <w:iCs/>
                <w:sz w:val="24"/>
                <w:szCs w:val="24"/>
              </w:rPr>
              <w:t>vlastníků</w:t>
            </w:r>
            <w:r w:rsidRPr="00B87455">
              <w:rPr>
                <w:rFonts w:ascii="Times New Roman" w:hAnsi="Times New Roman"/>
                <w:bCs/>
                <w:iCs/>
                <w:sz w:val="24"/>
                <w:szCs w:val="24"/>
              </w:rPr>
              <w:t>.</w:t>
            </w:r>
          </w:p>
          <w:p w:rsidR="005631F2" w:rsidRPr="00B87455" w:rsidRDefault="005631F2" w:rsidP="00F47500">
            <w:pPr>
              <w:tabs>
                <w:tab w:val="left" w:pos="6660"/>
              </w:tabs>
              <w:spacing w:line="240" w:lineRule="auto"/>
              <w:rPr>
                <w:rFonts w:ascii="Times New Roman" w:hAnsi="Times New Roman"/>
                <w:bCs/>
                <w:iCs/>
                <w:sz w:val="24"/>
                <w:szCs w:val="24"/>
              </w:rPr>
            </w:pPr>
            <w:r w:rsidRPr="00B87455">
              <w:rPr>
                <w:rFonts w:ascii="Times New Roman" w:hAnsi="Times New Roman"/>
                <w:bCs/>
                <w:iCs/>
                <w:sz w:val="24"/>
                <w:szCs w:val="24"/>
              </w:rPr>
              <w:t>V návrhu uvažované změny zákona o</w:t>
            </w:r>
            <w:r w:rsidR="0038289E" w:rsidRPr="00B87455">
              <w:rPr>
                <w:rFonts w:ascii="Times New Roman" w:hAnsi="Times New Roman"/>
                <w:bCs/>
                <w:iCs/>
                <w:sz w:val="24"/>
                <w:szCs w:val="24"/>
              </w:rPr>
              <w:t> </w:t>
            </w:r>
            <w:r w:rsidRPr="00B87455">
              <w:rPr>
                <w:rFonts w:ascii="Times New Roman" w:hAnsi="Times New Roman"/>
                <w:bCs/>
                <w:iCs/>
                <w:sz w:val="24"/>
                <w:szCs w:val="24"/>
              </w:rPr>
              <w:t>pohonných hmotách nebudou mít žádný dopad na trh práce.</w:t>
            </w:r>
          </w:p>
          <w:p w:rsidR="005631F2" w:rsidRPr="00B87455" w:rsidRDefault="005631F2" w:rsidP="00F47500">
            <w:pPr>
              <w:tabs>
                <w:tab w:val="left" w:pos="6660"/>
              </w:tabs>
              <w:spacing w:line="240" w:lineRule="auto"/>
              <w:rPr>
                <w:rFonts w:ascii="Times New Roman" w:hAnsi="Times New Roman"/>
                <w:b/>
                <w:bCs/>
                <w:i/>
                <w:iCs/>
                <w:sz w:val="24"/>
                <w:szCs w:val="24"/>
              </w:rPr>
            </w:pP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369"/>
        </w:trPr>
        <w:tc>
          <w:tcPr>
            <w:tcW w:w="9480" w:type="dxa"/>
            <w:tcBorders>
              <w:bottom w:val="single" w:sz="12" w:space="0" w:color="000001"/>
            </w:tcBorders>
            <w:shd w:val="clear" w:color="auto" w:fill="FFFFFF"/>
            <w:tcMar>
              <w:left w:w="0" w:type="dxa"/>
            </w:tcMar>
          </w:tcPr>
          <w:p w:rsidR="005631F2" w:rsidRPr="00B87455" w:rsidRDefault="005631F2" w:rsidP="00F47500">
            <w:pPr>
              <w:spacing w:before="120" w:after="120" w:line="264" w:lineRule="auto"/>
              <w:jc w:val="both"/>
              <w:rPr>
                <w:rFonts w:ascii="Times New Roman" w:hAnsi="Times New Roman"/>
                <w:sz w:val="24"/>
                <w:szCs w:val="24"/>
              </w:rPr>
            </w:pP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369"/>
        </w:trPr>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3.3 Dopady na mezinárodní konkurenceschopnost ČR: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369"/>
        </w:trPr>
        <w:tc>
          <w:tcPr>
            <w:tcW w:w="9480" w:type="dxa"/>
            <w:tcBorders>
              <w:bottom w:val="single" w:sz="12" w:space="0" w:color="000001"/>
            </w:tcBorders>
            <w:shd w:val="clear" w:color="auto" w:fill="FFFF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i/>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s>
              <w:spacing w:before="120" w:after="120" w:line="264" w:lineRule="auto"/>
              <w:rPr>
                <w:rFonts w:ascii="Times New Roman" w:hAnsi="Times New Roman"/>
                <w:bCs/>
                <w:sz w:val="24"/>
                <w:szCs w:val="24"/>
              </w:rPr>
            </w:pPr>
            <w:r w:rsidRPr="00B87455">
              <w:rPr>
                <w:rFonts w:ascii="Times New Roman" w:hAnsi="Times New Roman"/>
                <w:bCs/>
                <w:sz w:val="24"/>
                <w:szCs w:val="24"/>
              </w:rPr>
              <w:lastRenderedPageBreak/>
              <w:t>3.4 Dopady na územní samosprávné celky (obce, kraje):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FFFF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 w:val="left" w:pos="3970"/>
              </w:tabs>
              <w:spacing w:before="120" w:after="120" w:line="264" w:lineRule="auto"/>
              <w:rPr>
                <w:rFonts w:ascii="Times New Roman" w:hAnsi="Times New Roman"/>
                <w:bCs/>
                <w:sz w:val="24"/>
                <w:szCs w:val="24"/>
              </w:rPr>
            </w:pPr>
            <w:r w:rsidRPr="00B87455">
              <w:rPr>
                <w:rFonts w:ascii="Times New Roman" w:hAnsi="Times New Roman"/>
                <w:bCs/>
                <w:sz w:val="24"/>
                <w:szCs w:val="24"/>
              </w:rPr>
              <w:t>3.5 Sociální dopady: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FFFF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3.6 Dopady na spotřebitele: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FFFFFF"/>
            <w:tcMar>
              <w:left w:w="0" w:type="dxa"/>
            </w:tcMar>
          </w:tcPr>
          <w:p w:rsidR="005631F2" w:rsidRPr="00B87455" w:rsidRDefault="005631F2" w:rsidP="00F47500">
            <w:pPr>
              <w:rPr>
                <w:rFonts w:ascii="Times New Roman" w:hAnsi="Times New Roman"/>
                <w:bCs/>
                <w:sz w:val="24"/>
                <w:szCs w:val="24"/>
              </w:rPr>
            </w:pP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3.7 Dopady na životní prostředí: Ano</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FFFFFF"/>
            <w:tcMar>
              <w:left w:w="0" w:type="dxa"/>
            </w:tcMar>
          </w:tcPr>
          <w:p w:rsidR="005631F2" w:rsidRPr="00B87455" w:rsidRDefault="0077233E" w:rsidP="0038289E">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 xml:space="preserve">Jelikož návrh zákona nově </w:t>
            </w:r>
            <w:r w:rsidR="00C27AC6" w:rsidRPr="00B87455">
              <w:rPr>
                <w:rFonts w:ascii="Times New Roman" w:hAnsi="Times New Roman"/>
                <w:bCs/>
                <w:sz w:val="24"/>
                <w:szCs w:val="24"/>
              </w:rPr>
              <w:t>a</w:t>
            </w:r>
            <w:r w:rsidR="0038289E" w:rsidRPr="00B87455">
              <w:rPr>
                <w:rFonts w:ascii="Times New Roman" w:hAnsi="Times New Roman"/>
                <w:bCs/>
                <w:sz w:val="24"/>
                <w:szCs w:val="24"/>
              </w:rPr>
              <w:t> </w:t>
            </w:r>
            <w:r w:rsidR="00C27AC6" w:rsidRPr="00B87455">
              <w:rPr>
                <w:rFonts w:ascii="Times New Roman" w:hAnsi="Times New Roman"/>
                <w:bCs/>
                <w:sz w:val="24"/>
                <w:szCs w:val="24"/>
              </w:rPr>
              <w:t>srovnatelně s</w:t>
            </w:r>
            <w:r w:rsidR="0038289E" w:rsidRPr="00B87455">
              <w:rPr>
                <w:rFonts w:ascii="Times New Roman" w:hAnsi="Times New Roman"/>
                <w:bCs/>
                <w:sz w:val="24"/>
                <w:szCs w:val="24"/>
              </w:rPr>
              <w:t> </w:t>
            </w:r>
            <w:r w:rsidR="00C27AC6" w:rsidRPr="00B87455">
              <w:rPr>
                <w:rFonts w:ascii="Times New Roman" w:hAnsi="Times New Roman"/>
                <w:bCs/>
                <w:sz w:val="24"/>
                <w:szCs w:val="24"/>
              </w:rPr>
              <w:t xml:space="preserve">čerpacími stanicemi </w:t>
            </w:r>
            <w:r w:rsidRPr="00B87455">
              <w:rPr>
                <w:rFonts w:ascii="Times New Roman" w:hAnsi="Times New Roman"/>
                <w:bCs/>
                <w:sz w:val="24"/>
                <w:szCs w:val="24"/>
              </w:rPr>
              <w:t xml:space="preserve">přiřazuje vlastníkům výdejních jednotek povinnost </w:t>
            </w:r>
            <w:r w:rsidR="00496CB6" w:rsidRPr="00B87455">
              <w:rPr>
                <w:rFonts w:ascii="Times New Roman" w:hAnsi="Times New Roman"/>
                <w:color w:val="000000"/>
                <w:sz w:val="24"/>
                <w:szCs w:val="24"/>
              </w:rPr>
              <w:t>zajistit, aby při provozu výdejní jednotky nedošlo k</w:t>
            </w:r>
            <w:r w:rsidR="0038289E" w:rsidRPr="00B87455">
              <w:rPr>
                <w:rFonts w:ascii="Times New Roman" w:hAnsi="Times New Roman"/>
                <w:color w:val="000000"/>
                <w:sz w:val="24"/>
                <w:szCs w:val="24"/>
              </w:rPr>
              <w:t> </w:t>
            </w:r>
            <w:r w:rsidR="00496CB6" w:rsidRPr="00B87455">
              <w:rPr>
                <w:rFonts w:ascii="Times New Roman" w:hAnsi="Times New Roman"/>
                <w:color w:val="000000"/>
                <w:sz w:val="24"/>
                <w:szCs w:val="24"/>
              </w:rPr>
              <w:t>ohrožení života nebo zdraví osob, jejich majetku nebo životního prostředí, mělo by to mít pozitivní dopad na oblast životního prostředí.</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38289E">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sz w:val="24"/>
                <w:szCs w:val="24"/>
              </w:rPr>
              <w:t>3.8 Dopady ve vztahu k</w:t>
            </w:r>
            <w:r w:rsidR="0038289E" w:rsidRPr="00B87455">
              <w:rPr>
                <w:rFonts w:ascii="Times New Roman" w:hAnsi="Times New Roman"/>
                <w:sz w:val="24"/>
                <w:szCs w:val="24"/>
              </w:rPr>
              <w:t> </w:t>
            </w:r>
            <w:r w:rsidRPr="00B87455">
              <w:rPr>
                <w:rFonts w:ascii="Times New Roman" w:hAnsi="Times New Roman"/>
                <w:sz w:val="24"/>
                <w:szCs w:val="24"/>
              </w:rPr>
              <w:t>zákazu diskriminace a</w:t>
            </w:r>
            <w:r w:rsidR="0038289E" w:rsidRPr="00B87455">
              <w:rPr>
                <w:rFonts w:ascii="Times New Roman" w:hAnsi="Times New Roman"/>
                <w:sz w:val="24"/>
                <w:szCs w:val="24"/>
              </w:rPr>
              <w:t> </w:t>
            </w:r>
            <w:r w:rsidRPr="00B87455">
              <w:rPr>
                <w:rFonts w:ascii="Times New Roman" w:hAnsi="Times New Roman"/>
                <w:sz w:val="24"/>
                <w:szCs w:val="24"/>
              </w:rPr>
              <w:t>ve vztahu k</w:t>
            </w:r>
            <w:r w:rsidR="0038289E" w:rsidRPr="00B87455">
              <w:rPr>
                <w:rFonts w:ascii="Times New Roman" w:hAnsi="Times New Roman"/>
                <w:sz w:val="24"/>
                <w:szCs w:val="24"/>
              </w:rPr>
              <w:t> </w:t>
            </w:r>
            <w:r w:rsidRPr="00B87455">
              <w:rPr>
                <w:rFonts w:ascii="Times New Roman" w:hAnsi="Times New Roman"/>
                <w:sz w:val="24"/>
                <w:szCs w:val="24"/>
              </w:rPr>
              <w:t>rovnosti žen a</w:t>
            </w:r>
            <w:r w:rsidR="0038289E" w:rsidRPr="00B87455">
              <w:rPr>
                <w:rFonts w:ascii="Times New Roman" w:hAnsi="Times New Roman"/>
                <w:sz w:val="24"/>
                <w:szCs w:val="24"/>
              </w:rPr>
              <w:t> </w:t>
            </w:r>
            <w:r w:rsidRPr="00B87455">
              <w:rPr>
                <w:rFonts w:ascii="Times New Roman" w:hAnsi="Times New Roman"/>
                <w:sz w:val="24"/>
                <w:szCs w:val="24"/>
              </w:rPr>
              <w:t>mužů</w:t>
            </w:r>
            <w:r w:rsidRPr="00B87455">
              <w:rPr>
                <w:rFonts w:ascii="Times New Roman" w:hAnsi="Times New Roman"/>
                <w:bCs/>
                <w:sz w:val="24"/>
                <w:szCs w:val="24"/>
              </w:rPr>
              <w:t>: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FFFF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3.9 Dopady na výkon státní statistické služby: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FFFF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c>
          <w:tcPr>
            <w:tcW w:w="9480" w:type="dxa"/>
            <w:tcBorders>
              <w:bottom w:val="single" w:sz="12" w:space="0" w:color="000001"/>
            </w:tcBorders>
            <w:shd w:val="clear" w:color="auto" w:fill="99CCFF"/>
            <w:tcMar>
              <w:left w:w="0" w:type="dxa"/>
            </w:tcMar>
          </w:tcPr>
          <w:p w:rsidR="005631F2" w:rsidRPr="00B87455" w:rsidRDefault="005631F2" w:rsidP="00F47500">
            <w:pPr>
              <w:widowControl w:val="0"/>
              <w:tabs>
                <w:tab w:val="left" w:pos="1037"/>
              </w:tabs>
              <w:spacing w:before="120" w:after="120" w:line="264" w:lineRule="auto"/>
              <w:rPr>
                <w:rFonts w:ascii="Times New Roman" w:hAnsi="Times New Roman"/>
                <w:bCs/>
                <w:sz w:val="24"/>
                <w:szCs w:val="24"/>
              </w:rPr>
            </w:pPr>
            <w:r w:rsidRPr="00B87455">
              <w:rPr>
                <w:rFonts w:ascii="Times New Roman" w:hAnsi="Times New Roman"/>
                <w:bCs/>
                <w:sz w:val="24"/>
                <w:szCs w:val="24"/>
              </w:rPr>
              <w:t>3.10 Korupční rizika: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281"/>
        </w:trPr>
        <w:tc>
          <w:tcPr>
            <w:tcW w:w="9480" w:type="dxa"/>
            <w:shd w:val="clear" w:color="auto" w:fill="FFFF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sz w:val="24"/>
                <w:szCs w:val="24"/>
              </w:rPr>
            </w:pPr>
            <w:r w:rsidRPr="00B8745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281"/>
        </w:trPr>
        <w:tc>
          <w:tcPr>
            <w:tcW w:w="9480" w:type="dxa"/>
            <w:shd w:val="clear" w:color="auto" w:fill="99CC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3.11 Dopady na bezpečnost nebo obranu státu: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5F7473" w:rsidRPr="00B87455" w:rsidTr="00F47500">
        <w:trPr>
          <w:trHeight w:val="281"/>
        </w:trPr>
        <w:tc>
          <w:tcPr>
            <w:tcW w:w="9480" w:type="dxa"/>
            <w:tcBorders>
              <w:bottom w:val="single" w:sz="12" w:space="0" w:color="000001"/>
            </w:tcBorders>
            <w:shd w:val="clear" w:color="auto" w:fill="FFFFFF"/>
            <w:tcMar>
              <w:left w:w="0" w:type="dxa"/>
            </w:tcMar>
          </w:tcPr>
          <w:p w:rsidR="005631F2" w:rsidRPr="00B87455" w:rsidRDefault="005631F2" w:rsidP="00F47500">
            <w:pPr>
              <w:widowControl w:val="0"/>
              <w:tabs>
                <w:tab w:val="left" w:pos="1037"/>
              </w:tabs>
              <w:spacing w:before="120" w:after="120" w:line="264" w:lineRule="auto"/>
              <w:jc w:val="both"/>
              <w:rPr>
                <w:rFonts w:ascii="Times New Roman" w:hAnsi="Times New Roman"/>
                <w:bCs/>
                <w:sz w:val="24"/>
                <w:szCs w:val="24"/>
              </w:rPr>
            </w:pPr>
            <w:r w:rsidRPr="00B87455">
              <w:rPr>
                <w:rFonts w:ascii="Times New Roman" w:hAnsi="Times New Roman"/>
                <w:bCs/>
                <w:sz w:val="24"/>
                <w:szCs w:val="24"/>
              </w:rPr>
              <w:t>---</w:t>
            </w:r>
          </w:p>
        </w:tc>
      </w:tr>
    </w:tbl>
    <w:p w:rsidR="00534BAF" w:rsidRPr="00B87455" w:rsidRDefault="00534BAF" w:rsidP="00305B81">
      <w:pPr>
        <w:pStyle w:val="Obsah1"/>
        <w:rPr>
          <w:rFonts w:ascii="Times New Roman" w:hAnsi="Times New Roman" w:cs="Times New Roman"/>
          <w:sz w:val="24"/>
        </w:rPr>
      </w:pPr>
    </w:p>
    <w:p w:rsidR="00534BAF" w:rsidRPr="00B87455" w:rsidRDefault="00534BAF" w:rsidP="00305B81">
      <w:pPr>
        <w:pStyle w:val="Obsah1"/>
        <w:rPr>
          <w:rFonts w:ascii="Times New Roman" w:hAnsi="Times New Roman" w:cs="Times New Roman"/>
          <w:sz w:val="24"/>
        </w:rPr>
      </w:pPr>
    </w:p>
    <w:p w:rsidR="005631F2" w:rsidRPr="00B87455" w:rsidRDefault="005631F2" w:rsidP="00305B81">
      <w:pPr>
        <w:pStyle w:val="Obsah1"/>
        <w:rPr>
          <w:rFonts w:ascii="Times New Roman" w:hAnsi="Times New Roman" w:cs="Times New Roman"/>
          <w:sz w:val="24"/>
        </w:rPr>
      </w:pPr>
    </w:p>
    <w:p w:rsidR="005631F2" w:rsidRPr="00B87455" w:rsidRDefault="005631F2" w:rsidP="00305B81">
      <w:pPr>
        <w:pStyle w:val="Obsah1"/>
        <w:rPr>
          <w:rFonts w:ascii="Times New Roman" w:hAnsi="Times New Roman" w:cs="Times New Roman"/>
          <w:sz w:val="24"/>
        </w:rPr>
      </w:pPr>
    </w:p>
    <w:p w:rsidR="005631F2" w:rsidRPr="00B87455" w:rsidRDefault="005631F2" w:rsidP="00305B81">
      <w:pPr>
        <w:pStyle w:val="Obsah1"/>
        <w:rPr>
          <w:rFonts w:ascii="Times New Roman" w:hAnsi="Times New Roman" w:cs="Times New Roman"/>
          <w:sz w:val="24"/>
        </w:rPr>
      </w:pPr>
    </w:p>
    <w:p w:rsidR="005631F2" w:rsidRPr="00B87455" w:rsidRDefault="005631F2" w:rsidP="00305B81">
      <w:pPr>
        <w:pStyle w:val="Obsah1"/>
        <w:rPr>
          <w:rFonts w:ascii="Times New Roman" w:hAnsi="Times New Roman" w:cs="Times New Roman"/>
          <w:sz w:val="24"/>
        </w:rPr>
      </w:pPr>
    </w:p>
    <w:p w:rsidR="005631F2" w:rsidRDefault="005631F2" w:rsidP="00305B81">
      <w:pPr>
        <w:pStyle w:val="Obsah1"/>
        <w:rPr>
          <w:rFonts w:ascii="Times New Roman" w:hAnsi="Times New Roman" w:cs="Times New Roman"/>
          <w:sz w:val="24"/>
        </w:rPr>
      </w:pPr>
    </w:p>
    <w:p w:rsidR="00BA6DB5" w:rsidRPr="00BA6DB5" w:rsidRDefault="00BA6DB5" w:rsidP="00BA6DB5">
      <w:pPr>
        <w:rPr>
          <w:lang w:eastAsia="en-US"/>
        </w:rPr>
      </w:pPr>
    </w:p>
    <w:p w:rsidR="00534BAF" w:rsidRPr="00B87455" w:rsidRDefault="00305B81" w:rsidP="00305B81">
      <w:pPr>
        <w:pStyle w:val="Obsah1"/>
        <w:rPr>
          <w:rFonts w:ascii="Times New Roman" w:hAnsi="Times New Roman" w:cs="Times New Roman"/>
          <w:sz w:val="24"/>
        </w:rPr>
      </w:pPr>
      <w:r w:rsidRPr="00B87455">
        <w:rPr>
          <w:rFonts w:ascii="Times New Roman" w:hAnsi="Times New Roman" w:cs="Times New Roman"/>
          <w:sz w:val="24"/>
        </w:rPr>
        <w:lastRenderedPageBreak/>
        <w:t>Hodnocení dopadů regulace</w:t>
      </w:r>
    </w:p>
    <w:p w:rsidR="008C6AE3" w:rsidRPr="00B87455" w:rsidRDefault="008C6AE3" w:rsidP="00F47500">
      <w:pPr>
        <w:rPr>
          <w:rFonts w:ascii="Times New Roman" w:hAnsi="Times New Roman"/>
          <w:sz w:val="24"/>
          <w:szCs w:val="24"/>
        </w:rPr>
      </w:pPr>
    </w:p>
    <w:p w:rsidR="008C6AE3" w:rsidRPr="00B87455" w:rsidRDefault="008C6AE3">
      <w:pPr>
        <w:pStyle w:val="Odstavecseseznamem"/>
        <w:numPr>
          <w:ilvl w:val="0"/>
          <w:numId w:val="26"/>
        </w:numPr>
        <w:rPr>
          <w:rFonts w:ascii="Times New Roman" w:hAnsi="Times New Roman"/>
          <w:sz w:val="24"/>
          <w:szCs w:val="24"/>
          <w:lang w:eastAsia="en-US"/>
        </w:rPr>
      </w:pPr>
      <w:r w:rsidRPr="00B87455">
        <w:rPr>
          <w:rFonts w:ascii="Times New Roman" w:hAnsi="Times New Roman"/>
          <w:b/>
          <w:sz w:val="24"/>
          <w:szCs w:val="24"/>
          <w:lang w:eastAsia="en-US"/>
        </w:rPr>
        <w:t>Důvod předložení a</w:t>
      </w:r>
      <w:r w:rsidR="0038289E" w:rsidRPr="00B87455">
        <w:rPr>
          <w:rFonts w:ascii="Times New Roman" w:hAnsi="Times New Roman"/>
          <w:b/>
          <w:sz w:val="24"/>
          <w:szCs w:val="24"/>
          <w:lang w:eastAsia="en-US"/>
        </w:rPr>
        <w:t> </w:t>
      </w:r>
      <w:r w:rsidRPr="00B87455">
        <w:rPr>
          <w:rFonts w:ascii="Times New Roman" w:hAnsi="Times New Roman"/>
          <w:b/>
          <w:sz w:val="24"/>
          <w:szCs w:val="24"/>
          <w:lang w:eastAsia="en-US"/>
        </w:rPr>
        <w:t>cíle</w:t>
      </w:r>
    </w:p>
    <w:p w:rsidR="008C6AE3" w:rsidRPr="00B87455" w:rsidRDefault="008C6AE3" w:rsidP="00305B81">
      <w:pPr>
        <w:ind w:left="360"/>
        <w:rPr>
          <w:rFonts w:ascii="Times New Roman" w:hAnsi="Times New Roman"/>
          <w:color w:val="000000" w:themeColor="text1"/>
          <w:sz w:val="24"/>
          <w:szCs w:val="24"/>
        </w:rPr>
      </w:pPr>
      <w:r w:rsidRPr="00B87455">
        <w:rPr>
          <w:rFonts w:ascii="Times New Roman" w:hAnsi="Times New Roman"/>
          <w:color w:val="000000" w:themeColor="text1"/>
          <w:sz w:val="24"/>
          <w:szCs w:val="24"/>
        </w:rPr>
        <w:t>1.1</w:t>
      </w:r>
      <w:r w:rsidRPr="00B87455">
        <w:rPr>
          <w:rFonts w:ascii="Times New Roman" w:hAnsi="Times New Roman"/>
          <w:b/>
          <w:color w:val="000000" w:themeColor="text1"/>
          <w:sz w:val="24"/>
          <w:szCs w:val="24"/>
        </w:rPr>
        <w:t>. Název</w:t>
      </w:r>
      <w:r w:rsidR="008354D4" w:rsidRPr="00B87455">
        <w:rPr>
          <w:rFonts w:ascii="Times New Roman" w:hAnsi="Times New Roman"/>
          <w:color w:val="000000" w:themeColor="text1"/>
          <w:sz w:val="24"/>
          <w:szCs w:val="24"/>
        </w:rPr>
        <w:br/>
      </w:r>
    </w:p>
    <w:p w:rsidR="00305B81" w:rsidRPr="00B87455" w:rsidRDefault="00305B81" w:rsidP="00F47500">
      <w:pPr>
        <w:ind w:left="360"/>
        <w:jc w:val="both"/>
        <w:rPr>
          <w:rFonts w:ascii="Times New Roman" w:hAnsi="Times New Roman"/>
          <w:color w:val="000000" w:themeColor="text1"/>
          <w:sz w:val="24"/>
          <w:szCs w:val="24"/>
        </w:rPr>
      </w:pPr>
      <w:r w:rsidRPr="00B87455">
        <w:rPr>
          <w:rFonts w:ascii="Times New Roman" w:hAnsi="Times New Roman"/>
          <w:b/>
          <w:color w:val="000000" w:themeColor="text1"/>
          <w:sz w:val="24"/>
          <w:szCs w:val="24"/>
        </w:rPr>
        <w:t>Návrh zákona, kterým se mění zákon č. 311/2006 Sb., o</w:t>
      </w:r>
      <w:r w:rsidR="0038289E" w:rsidRPr="00B87455">
        <w:rPr>
          <w:rFonts w:ascii="Times New Roman" w:hAnsi="Times New Roman"/>
          <w:b/>
          <w:color w:val="000000" w:themeColor="text1"/>
          <w:sz w:val="24"/>
          <w:szCs w:val="24"/>
        </w:rPr>
        <w:t> </w:t>
      </w:r>
      <w:r w:rsidRPr="00B87455">
        <w:rPr>
          <w:rFonts w:ascii="Times New Roman" w:hAnsi="Times New Roman"/>
          <w:b/>
          <w:color w:val="000000" w:themeColor="text1"/>
          <w:sz w:val="24"/>
          <w:szCs w:val="24"/>
        </w:rPr>
        <w:t>pohonných hmotách a</w:t>
      </w:r>
      <w:r w:rsidR="0038289E" w:rsidRPr="00B87455">
        <w:rPr>
          <w:rFonts w:ascii="Times New Roman" w:hAnsi="Times New Roman"/>
          <w:b/>
          <w:color w:val="000000" w:themeColor="text1"/>
          <w:sz w:val="24"/>
          <w:szCs w:val="24"/>
        </w:rPr>
        <w:t> </w:t>
      </w:r>
      <w:r w:rsidRPr="00B87455">
        <w:rPr>
          <w:rFonts w:ascii="Times New Roman" w:hAnsi="Times New Roman"/>
          <w:b/>
          <w:color w:val="000000" w:themeColor="text1"/>
          <w:sz w:val="24"/>
          <w:szCs w:val="24"/>
        </w:rPr>
        <w:t>čerpacích stanicích pohonných hmot a</w:t>
      </w:r>
      <w:r w:rsidR="0038289E" w:rsidRPr="00B87455">
        <w:rPr>
          <w:rFonts w:ascii="Times New Roman" w:hAnsi="Times New Roman"/>
          <w:b/>
          <w:color w:val="000000" w:themeColor="text1"/>
          <w:sz w:val="24"/>
          <w:szCs w:val="24"/>
        </w:rPr>
        <w:t> </w:t>
      </w:r>
      <w:r w:rsidRPr="00B87455">
        <w:rPr>
          <w:rFonts w:ascii="Times New Roman" w:hAnsi="Times New Roman"/>
          <w:b/>
          <w:color w:val="000000" w:themeColor="text1"/>
          <w:sz w:val="24"/>
          <w:szCs w:val="24"/>
        </w:rPr>
        <w:t>o</w:t>
      </w:r>
      <w:r w:rsidR="0038289E" w:rsidRPr="00B87455">
        <w:rPr>
          <w:rFonts w:ascii="Times New Roman" w:hAnsi="Times New Roman"/>
          <w:b/>
          <w:color w:val="000000" w:themeColor="text1"/>
          <w:sz w:val="24"/>
          <w:szCs w:val="24"/>
        </w:rPr>
        <w:t> </w:t>
      </w:r>
      <w:r w:rsidRPr="00B87455">
        <w:rPr>
          <w:rFonts w:ascii="Times New Roman" w:hAnsi="Times New Roman"/>
          <w:b/>
          <w:color w:val="000000" w:themeColor="text1"/>
          <w:sz w:val="24"/>
          <w:szCs w:val="24"/>
        </w:rPr>
        <w:t>změně některých souvisejících zákonů (zákon o</w:t>
      </w:r>
      <w:r w:rsidR="0038289E" w:rsidRPr="00B87455">
        <w:rPr>
          <w:rFonts w:ascii="Times New Roman" w:hAnsi="Times New Roman"/>
          <w:b/>
          <w:color w:val="000000" w:themeColor="text1"/>
          <w:sz w:val="24"/>
          <w:szCs w:val="24"/>
        </w:rPr>
        <w:t> </w:t>
      </w:r>
      <w:r w:rsidRPr="00B87455">
        <w:rPr>
          <w:rFonts w:ascii="Times New Roman" w:hAnsi="Times New Roman"/>
          <w:b/>
          <w:color w:val="000000" w:themeColor="text1"/>
          <w:sz w:val="24"/>
          <w:szCs w:val="24"/>
        </w:rPr>
        <w:t>pohonných hmotách), ve znění pozdějších předpisů</w:t>
      </w:r>
      <w:r w:rsidR="00421116" w:rsidRPr="00B87455">
        <w:rPr>
          <w:rFonts w:ascii="Times New Roman" w:hAnsi="Times New Roman"/>
          <w:b/>
          <w:color w:val="000000" w:themeColor="text1"/>
          <w:sz w:val="24"/>
          <w:szCs w:val="24"/>
        </w:rPr>
        <w:t>.</w:t>
      </w:r>
    </w:p>
    <w:p w:rsidR="00305B81" w:rsidRPr="00B87455" w:rsidRDefault="00305B81" w:rsidP="00305B81">
      <w:pPr>
        <w:pStyle w:val="Odstavecseseznamem"/>
        <w:numPr>
          <w:ilvl w:val="1"/>
          <w:numId w:val="26"/>
        </w:numPr>
        <w:rPr>
          <w:rFonts w:ascii="Times New Roman" w:hAnsi="Times New Roman"/>
          <w:b/>
          <w:sz w:val="24"/>
          <w:szCs w:val="24"/>
          <w:lang w:eastAsia="en-US"/>
        </w:rPr>
      </w:pPr>
      <w:r w:rsidRPr="00B87455">
        <w:rPr>
          <w:rFonts w:ascii="Times New Roman" w:hAnsi="Times New Roman"/>
          <w:b/>
          <w:sz w:val="24"/>
          <w:szCs w:val="24"/>
          <w:lang w:eastAsia="en-US"/>
        </w:rPr>
        <w:t>Definice problému</w:t>
      </w:r>
    </w:p>
    <w:p w:rsidR="000D01F2" w:rsidRPr="00B87455" w:rsidRDefault="005D05BE" w:rsidP="00F47500">
      <w:pPr>
        <w:ind w:left="360"/>
        <w:jc w:val="both"/>
        <w:rPr>
          <w:rFonts w:ascii="Times New Roman" w:hAnsi="Times New Roman"/>
          <w:sz w:val="24"/>
          <w:szCs w:val="24"/>
        </w:rPr>
      </w:pPr>
      <w:r w:rsidRPr="00B87455">
        <w:rPr>
          <w:rFonts w:ascii="Times New Roman" w:hAnsi="Times New Roman"/>
          <w:sz w:val="24"/>
          <w:szCs w:val="24"/>
        </w:rPr>
        <w:t>Předchozí novela zákona o</w:t>
      </w:r>
      <w:r w:rsidR="0038289E" w:rsidRPr="00B87455">
        <w:rPr>
          <w:rFonts w:ascii="Times New Roman" w:hAnsi="Times New Roman"/>
          <w:sz w:val="24"/>
          <w:szCs w:val="24"/>
        </w:rPr>
        <w:t> </w:t>
      </w:r>
      <w:r w:rsidRPr="00B87455">
        <w:rPr>
          <w:rFonts w:ascii="Times New Roman" w:hAnsi="Times New Roman"/>
          <w:sz w:val="24"/>
          <w:szCs w:val="24"/>
        </w:rPr>
        <w:t>pohonných hmotách, projednávaná v</w:t>
      </w:r>
      <w:r w:rsidR="0038289E" w:rsidRPr="00B87455">
        <w:rPr>
          <w:rFonts w:ascii="Times New Roman" w:hAnsi="Times New Roman"/>
          <w:sz w:val="24"/>
          <w:szCs w:val="24"/>
        </w:rPr>
        <w:t> </w:t>
      </w:r>
      <w:r w:rsidRPr="00B87455">
        <w:rPr>
          <w:rFonts w:ascii="Times New Roman" w:hAnsi="Times New Roman"/>
          <w:sz w:val="24"/>
          <w:szCs w:val="24"/>
        </w:rPr>
        <w:t>letech 2016 a</w:t>
      </w:r>
      <w:r w:rsidR="0038289E" w:rsidRPr="00B87455">
        <w:rPr>
          <w:rFonts w:ascii="Times New Roman" w:hAnsi="Times New Roman"/>
          <w:sz w:val="24"/>
          <w:szCs w:val="24"/>
        </w:rPr>
        <w:t> </w:t>
      </w:r>
      <w:r w:rsidRPr="00B87455">
        <w:rPr>
          <w:rFonts w:ascii="Times New Roman" w:hAnsi="Times New Roman"/>
          <w:sz w:val="24"/>
          <w:szCs w:val="24"/>
        </w:rPr>
        <w:t xml:space="preserve">2017 </w:t>
      </w:r>
      <w:r w:rsidR="002E3421" w:rsidRPr="00B87455">
        <w:rPr>
          <w:rFonts w:ascii="Times New Roman" w:hAnsi="Times New Roman"/>
          <w:sz w:val="24"/>
          <w:szCs w:val="24"/>
        </w:rPr>
        <w:t>a</w:t>
      </w:r>
      <w:r w:rsidR="0038289E" w:rsidRPr="00B87455">
        <w:rPr>
          <w:rFonts w:ascii="Times New Roman" w:hAnsi="Times New Roman"/>
          <w:sz w:val="24"/>
          <w:szCs w:val="24"/>
        </w:rPr>
        <w:t> </w:t>
      </w:r>
      <w:r w:rsidR="00D313DC" w:rsidRPr="00B87455">
        <w:rPr>
          <w:rFonts w:ascii="Times New Roman" w:hAnsi="Times New Roman"/>
          <w:sz w:val="24"/>
          <w:szCs w:val="24"/>
        </w:rPr>
        <w:t xml:space="preserve">vydaná ve Sbírce </w:t>
      </w:r>
      <w:r w:rsidR="00744225" w:rsidRPr="00B87455">
        <w:rPr>
          <w:rFonts w:ascii="Times New Roman" w:hAnsi="Times New Roman"/>
          <w:sz w:val="24"/>
          <w:szCs w:val="24"/>
        </w:rPr>
        <w:t xml:space="preserve">zákonů </w:t>
      </w:r>
      <w:r w:rsidR="00D313DC" w:rsidRPr="00B87455">
        <w:rPr>
          <w:rFonts w:ascii="Times New Roman" w:hAnsi="Times New Roman"/>
          <w:sz w:val="24"/>
          <w:szCs w:val="24"/>
        </w:rPr>
        <w:t>pod č. 157/2017 Sb.,</w:t>
      </w:r>
      <w:r w:rsidR="00856966" w:rsidRPr="00B87455">
        <w:rPr>
          <w:rFonts w:ascii="Times New Roman" w:hAnsi="Times New Roman"/>
          <w:sz w:val="24"/>
          <w:szCs w:val="24"/>
        </w:rPr>
        <w:t xml:space="preserve"> </w:t>
      </w:r>
      <w:r w:rsidRPr="00B87455">
        <w:rPr>
          <w:rFonts w:ascii="Times New Roman" w:hAnsi="Times New Roman"/>
          <w:sz w:val="24"/>
          <w:szCs w:val="24"/>
        </w:rPr>
        <w:t>byla transpoziční novelou směrnice Evropského parlamentu a</w:t>
      </w:r>
      <w:r w:rsidR="0038289E" w:rsidRPr="00B87455">
        <w:rPr>
          <w:rFonts w:ascii="Times New Roman" w:hAnsi="Times New Roman"/>
          <w:sz w:val="24"/>
          <w:szCs w:val="24"/>
        </w:rPr>
        <w:t> </w:t>
      </w:r>
      <w:r w:rsidRPr="00B87455">
        <w:rPr>
          <w:rFonts w:ascii="Times New Roman" w:hAnsi="Times New Roman"/>
          <w:sz w:val="24"/>
          <w:szCs w:val="24"/>
        </w:rPr>
        <w:t>Rady 2014/94/EU z</w:t>
      </w:r>
      <w:r w:rsidR="0038289E" w:rsidRPr="00B87455">
        <w:rPr>
          <w:rFonts w:ascii="Times New Roman" w:hAnsi="Times New Roman"/>
          <w:sz w:val="24"/>
          <w:szCs w:val="24"/>
        </w:rPr>
        <w:t> </w:t>
      </w:r>
      <w:r w:rsidRPr="00B87455">
        <w:rPr>
          <w:rFonts w:ascii="Times New Roman" w:hAnsi="Times New Roman"/>
          <w:sz w:val="24"/>
          <w:szCs w:val="24"/>
        </w:rPr>
        <w:t>22. října 2014</w:t>
      </w:r>
      <w:r w:rsidR="004B07DF" w:rsidRPr="00B87455">
        <w:rPr>
          <w:rFonts w:ascii="Times New Roman" w:hAnsi="Times New Roman"/>
          <w:sz w:val="24"/>
          <w:szCs w:val="24"/>
        </w:rPr>
        <w:t>. Zejména </w:t>
      </w:r>
      <w:r w:rsidR="00773C3D" w:rsidRPr="00B87455">
        <w:rPr>
          <w:rFonts w:ascii="Times New Roman" w:hAnsi="Times New Roman"/>
          <w:sz w:val="24"/>
          <w:szCs w:val="24"/>
        </w:rPr>
        <w:t>z</w:t>
      </w:r>
      <w:r w:rsidR="0038289E" w:rsidRPr="00B87455">
        <w:rPr>
          <w:rFonts w:ascii="Times New Roman" w:hAnsi="Times New Roman"/>
          <w:sz w:val="24"/>
          <w:szCs w:val="24"/>
        </w:rPr>
        <w:t> </w:t>
      </w:r>
      <w:r w:rsidR="004B07DF" w:rsidRPr="00B87455">
        <w:rPr>
          <w:rFonts w:ascii="Times New Roman" w:hAnsi="Times New Roman"/>
          <w:sz w:val="24"/>
          <w:szCs w:val="24"/>
        </w:rPr>
        <w:t>časových a</w:t>
      </w:r>
      <w:r w:rsidR="0038289E" w:rsidRPr="00B87455">
        <w:rPr>
          <w:rFonts w:ascii="Times New Roman" w:hAnsi="Times New Roman"/>
          <w:sz w:val="24"/>
          <w:szCs w:val="24"/>
        </w:rPr>
        <w:t> </w:t>
      </w:r>
      <w:r w:rsidR="004B07DF" w:rsidRPr="00B87455">
        <w:rPr>
          <w:rFonts w:ascii="Times New Roman" w:hAnsi="Times New Roman"/>
          <w:sz w:val="24"/>
          <w:szCs w:val="24"/>
        </w:rPr>
        <w:t xml:space="preserve">také věcně neujasněných </w:t>
      </w:r>
      <w:r w:rsidR="00773C3D" w:rsidRPr="00B87455">
        <w:rPr>
          <w:rFonts w:ascii="Times New Roman" w:hAnsi="Times New Roman"/>
          <w:sz w:val="24"/>
          <w:szCs w:val="24"/>
        </w:rPr>
        <w:t xml:space="preserve">požadavků </w:t>
      </w:r>
      <w:r w:rsidR="004B07DF" w:rsidRPr="00B87455">
        <w:rPr>
          <w:rFonts w:ascii="Times New Roman" w:hAnsi="Times New Roman"/>
          <w:sz w:val="24"/>
          <w:szCs w:val="24"/>
        </w:rPr>
        <w:t xml:space="preserve">na straně podnikatelské veřejnosti, </w:t>
      </w:r>
      <w:r w:rsidRPr="00B87455">
        <w:rPr>
          <w:rFonts w:ascii="Times New Roman" w:hAnsi="Times New Roman"/>
          <w:sz w:val="24"/>
          <w:szCs w:val="24"/>
        </w:rPr>
        <w:t xml:space="preserve">nemohly být do </w:t>
      </w:r>
      <w:r w:rsidR="00773C3D" w:rsidRPr="00B87455">
        <w:rPr>
          <w:rFonts w:ascii="Times New Roman" w:hAnsi="Times New Roman"/>
          <w:sz w:val="24"/>
          <w:szCs w:val="24"/>
        </w:rPr>
        <w:t xml:space="preserve">předchozí </w:t>
      </w:r>
      <w:r w:rsidRPr="00B87455">
        <w:rPr>
          <w:rFonts w:ascii="Times New Roman" w:hAnsi="Times New Roman"/>
          <w:sz w:val="24"/>
          <w:szCs w:val="24"/>
        </w:rPr>
        <w:t>novely zapracovány změny plynoucí z</w:t>
      </w:r>
      <w:r w:rsidR="0038289E" w:rsidRPr="00B87455">
        <w:rPr>
          <w:rFonts w:ascii="Times New Roman" w:hAnsi="Times New Roman"/>
          <w:sz w:val="24"/>
          <w:szCs w:val="24"/>
        </w:rPr>
        <w:t> </w:t>
      </w:r>
      <w:r w:rsidRPr="00B87455">
        <w:rPr>
          <w:rFonts w:ascii="Times New Roman" w:hAnsi="Times New Roman"/>
          <w:sz w:val="24"/>
          <w:szCs w:val="24"/>
        </w:rPr>
        <w:t xml:space="preserve">praxe </w:t>
      </w:r>
      <w:r w:rsidR="004B07DF" w:rsidRPr="00B87455">
        <w:rPr>
          <w:rFonts w:ascii="Times New Roman" w:hAnsi="Times New Roman"/>
          <w:sz w:val="24"/>
          <w:szCs w:val="24"/>
        </w:rPr>
        <w:t xml:space="preserve">průběžné </w:t>
      </w:r>
      <w:r w:rsidRPr="00B87455">
        <w:rPr>
          <w:rFonts w:ascii="Times New Roman" w:hAnsi="Times New Roman"/>
          <w:sz w:val="24"/>
          <w:szCs w:val="24"/>
        </w:rPr>
        <w:t>aplikace zákona o</w:t>
      </w:r>
      <w:r w:rsidR="0038289E" w:rsidRPr="00B87455">
        <w:rPr>
          <w:rFonts w:ascii="Times New Roman" w:hAnsi="Times New Roman"/>
          <w:sz w:val="24"/>
          <w:szCs w:val="24"/>
        </w:rPr>
        <w:t> </w:t>
      </w:r>
      <w:r w:rsidRPr="00B87455">
        <w:rPr>
          <w:rFonts w:ascii="Times New Roman" w:hAnsi="Times New Roman"/>
          <w:sz w:val="24"/>
          <w:szCs w:val="24"/>
        </w:rPr>
        <w:t xml:space="preserve">pohonných hmotách. </w:t>
      </w:r>
      <w:r w:rsidR="00447719" w:rsidRPr="00B87455">
        <w:rPr>
          <w:rFonts w:ascii="Times New Roman" w:hAnsi="Times New Roman"/>
          <w:sz w:val="24"/>
          <w:szCs w:val="24"/>
        </w:rPr>
        <w:t>Z</w:t>
      </w:r>
      <w:r w:rsidR="0038289E" w:rsidRPr="00B87455">
        <w:rPr>
          <w:rFonts w:ascii="Times New Roman" w:hAnsi="Times New Roman"/>
          <w:sz w:val="24"/>
          <w:szCs w:val="24"/>
        </w:rPr>
        <w:t> </w:t>
      </w:r>
      <w:r w:rsidR="00447719" w:rsidRPr="00B87455">
        <w:rPr>
          <w:rFonts w:ascii="Times New Roman" w:hAnsi="Times New Roman"/>
          <w:sz w:val="24"/>
          <w:szCs w:val="24"/>
        </w:rPr>
        <w:t>t</w:t>
      </w:r>
      <w:r w:rsidR="00863993" w:rsidRPr="00B87455">
        <w:rPr>
          <w:rFonts w:ascii="Times New Roman" w:hAnsi="Times New Roman"/>
          <w:sz w:val="24"/>
          <w:szCs w:val="24"/>
        </w:rPr>
        <w:t xml:space="preserve">ěchto </w:t>
      </w:r>
      <w:r w:rsidR="00E03851" w:rsidRPr="00B87455">
        <w:rPr>
          <w:rFonts w:ascii="Times New Roman" w:hAnsi="Times New Roman"/>
          <w:sz w:val="24"/>
          <w:szCs w:val="24"/>
        </w:rPr>
        <w:t>důvodů</w:t>
      </w:r>
      <w:r w:rsidR="00447719" w:rsidRPr="00B87455">
        <w:rPr>
          <w:rFonts w:ascii="Times New Roman" w:hAnsi="Times New Roman"/>
          <w:sz w:val="24"/>
          <w:szCs w:val="24"/>
        </w:rPr>
        <w:t xml:space="preserve"> bylo </w:t>
      </w:r>
      <w:r w:rsidR="00863993" w:rsidRPr="00B87455">
        <w:rPr>
          <w:rFonts w:ascii="Times New Roman" w:hAnsi="Times New Roman"/>
          <w:sz w:val="24"/>
          <w:szCs w:val="24"/>
        </w:rPr>
        <w:t xml:space="preserve">až </w:t>
      </w:r>
      <w:r w:rsidR="00773C3D" w:rsidRPr="00B87455">
        <w:rPr>
          <w:rFonts w:ascii="Times New Roman" w:hAnsi="Times New Roman"/>
          <w:sz w:val="24"/>
          <w:szCs w:val="24"/>
        </w:rPr>
        <w:t xml:space="preserve">nyní </w:t>
      </w:r>
      <w:r w:rsidR="00447719" w:rsidRPr="00B87455">
        <w:rPr>
          <w:rFonts w:ascii="Times New Roman" w:hAnsi="Times New Roman"/>
          <w:sz w:val="24"/>
          <w:szCs w:val="24"/>
        </w:rPr>
        <w:t>přistoupeno k</w:t>
      </w:r>
      <w:r w:rsidR="0038289E" w:rsidRPr="00B87455">
        <w:rPr>
          <w:rFonts w:ascii="Times New Roman" w:hAnsi="Times New Roman"/>
          <w:sz w:val="24"/>
          <w:szCs w:val="24"/>
        </w:rPr>
        <w:t> </w:t>
      </w:r>
      <w:r w:rsidR="00447719" w:rsidRPr="00B87455">
        <w:rPr>
          <w:rFonts w:ascii="Times New Roman" w:hAnsi="Times New Roman"/>
          <w:sz w:val="24"/>
          <w:szCs w:val="24"/>
        </w:rPr>
        <w:t>řešení</w:t>
      </w:r>
      <w:r w:rsidR="00D313DC" w:rsidRPr="00B87455">
        <w:rPr>
          <w:rFonts w:ascii="Times New Roman" w:hAnsi="Times New Roman"/>
          <w:sz w:val="24"/>
          <w:szCs w:val="24"/>
        </w:rPr>
        <w:t>m</w:t>
      </w:r>
      <w:r w:rsidR="00856966" w:rsidRPr="00B87455">
        <w:rPr>
          <w:rFonts w:ascii="Times New Roman" w:hAnsi="Times New Roman"/>
          <w:sz w:val="24"/>
          <w:szCs w:val="24"/>
        </w:rPr>
        <w:t xml:space="preserve"> </w:t>
      </w:r>
      <w:r w:rsidR="00D313DC" w:rsidRPr="00B87455">
        <w:rPr>
          <w:rFonts w:ascii="Times New Roman" w:hAnsi="Times New Roman"/>
          <w:sz w:val="24"/>
          <w:szCs w:val="24"/>
        </w:rPr>
        <w:t>plynoucí</w:t>
      </w:r>
      <w:r w:rsidR="00856966" w:rsidRPr="00B87455">
        <w:rPr>
          <w:rFonts w:ascii="Times New Roman" w:hAnsi="Times New Roman"/>
          <w:sz w:val="24"/>
          <w:szCs w:val="24"/>
        </w:rPr>
        <w:t>ch</w:t>
      </w:r>
      <w:r w:rsidR="00D313DC" w:rsidRPr="00B87455">
        <w:rPr>
          <w:rFonts w:ascii="Times New Roman" w:hAnsi="Times New Roman"/>
          <w:sz w:val="24"/>
          <w:szCs w:val="24"/>
        </w:rPr>
        <w:t xml:space="preserve"> </w:t>
      </w:r>
      <w:r w:rsidR="00447719" w:rsidRPr="00B87455">
        <w:rPr>
          <w:rFonts w:ascii="Times New Roman" w:hAnsi="Times New Roman"/>
          <w:sz w:val="24"/>
          <w:szCs w:val="24"/>
        </w:rPr>
        <w:t>z</w:t>
      </w:r>
      <w:r w:rsidR="0038289E" w:rsidRPr="00B87455">
        <w:rPr>
          <w:rFonts w:ascii="Times New Roman" w:hAnsi="Times New Roman"/>
          <w:sz w:val="24"/>
          <w:szCs w:val="24"/>
        </w:rPr>
        <w:t> </w:t>
      </w:r>
      <w:r w:rsidR="00447719" w:rsidRPr="00B87455">
        <w:rPr>
          <w:rFonts w:ascii="Times New Roman" w:hAnsi="Times New Roman"/>
          <w:sz w:val="24"/>
          <w:szCs w:val="24"/>
        </w:rPr>
        <w:t xml:space="preserve">oprávněných požadavků </w:t>
      </w:r>
      <w:r w:rsidR="00773C3D" w:rsidRPr="00B87455">
        <w:rPr>
          <w:rFonts w:ascii="Times New Roman" w:hAnsi="Times New Roman"/>
          <w:sz w:val="24"/>
          <w:szCs w:val="24"/>
        </w:rPr>
        <w:t>státní správy i</w:t>
      </w:r>
      <w:r w:rsidR="0038289E" w:rsidRPr="00B87455">
        <w:rPr>
          <w:rFonts w:ascii="Times New Roman" w:hAnsi="Times New Roman"/>
          <w:sz w:val="24"/>
          <w:szCs w:val="24"/>
        </w:rPr>
        <w:t> </w:t>
      </w:r>
      <w:r w:rsidRPr="00B87455">
        <w:rPr>
          <w:rFonts w:ascii="Times New Roman" w:hAnsi="Times New Roman"/>
          <w:sz w:val="24"/>
          <w:szCs w:val="24"/>
        </w:rPr>
        <w:t>podnikatelské veřejnosti a</w:t>
      </w:r>
      <w:r w:rsidR="0038289E" w:rsidRPr="00B87455">
        <w:rPr>
          <w:rFonts w:ascii="Times New Roman" w:hAnsi="Times New Roman"/>
          <w:sz w:val="24"/>
          <w:szCs w:val="24"/>
        </w:rPr>
        <w:t> </w:t>
      </w:r>
      <w:r w:rsidRPr="00B87455">
        <w:rPr>
          <w:rFonts w:ascii="Times New Roman" w:hAnsi="Times New Roman"/>
          <w:sz w:val="24"/>
          <w:szCs w:val="24"/>
        </w:rPr>
        <w:t>vycháze</w:t>
      </w:r>
      <w:r w:rsidR="00447719" w:rsidRPr="00B87455">
        <w:rPr>
          <w:rFonts w:ascii="Times New Roman" w:hAnsi="Times New Roman"/>
          <w:sz w:val="24"/>
          <w:szCs w:val="24"/>
        </w:rPr>
        <w:t>jící</w:t>
      </w:r>
      <w:r w:rsidR="00856966" w:rsidRPr="00B87455">
        <w:rPr>
          <w:rFonts w:ascii="Times New Roman" w:hAnsi="Times New Roman"/>
          <w:sz w:val="24"/>
          <w:szCs w:val="24"/>
        </w:rPr>
        <w:t xml:space="preserve">ch </w:t>
      </w:r>
      <w:r w:rsidRPr="00B87455">
        <w:rPr>
          <w:rFonts w:ascii="Times New Roman" w:hAnsi="Times New Roman"/>
          <w:sz w:val="24"/>
          <w:szCs w:val="24"/>
        </w:rPr>
        <w:t>z</w:t>
      </w:r>
      <w:r w:rsidR="0038289E" w:rsidRPr="00B87455">
        <w:rPr>
          <w:rFonts w:ascii="Times New Roman" w:hAnsi="Times New Roman"/>
          <w:sz w:val="24"/>
          <w:szCs w:val="24"/>
        </w:rPr>
        <w:t> </w:t>
      </w:r>
      <w:r w:rsidRPr="00B87455">
        <w:rPr>
          <w:rFonts w:ascii="Times New Roman" w:hAnsi="Times New Roman"/>
          <w:sz w:val="24"/>
          <w:szCs w:val="24"/>
        </w:rPr>
        <w:t xml:space="preserve">poznatků </w:t>
      </w:r>
      <w:r w:rsidR="00863993" w:rsidRPr="00B87455">
        <w:rPr>
          <w:rFonts w:ascii="Times New Roman" w:hAnsi="Times New Roman"/>
          <w:sz w:val="24"/>
          <w:szCs w:val="24"/>
        </w:rPr>
        <w:t xml:space="preserve">dále </w:t>
      </w:r>
      <w:r w:rsidRPr="00B87455">
        <w:rPr>
          <w:rFonts w:ascii="Times New Roman" w:hAnsi="Times New Roman"/>
          <w:sz w:val="24"/>
          <w:szCs w:val="24"/>
        </w:rPr>
        <w:t xml:space="preserve">nashromážděných </w:t>
      </w:r>
      <w:r w:rsidR="00D313DC" w:rsidRPr="00B87455">
        <w:rPr>
          <w:rFonts w:ascii="Times New Roman" w:hAnsi="Times New Roman"/>
          <w:sz w:val="24"/>
          <w:szCs w:val="24"/>
        </w:rPr>
        <w:t xml:space="preserve">při </w:t>
      </w:r>
      <w:r w:rsidRPr="00B87455">
        <w:rPr>
          <w:rFonts w:ascii="Times New Roman" w:hAnsi="Times New Roman"/>
          <w:sz w:val="24"/>
          <w:szCs w:val="24"/>
        </w:rPr>
        <w:t xml:space="preserve">uplatňování </w:t>
      </w:r>
      <w:r w:rsidR="00773C3D" w:rsidRPr="00B87455">
        <w:rPr>
          <w:rFonts w:ascii="Times New Roman" w:hAnsi="Times New Roman"/>
          <w:sz w:val="24"/>
          <w:szCs w:val="24"/>
        </w:rPr>
        <w:t xml:space="preserve">zákonných </w:t>
      </w:r>
      <w:r w:rsidRPr="00B87455">
        <w:rPr>
          <w:rFonts w:ascii="Times New Roman" w:hAnsi="Times New Roman"/>
          <w:sz w:val="24"/>
          <w:szCs w:val="24"/>
        </w:rPr>
        <w:t>pravidel nakládání s</w:t>
      </w:r>
      <w:r w:rsidR="0038289E" w:rsidRPr="00B87455">
        <w:rPr>
          <w:rFonts w:ascii="Times New Roman" w:hAnsi="Times New Roman"/>
          <w:sz w:val="24"/>
          <w:szCs w:val="24"/>
        </w:rPr>
        <w:t> </w:t>
      </w:r>
      <w:r w:rsidRPr="00B87455">
        <w:rPr>
          <w:rFonts w:ascii="Times New Roman" w:hAnsi="Times New Roman"/>
          <w:sz w:val="24"/>
          <w:szCs w:val="24"/>
        </w:rPr>
        <w:t xml:space="preserve">pohonnými </w:t>
      </w:r>
      <w:r w:rsidR="00447719" w:rsidRPr="00B87455">
        <w:rPr>
          <w:rFonts w:ascii="Times New Roman" w:hAnsi="Times New Roman"/>
          <w:sz w:val="24"/>
          <w:szCs w:val="24"/>
        </w:rPr>
        <w:t xml:space="preserve">hmotami. </w:t>
      </w:r>
    </w:p>
    <w:p w:rsidR="00BA6DB5" w:rsidRDefault="00CE382A" w:rsidP="00F47500">
      <w:pPr>
        <w:ind w:left="360"/>
        <w:jc w:val="both"/>
        <w:rPr>
          <w:rFonts w:ascii="Times New Roman" w:hAnsi="Times New Roman"/>
          <w:sz w:val="24"/>
          <w:szCs w:val="24"/>
        </w:rPr>
      </w:pPr>
      <w:r w:rsidRPr="00B87455">
        <w:rPr>
          <w:rFonts w:ascii="Times New Roman" w:hAnsi="Times New Roman"/>
          <w:sz w:val="24"/>
          <w:szCs w:val="24"/>
        </w:rPr>
        <w:t xml:space="preserve">Řešeno má být postavení privátních subjektů, </w:t>
      </w:r>
      <w:r w:rsidR="00CF3C6C" w:rsidRPr="00B87455">
        <w:rPr>
          <w:rFonts w:ascii="Times New Roman" w:hAnsi="Times New Roman"/>
          <w:sz w:val="24"/>
          <w:szCs w:val="24"/>
        </w:rPr>
        <w:t>kte</w:t>
      </w:r>
      <w:r w:rsidR="000F6363" w:rsidRPr="00B87455">
        <w:rPr>
          <w:rFonts w:ascii="Times New Roman" w:hAnsi="Times New Roman"/>
          <w:sz w:val="24"/>
          <w:szCs w:val="24"/>
        </w:rPr>
        <w:t>ré</w:t>
      </w:r>
      <w:r w:rsidR="00856966" w:rsidRPr="00B87455">
        <w:rPr>
          <w:rFonts w:ascii="Times New Roman" w:hAnsi="Times New Roman"/>
          <w:sz w:val="24"/>
          <w:szCs w:val="24"/>
        </w:rPr>
        <w:t xml:space="preserve"> </w:t>
      </w:r>
      <w:r w:rsidR="005D05BE" w:rsidRPr="00B87455">
        <w:rPr>
          <w:rFonts w:ascii="Times New Roman" w:hAnsi="Times New Roman"/>
          <w:sz w:val="24"/>
          <w:szCs w:val="24"/>
        </w:rPr>
        <w:t xml:space="preserve">při striktním výkladu legislativy mohou být </w:t>
      </w:r>
      <w:r w:rsidR="00773C3D" w:rsidRPr="00B87455">
        <w:rPr>
          <w:rFonts w:ascii="Times New Roman" w:hAnsi="Times New Roman"/>
          <w:sz w:val="24"/>
          <w:szCs w:val="24"/>
        </w:rPr>
        <w:t xml:space="preserve">definičně </w:t>
      </w:r>
      <w:r w:rsidR="005D05BE" w:rsidRPr="00B87455">
        <w:rPr>
          <w:rFonts w:ascii="Times New Roman" w:hAnsi="Times New Roman"/>
          <w:sz w:val="24"/>
          <w:szCs w:val="24"/>
        </w:rPr>
        <w:t>posouzen</w:t>
      </w:r>
      <w:r w:rsidR="000F6363" w:rsidRPr="00B87455">
        <w:rPr>
          <w:rFonts w:ascii="Times New Roman" w:hAnsi="Times New Roman"/>
          <w:sz w:val="24"/>
          <w:szCs w:val="24"/>
        </w:rPr>
        <w:t>y</w:t>
      </w:r>
      <w:r w:rsidR="005D05BE" w:rsidRPr="00B87455">
        <w:rPr>
          <w:rFonts w:ascii="Times New Roman" w:hAnsi="Times New Roman"/>
          <w:sz w:val="24"/>
          <w:szCs w:val="24"/>
        </w:rPr>
        <w:t xml:space="preserve"> jako distributoři pohonných hmot, jakkoli věcně se v</w:t>
      </w:r>
      <w:r w:rsidR="0038289E" w:rsidRPr="00B87455">
        <w:rPr>
          <w:rFonts w:ascii="Times New Roman" w:hAnsi="Times New Roman"/>
          <w:sz w:val="24"/>
          <w:szCs w:val="24"/>
        </w:rPr>
        <w:t> </w:t>
      </w:r>
      <w:r w:rsidR="005D05BE" w:rsidRPr="00B87455">
        <w:rPr>
          <w:rFonts w:ascii="Times New Roman" w:hAnsi="Times New Roman"/>
          <w:sz w:val="24"/>
          <w:szCs w:val="24"/>
        </w:rPr>
        <w:t xml:space="preserve">jejich </w:t>
      </w:r>
      <w:r w:rsidR="00773C3D" w:rsidRPr="00B87455">
        <w:rPr>
          <w:rFonts w:ascii="Times New Roman" w:hAnsi="Times New Roman"/>
          <w:sz w:val="24"/>
          <w:szCs w:val="24"/>
        </w:rPr>
        <w:t>případě o</w:t>
      </w:r>
      <w:r w:rsidR="0038289E" w:rsidRPr="00B87455">
        <w:rPr>
          <w:rFonts w:ascii="Times New Roman" w:hAnsi="Times New Roman"/>
          <w:sz w:val="24"/>
          <w:szCs w:val="24"/>
        </w:rPr>
        <w:t> </w:t>
      </w:r>
      <w:r w:rsidR="00773C3D" w:rsidRPr="00B87455">
        <w:rPr>
          <w:rFonts w:ascii="Times New Roman" w:hAnsi="Times New Roman"/>
          <w:sz w:val="24"/>
          <w:szCs w:val="24"/>
        </w:rPr>
        <w:t>praktickou distribuci</w:t>
      </w:r>
      <w:r w:rsidR="005D05BE" w:rsidRPr="00B87455">
        <w:rPr>
          <w:rFonts w:ascii="Times New Roman" w:hAnsi="Times New Roman"/>
          <w:sz w:val="24"/>
          <w:szCs w:val="24"/>
        </w:rPr>
        <w:t xml:space="preserve"> nejedná. </w:t>
      </w:r>
    </w:p>
    <w:p w:rsidR="000D01F2" w:rsidRPr="00B87455" w:rsidRDefault="00773C3D" w:rsidP="00F47500">
      <w:pPr>
        <w:ind w:left="360"/>
        <w:jc w:val="both"/>
        <w:rPr>
          <w:rFonts w:ascii="Times New Roman" w:hAnsi="Times New Roman"/>
          <w:sz w:val="24"/>
          <w:szCs w:val="24"/>
        </w:rPr>
      </w:pPr>
      <w:r w:rsidRPr="00B87455">
        <w:rPr>
          <w:rFonts w:ascii="Times New Roman" w:hAnsi="Times New Roman"/>
          <w:sz w:val="24"/>
          <w:szCs w:val="24"/>
        </w:rPr>
        <w:t>V prvé řadě j</w:t>
      </w:r>
      <w:r w:rsidR="005D05BE" w:rsidRPr="00B87455">
        <w:rPr>
          <w:rFonts w:ascii="Times New Roman" w:hAnsi="Times New Roman"/>
          <w:sz w:val="24"/>
          <w:szCs w:val="24"/>
        </w:rPr>
        <w:t>de o</w:t>
      </w:r>
      <w:r w:rsidR="0038289E" w:rsidRPr="00B87455">
        <w:rPr>
          <w:rFonts w:ascii="Times New Roman" w:hAnsi="Times New Roman"/>
          <w:sz w:val="24"/>
          <w:szCs w:val="24"/>
        </w:rPr>
        <w:t> </w:t>
      </w:r>
      <w:r w:rsidR="005D05BE" w:rsidRPr="00B87455">
        <w:rPr>
          <w:rFonts w:ascii="Times New Roman" w:hAnsi="Times New Roman"/>
          <w:sz w:val="24"/>
          <w:szCs w:val="24"/>
        </w:rPr>
        <w:t>širokou podnikatelskou skupinu zaměstnavatelů, kteří v</w:t>
      </w:r>
      <w:r w:rsidR="0038289E" w:rsidRPr="00B87455">
        <w:rPr>
          <w:rFonts w:ascii="Times New Roman" w:hAnsi="Times New Roman"/>
          <w:sz w:val="24"/>
          <w:szCs w:val="24"/>
        </w:rPr>
        <w:t> </w:t>
      </w:r>
      <w:r w:rsidR="005D05BE" w:rsidRPr="00B87455">
        <w:rPr>
          <w:rFonts w:ascii="Times New Roman" w:hAnsi="Times New Roman"/>
          <w:sz w:val="24"/>
          <w:szCs w:val="24"/>
        </w:rPr>
        <w:t xml:space="preserve">rámci </w:t>
      </w:r>
      <w:r w:rsidR="00D313DC" w:rsidRPr="00B87455">
        <w:rPr>
          <w:rFonts w:ascii="Times New Roman" w:hAnsi="Times New Roman"/>
          <w:sz w:val="24"/>
          <w:szCs w:val="24"/>
        </w:rPr>
        <w:t xml:space="preserve">své </w:t>
      </w:r>
      <w:r w:rsidR="005D05BE" w:rsidRPr="00B87455">
        <w:rPr>
          <w:rFonts w:ascii="Times New Roman" w:hAnsi="Times New Roman"/>
          <w:sz w:val="24"/>
          <w:szCs w:val="24"/>
        </w:rPr>
        <w:t>činnosti poskytují pohonné hmoty svým zaměstnancům i</w:t>
      </w:r>
      <w:r w:rsidR="0038289E" w:rsidRPr="00B87455">
        <w:rPr>
          <w:rFonts w:ascii="Times New Roman" w:hAnsi="Times New Roman"/>
          <w:sz w:val="24"/>
          <w:szCs w:val="24"/>
        </w:rPr>
        <w:t> </w:t>
      </w:r>
      <w:r w:rsidR="005D05BE" w:rsidRPr="00B87455">
        <w:rPr>
          <w:rFonts w:ascii="Times New Roman" w:hAnsi="Times New Roman"/>
          <w:sz w:val="24"/>
          <w:szCs w:val="24"/>
        </w:rPr>
        <w:t xml:space="preserve">při užívání služebních vozidel pro soukromé účely. </w:t>
      </w:r>
      <w:r w:rsidR="000D01F2" w:rsidRPr="00B87455">
        <w:rPr>
          <w:rFonts w:ascii="Times New Roman" w:hAnsi="Times New Roman"/>
          <w:sz w:val="24"/>
          <w:szCs w:val="24"/>
        </w:rPr>
        <w:t>Tato činnost probíhá v</w:t>
      </w:r>
      <w:r w:rsidR="0038289E" w:rsidRPr="00B87455">
        <w:rPr>
          <w:rFonts w:ascii="Times New Roman" w:hAnsi="Times New Roman"/>
          <w:sz w:val="24"/>
          <w:szCs w:val="24"/>
        </w:rPr>
        <w:t> </w:t>
      </w:r>
      <w:r w:rsidR="000D01F2" w:rsidRPr="00B87455">
        <w:rPr>
          <w:rFonts w:ascii="Times New Roman" w:hAnsi="Times New Roman"/>
          <w:sz w:val="24"/>
          <w:szCs w:val="24"/>
        </w:rPr>
        <w:t>podnikatelské sféře již velmi dlouhou dobu, ale opakovaně vystavuje podnikatelské subjekty, po přijetí novely zákona o</w:t>
      </w:r>
      <w:r w:rsidR="0038289E" w:rsidRPr="00B87455">
        <w:rPr>
          <w:rFonts w:ascii="Times New Roman" w:hAnsi="Times New Roman"/>
          <w:sz w:val="24"/>
          <w:szCs w:val="24"/>
        </w:rPr>
        <w:t> </w:t>
      </w:r>
      <w:r w:rsidR="000D01F2" w:rsidRPr="00B87455">
        <w:rPr>
          <w:rFonts w:ascii="Times New Roman" w:hAnsi="Times New Roman"/>
          <w:sz w:val="24"/>
          <w:szCs w:val="24"/>
        </w:rPr>
        <w:t>pohonných hmotách v</w:t>
      </w:r>
      <w:r w:rsidR="0038289E" w:rsidRPr="00B87455">
        <w:rPr>
          <w:rFonts w:ascii="Times New Roman" w:hAnsi="Times New Roman"/>
          <w:sz w:val="24"/>
          <w:szCs w:val="24"/>
        </w:rPr>
        <w:t> </w:t>
      </w:r>
      <w:r w:rsidR="000D01F2" w:rsidRPr="00B87455">
        <w:rPr>
          <w:rFonts w:ascii="Times New Roman" w:hAnsi="Times New Roman"/>
          <w:sz w:val="24"/>
          <w:szCs w:val="24"/>
        </w:rPr>
        <w:t>roce 2015, riziku striktního výkladu definic zákona, které do něj byly vloženy z</w:t>
      </w:r>
      <w:r w:rsidR="0038289E" w:rsidRPr="00B87455">
        <w:rPr>
          <w:rFonts w:ascii="Times New Roman" w:hAnsi="Times New Roman"/>
          <w:sz w:val="24"/>
          <w:szCs w:val="24"/>
        </w:rPr>
        <w:t> </w:t>
      </w:r>
      <w:r w:rsidR="000D01F2" w:rsidRPr="00B87455">
        <w:rPr>
          <w:rFonts w:ascii="Times New Roman" w:hAnsi="Times New Roman"/>
          <w:sz w:val="24"/>
          <w:szCs w:val="24"/>
        </w:rPr>
        <w:t>důvodů nutné ochrany hospodářství před da</w:t>
      </w:r>
      <w:r w:rsidR="009D037F" w:rsidRPr="00B87455">
        <w:rPr>
          <w:rFonts w:ascii="Times New Roman" w:hAnsi="Times New Roman"/>
          <w:sz w:val="24"/>
          <w:szCs w:val="24"/>
        </w:rPr>
        <w:t>ňovými delikty a</w:t>
      </w:r>
      <w:r w:rsidR="0038289E" w:rsidRPr="00B87455">
        <w:rPr>
          <w:rFonts w:ascii="Times New Roman" w:hAnsi="Times New Roman"/>
          <w:sz w:val="24"/>
          <w:szCs w:val="24"/>
        </w:rPr>
        <w:t> </w:t>
      </w:r>
      <w:r w:rsidR="009D037F" w:rsidRPr="00B87455">
        <w:rPr>
          <w:rFonts w:ascii="Times New Roman" w:hAnsi="Times New Roman"/>
          <w:sz w:val="24"/>
          <w:szCs w:val="24"/>
        </w:rPr>
        <w:t xml:space="preserve">tedy </w:t>
      </w:r>
      <w:r w:rsidR="009C1CE1" w:rsidRPr="00B87455">
        <w:rPr>
          <w:rFonts w:ascii="Times New Roman" w:hAnsi="Times New Roman"/>
          <w:sz w:val="24"/>
          <w:szCs w:val="24"/>
        </w:rPr>
        <w:t>i</w:t>
      </w:r>
      <w:r w:rsidR="0038289E" w:rsidRPr="00B87455">
        <w:rPr>
          <w:rFonts w:ascii="Times New Roman" w:hAnsi="Times New Roman"/>
          <w:sz w:val="24"/>
          <w:szCs w:val="24"/>
        </w:rPr>
        <w:t> </w:t>
      </w:r>
      <w:r w:rsidR="009D037F" w:rsidRPr="00B87455">
        <w:rPr>
          <w:rFonts w:ascii="Times New Roman" w:hAnsi="Times New Roman"/>
          <w:sz w:val="24"/>
          <w:szCs w:val="24"/>
        </w:rPr>
        <w:t>uplatnění velmi citelných sankcí</w:t>
      </w:r>
      <w:r w:rsidR="00856966" w:rsidRPr="00B87455">
        <w:rPr>
          <w:rFonts w:ascii="Times New Roman" w:hAnsi="Times New Roman"/>
          <w:sz w:val="24"/>
          <w:szCs w:val="24"/>
        </w:rPr>
        <w:t xml:space="preserve"> při porušení zejména daňové kázně</w:t>
      </w:r>
      <w:r w:rsidR="009D037F" w:rsidRPr="00B87455">
        <w:rPr>
          <w:rFonts w:ascii="Times New Roman" w:hAnsi="Times New Roman"/>
          <w:sz w:val="24"/>
          <w:szCs w:val="24"/>
        </w:rPr>
        <w:t>.</w:t>
      </w:r>
    </w:p>
    <w:p w:rsidR="00BA6DB5" w:rsidRDefault="005D05BE" w:rsidP="00F47500">
      <w:pPr>
        <w:ind w:left="360"/>
        <w:jc w:val="both"/>
        <w:rPr>
          <w:rFonts w:ascii="Times New Roman" w:hAnsi="Times New Roman"/>
          <w:sz w:val="24"/>
          <w:szCs w:val="24"/>
        </w:rPr>
      </w:pPr>
      <w:r w:rsidRPr="00B87455">
        <w:rPr>
          <w:rFonts w:ascii="Times New Roman" w:hAnsi="Times New Roman"/>
          <w:sz w:val="24"/>
          <w:szCs w:val="24"/>
        </w:rPr>
        <w:t>Další skupinou</w:t>
      </w:r>
      <w:r w:rsidR="00636735" w:rsidRPr="00B87455">
        <w:rPr>
          <w:rFonts w:ascii="Times New Roman" w:hAnsi="Times New Roman"/>
          <w:sz w:val="24"/>
          <w:szCs w:val="24"/>
        </w:rPr>
        <w:t>,</w:t>
      </w:r>
      <w:r w:rsidR="00856966" w:rsidRPr="00B87455">
        <w:rPr>
          <w:rFonts w:ascii="Times New Roman" w:hAnsi="Times New Roman"/>
          <w:sz w:val="24"/>
          <w:szCs w:val="24"/>
        </w:rPr>
        <w:t xml:space="preserve"> </w:t>
      </w:r>
      <w:r w:rsidR="009D037F" w:rsidRPr="00B87455">
        <w:rPr>
          <w:rFonts w:ascii="Times New Roman" w:hAnsi="Times New Roman"/>
          <w:sz w:val="24"/>
          <w:szCs w:val="24"/>
        </w:rPr>
        <w:t xml:space="preserve">čelící </w:t>
      </w:r>
      <w:r w:rsidR="00856966" w:rsidRPr="00B87455">
        <w:rPr>
          <w:rFonts w:ascii="Times New Roman" w:hAnsi="Times New Roman"/>
          <w:sz w:val="24"/>
          <w:szCs w:val="24"/>
        </w:rPr>
        <w:t xml:space="preserve">podobné </w:t>
      </w:r>
      <w:r w:rsidR="009D037F" w:rsidRPr="00B87455">
        <w:rPr>
          <w:rFonts w:ascii="Times New Roman" w:hAnsi="Times New Roman"/>
          <w:sz w:val="24"/>
          <w:szCs w:val="24"/>
        </w:rPr>
        <w:t>situaci jako předchozí</w:t>
      </w:r>
      <w:r w:rsidR="00636735" w:rsidRPr="00B87455">
        <w:rPr>
          <w:rFonts w:ascii="Times New Roman" w:hAnsi="Times New Roman"/>
          <w:sz w:val="24"/>
          <w:szCs w:val="24"/>
        </w:rPr>
        <w:t>,</w:t>
      </w:r>
      <w:r w:rsidR="00856966" w:rsidRPr="00B87455">
        <w:rPr>
          <w:rFonts w:ascii="Times New Roman" w:hAnsi="Times New Roman"/>
          <w:sz w:val="24"/>
          <w:szCs w:val="24"/>
        </w:rPr>
        <w:t xml:space="preserve"> </w:t>
      </w:r>
      <w:r w:rsidRPr="00B87455">
        <w:rPr>
          <w:rFonts w:ascii="Times New Roman" w:hAnsi="Times New Roman"/>
          <w:sz w:val="24"/>
          <w:szCs w:val="24"/>
        </w:rPr>
        <w:t>jsou podnikatelé, kteří poskytují pohonné hmoty v</w:t>
      </w:r>
      <w:r w:rsidR="0038289E" w:rsidRPr="00B87455">
        <w:rPr>
          <w:rFonts w:ascii="Times New Roman" w:hAnsi="Times New Roman"/>
          <w:sz w:val="24"/>
          <w:szCs w:val="24"/>
        </w:rPr>
        <w:t> </w:t>
      </w:r>
      <w:r w:rsidRPr="00B87455">
        <w:rPr>
          <w:rFonts w:ascii="Times New Roman" w:hAnsi="Times New Roman"/>
          <w:sz w:val="24"/>
          <w:szCs w:val="24"/>
        </w:rPr>
        <w:t>přímé sou</w:t>
      </w:r>
      <w:r w:rsidR="00035CFC" w:rsidRPr="00B87455">
        <w:rPr>
          <w:rFonts w:ascii="Times New Roman" w:hAnsi="Times New Roman"/>
          <w:sz w:val="24"/>
          <w:szCs w:val="24"/>
        </w:rPr>
        <w:t>vislosti</w:t>
      </w:r>
      <w:r w:rsidRPr="00B87455">
        <w:rPr>
          <w:rFonts w:ascii="Times New Roman" w:hAnsi="Times New Roman"/>
          <w:sz w:val="24"/>
          <w:szCs w:val="24"/>
        </w:rPr>
        <w:t xml:space="preserve"> s</w:t>
      </w:r>
      <w:r w:rsidR="0038289E" w:rsidRPr="00B87455">
        <w:rPr>
          <w:rFonts w:ascii="Times New Roman" w:hAnsi="Times New Roman"/>
          <w:sz w:val="24"/>
          <w:szCs w:val="24"/>
        </w:rPr>
        <w:t> </w:t>
      </w:r>
      <w:r w:rsidRPr="00B87455">
        <w:rPr>
          <w:rFonts w:ascii="Times New Roman" w:hAnsi="Times New Roman"/>
          <w:sz w:val="24"/>
          <w:szCs w:val="24"/>
        </w:rPr>
        <w:t>pronájmem svých vozidel, zařízení a</w:t>
      </w:r>
      <w:r w:rsidR="0038289E" w:rsidRPr="00B87455">
        <w:rPr>
          <w:rFonts w:ascii="Times New Roman" w:hAnsi="Times New Roman"/>
          <w:sz w:val="24"/>
          <w:szCs w:val="24"/>
        </w:rPr>
        <w:t> </w:t>
      </w:r>
      <w:r w:rsidRPr="00B87455">
        <w:rPr>
          <w:rFonts w:ascii="Times New Roman" w:hAnsi="Times New Roman"/>
          <w:sz w:val="24"/>
          <w:szCs w:val="24"/>
        </w:rPr>
        <w:t xml:space="preserve">strojů nájemcům. </w:t>
      </w:r>
      <w:r w:rsidR="000D01F2" w:rsidRPr="00B87455">
        <w:rPr>
          <w:rFonts w:ascii="Times New Roman" w:hAnsi="Times New Roman"/>
          <w:sz w:val="24"/>
          <w:szCs w:val="24"/>
        </w:rPr>
        <w:t>I</w:t>
      </w:r>
      <w:r w:rsidR="0038289E" w:rsidRPr="00B87455">
        <w:rPr>
          <w:rFonts w:ascii="Times New Roman" w:hAnsi="Times New Roman"/>
          <w:sz w:val="24"/>
          <w:szCs w:val="24"/>
        </w:rPr>
        <w:t> </w:t>
      </w:r>
      <w:r w:rsidR="000D01F2" w:rsidRPr="00B87455">
        <w:rPr>
          <w:rFonts w:ascii="Times New Roman" w:hAnsi="Times New Roman"/>
          <w:sz w:val="24"/>
          <w:szCs w:val="24"/>
        </w:rPr>
        <w:t>v</w:t>
      </w:r>
      <w:r w:rsidR="0038289E" w:rsidRPr="00B87455">
        <w:rPr>
          <w:rFonts w:ascii="Times New Roman" w:hAnsi="Times New Roman"/>
          <w:sz w:val="24"/>
          <w:szCs w:val="24"/>
        </w:rPr>
        <w:t> </w:t>
      </w:r>
      <w:r w:rsidR="000D01F2" w:rsidRPr="00B87455">
        <w:rPr>
          <w:rFonts w:ascii="Times New Roman" w:hAnsi="Times New Roman"/>
          <w:sz w:val="24"/>
          <w:szCs w:val="24"/>
        </w:rPr>
        <w:t>této skupině jde o</w:t>
      </w:r>
      <w:r w:rsidR="0038289E" w:rsidRPr="00B87455">
        <w:rPr>
          <w:rFonts w:ascii="Times New Roman" w:hAnsi="Times New Roman"/>
          <w:sz w:val="24"/>
          <w:szCs w:val="24"/>
        </w:rPr>
        <w:t> </w:t>
      </w:r>
      <w:r w:rsidR="000D01F2" w:rsidRPr="00B87455">
        <w:rPr>
          <w:rFonts w:ascii="Times New Roman" w:hAnsi="Times New Roman"/>
          <w:sz w:val="24"/>
          <w:szCs w:val="24"/>
        </w:rPr>
        <w:t>častou a</w:t>
      </w:r>
      <w:r w:rsidR="0038289E" w:rsidRPr="00B87455">
        <w:rPr>
          <w:rFonts w:ascii="Times New Roman" w:hAnsi="Times New Roman"/>
          <w:sz w:val="24"/>
          <w:szCs w:val="24"/>
        </w:rPr>
        <w:t> </w:t>
      </w:r>
      <w:r w:rsidR="000D01F2" w:rsidRPr="00B87455">
        <w:rPr>
          <w:rFonts w:ascii="Times New Roman" w:hAnsi="Times New Roman"/>
          <w:sz w:val="24"/>
          <w:szCs w:val="24"/>
        </w:rPr>
        <w:t xml:space="preserve">opakovanou </w:t>
      </w:r>
      <w:r w:rsidR="009D037F" w:rsidRPr="00B87455">
        <w:rPr>
          <w:rFonts w:ascii="Times New Roman" w:hAnsi="Times New Roman"/>
          <w:sz w:val="24"/>
          <w:szCs w:val="24"/>
        </w:rPr>
        <w:t xml:space="preserve">činnost, které se věnují zejména leasingové společnosti. </w:t>
      </w:r>
    </w:p>
    <w:p w:rsidR="00F76296" w:rsidRPr="00B87455" w:rsidRDefault="00F76296" w:rsidP="00F47500">
      <w:pPr>
        <w:ind w:left="360"/>
        <w:jc w:val="both"/>
        <w:rPr>
          <w:rFonts w:ascii="Times New Roman" w:hAnsi="Times New Roman"/>
          <w:sz w:val="24"/>
          <w:szCs w:val="24"/>
        </w:rPr>
      </w:pPr>
      <w:r w:rsidRPr="00B87455">
        <w:rPr>
          <w:rFonts w:ascii="Times New Roman" w:hAnsi="Times New Roman"/>
          <w:sz w:val="24"/>
          <w:szCs w:val="24"/>
        </w:rPr>
        <w:t>Kromě podnikatelské sféry striktní definice distributora pohonných hmot však určité problémy činí i</w:t>
      </w:r>
      <w:r w:rsidR="0038289E" w:rsidRPr="00B87455">
        <w:rPr>
          <w:rFonts w:ascii="Times New Roman" w:hAnsi="Times New Roman"/>
          <w:sz w:val="24"/>
          <w:szCs w:val="24"/>
        </w:rPr>
        <w:t> </w:t>
      </w:r>
      <w:r w:rsidRPr="00B87455">
        <w:rPr>
          <w:rFonts w:ascii="Times New Roman" w:hAnsi="Times New Roman"/>
          <w:sz w:val="24"/>
          <w:szCs w:val="24"/>
        </w:rPr>
        <w:t>státní správě v</w:t>
      </w:r>
      <w:r w:rsidR="0038289E" w:rsidRPr="00B87455">
        <w:rPr>
          <w:rFonts w:ascii="Times New Roman" w:hAnsi="Times New Roman"/>
          <w:sz w:val="24"/>
          <w:szCs w:val="24"/>
        </w:rPr>
        <w:t> </w:t>
      </w:r>
      <w:r w:rsidRPr="00B87455">
        <w:rPr>
          <w:rFonts w:ascii="Times New Roman" w:hAnsi="Times New Roman"/>
          <w:sz w:val="24"/>
          <w:szCs w:val="24"/>
        </w:rPr>
        <w:t xml:space="preserve">oblasti insolvenčního řízení při </w:t>
      </w:r>
      <w:r w:rsidRPr="00B87455">
        <w:rPr>
          <w:rFonts w:ascii="Times New Roman" w:hAnsi="Times New Roman"/>
          <w:color w:val="000000"/>
          <w:sz w:val="24"/>
          <w:szCs w:val="24"/>
        </w:rPr>
        <w:t xml:space="preserve">prodeji pohonných hmot </w:t>
      </w:r>
      <w:r w:rsidRPr="00B87455">
        <w:rPr>
          <w:rFonts w:ascii="Times New Roman" w:hAnsi="Times New Roman"/>
          <w:sz w:val="24"/>
          <w:szCs w:val="24"/>
        </w:rPr>
        <w:t>insolvenčním správcem po prohlášení konkur</w:t>
      </w:r>
      <w:r w:rsidR="00C01595" w:rsidRPr="00B87455">
        <w:rPr>
          <w:rFonts w:ascii="Times New Roman" w:hAnsi="Times New Roman"/>
          <w:sz w:val="24"/>
          <w:szCs w:val="24"/>
        </w:rPr>
        <w:t>s</w:t>
      </w:r>
      <w:r w:rsidRPr="00B87455">
        <w:rPr>
          <w:rFonts w:ascii="Times New Roman" w:hAnsi="Times New Roman"/>
          <w:sz w:val="24"/>
          <w:szCs w:val="24"/>
        </w:rPr>
        <w:t>u na distributora pohonných hmot</w:t>
      </w:r>
      <w:r w:rsidR="00496CB6" w:rsidRPr="00B87455">
        <w:rPr>
          <w:rFonts w:ascii="Times New Roman" w:hAnsi="Times New Roman"/>
          <w:sz w:val="24"/>
          <w:szCs w:val="24"/>
        </w:rPr>
        <w:t xml:space="preserve"> nebo při prodeji pohonné hmoty správním orgánem nebo organizační složkou státu</w:t>
      </w:r>
      <w:r w:rsidRPr="00B87455">
        <w:rPr>
          <w:rFonts w:ascii="Times New Roman" w:hAnsi="Times New Roman"/>
          <w:sz w:val="24"/>
          <w:szCs w:val="24"/>
        </w:rPr>
        <w:t>.</w:t>
      </w:r>
      <w:r w:rsidR="00397CEF" w:rsidRPr="00B87455">
        <w:rPr>
          <w:rFonts w:ascii="Times New Roman" w:hAnsi="Times New Roman"/>
          <w:sz w:val="24"/>
          <w:szCs w:val="24"/>
        </w:rPr>
        <w:t xml:space="preserve"> </w:t>
      </w:r>
      <w:r w:rsidRPr="00B87455">
        <w:rPr>
          <w:rFonts w:ascii="Times New Roman" w:hAnsi="Times New Roman"/>
          <w:sz w:val="24"/>
          <w:szCs w:val="24"/>
        </w:rPr>
        <w:t xml:space="preserve">Problém spíše než </w:t>
      </w:r>
      <w:r w:rsidR="00001099" w:rsidRPr="00B87455">
        <w:rPr>
          <w:rFonts w:ascii="Times New Roman" w:hAnsi="Times New Roman"/>
          <w:sz w:val="24"/>
          <w:szCs w:val="24"/>
        </w:rPr>
        <w:t xml:space="preserve">jeho častý výskyt se skrývá </w:t>
      </w:r>
      <w:r w:rsidRPr="00B87455">
        <w:rPr>
          <w:rFonts w:ascii="Times New Roman" w:hAnsi="Times New Roman"/>
          <w:sz w:val="24"/>
          <w:szCs w:val="24"/>
        </w:rPr>
        <w:t>v</w:t>
      </w:r>
      <w:r w:rsidR="0038289E" w:rsidRPr="00B87455">
        <w:rPr>
          <w:rFonts w:ascii="Times New Roman" w:hAnsi="Times New Roman"/>
          <w:sz w:val="24"/>
          <w:szCs w:val="24"/>
        </w:rPr>
        <w:t> </w:t>
      </w:r>
      <w:r w:rsidRPr="00B87455">
        <w:rPr>
          <w:rFonts w:ascii="Times New Roman" w:hAnsi="Times New Roman"/>
          <w:sz w:val="24"/>
          <w:szCs w:val="24"/>
        </w:rPr>
        <w:t xml:space="preserve">samotné podstatě, kdy zástupce státní správy </w:t>
      </w:r>
      <w:r w:rsidR="00397CEF" w:rsidRPr="00B87455">
        <w:rPr>
          <w:rFonts w:ascii="Times New Roman" w:hAnsi="Times New Roman"/>
          <w:sz w:val="24"/>
          <w:szCs w:val="24"/>
        </w:rPr>
        <w:t xml:space="preserve">přeci </w:t>
      </w:r>
      <w:r w:rsidRPr="00B87455">
        <w:rPr>
          <w:rFonts w:ascii="Times New Roman" w:hAnsi="Times New Roman"/>
          <w:sz w:val="24"/>
          <w:szCs w:val="24"/>
        </w:rPr>
        <w:t xml:space="preserve">nesmí </w:t>
      </w:r>
      <w:r w:rsidRPr="00B87455">
        <w:rPr>
          <w:rFonts w:ascii="Times New Roman" w:hAnsi="Times New Roman"/>
          <w:sz w:val="24"/>
          <w:szCs w:val="24"/>
        </w:rPr>
        <w:lastRenderedPageBreak/>
        <w:t>vykonávat činnost v</w:t>
      </w:r>
      <w:r w:rsidR="0038289E" w:rsidRPr="00B87455">
        <w:rPr>
          <w:rFonts w:ascii="Times New Roman" w:hAnsi="Times New Roman"/>
          <w:sz w:val="24"/>
          <w:szCs w:val="24"/>
        </w:rPr>
        <w:t> </w:t>
      </w:r>
      <w:r w:rsidRPr="00B87455">
        <w:rPr>
          <w:rFonts w:ascii="Times New Roman" w:hAnsi="Times New Roman"/>
          <w:sz w:val="24"/>
          <w:szCs w:val="24"/>
        </w:rPr>
        <w:t>rozporu se zákonem tím, že nebude plnit podmínky pro takovou činnost státem po ostatních požadované.</w:t>
      </w:r>
    </w:p>
    <w:p w:rsidR="009D037F" w:rsidRPr="00B87455" w:rsidRDefault="005D05BE" w:rsidP="00F47500">
      <w:pPr>
        <w:ind w:left="360"/>
        <w:jc w:val="both"/>
        <w:rPr>
          <w:rFonts w:ascii="Times New Roman" w:hAnsi="Times New Roman"/>
          <w:sz w:val="24"/>
          <w:szCs w:val="24"/>
        </w:rPr>
      </w:pPr>
      <w:r w:rsidRPr="00B87455">
        <w:rPr>
          <w:rFonts w:ascii="Times New Roman" w:hAnsi="Times New Roman"/>
          <w:sz w:val="24"/>
          <w:szCs w:val="24"/>
        </w:rPr>
        <w:t>V podobném postavení</w:t>
      </w:r>
      <w:r w:rsidR="00636735" w:rsidRPr="00B87455">
        <w:rPr>
          <w:rFonts w:ascii="Times New Roman" w:hAnsi="Times New Roman"/>
          <w:sz w:val="24"/>
          <w:szCs w:val="24"/>
        </w:rPr>
        <w:t xml:space="preserve"> právní nejistoty v</w:t>
      </w:r>
      <w:r w:rsidR="0038289E" w:rsidRPr="00B87455">
        <w:rPr>
          <w:rFonts w:ascii="Times New Roman" w:hAnsi="Times New Roman"/>
          <w:sz w:val="24"/>
          <w:szCs w:val="24"/>
        </w:rPr>
        <w:t> </w:t>
      </w:r>
      <w:r w:rsidR="00636735" w:rsidRPr="00B87455">
        <w:rPr>
          <w:rFonts w:ascii="Times New Roman" w:hAnsi="Times New Roman"/>
          <w:sz w:val="24"/>
          <w:szCs w:val="24"/>
        </w:rPr>
        <w:t xml:space="preserve">důsledku </w:t>
      </w:r>
      <w:r w:rsidR="00F166E5" w:rsidRPr="00B87455">
        <w:rPr>
          <w:rFonts w:ascii="Times New Roman" w:hAnsi="Times New Roman"/>
          <w:sz w:val="24"/>
          <w:szCs w:val="24"/>
        </w:rPr>
        <w:t xml:space="preserve">nedostatečného definičního </w:t>
      </w:r>
      <w:r w:rsidR="00E65203" w:rsidRPr="00B87455">
        <w:rPr>
          <w:rFonts w:ascii="Times New Roman" w:hAnsi="Times New Roman"/>
          <w:sz w:val="24"/>
          <w:szCs w:val="24"/>
        </w:rPr>
        <w:t>podchycení</w:t>
      </w:r>
      <w:r w:rsidRPr="00B87455">
        <w:rPr>
          <w:rFonts w:ascii="Times New Roman" w:hAnsi="Times New Roman"/>
          <w:sz w:val="24"/>
          <w:szCs w:val="24"/>
        </w:rPr>
        <w:t xml:space="preserve"> jako předcházející </w:t>
      </w:r>
      <w:r w:rsidR="009D037F" w:rsidRPr="00B87455">
        <w:rPr>
          <w:rFonts w:ascii="Times New Roman" w:hAnsi="Times New Roman"/>
          <w:sz w:val="24"/>
          <w:szCs w:val="24"/>
        </w:rPr>
        <w:t xml:space="preserve">dvě </w:t>
      </w:r>
      <w:r w:rsidR="00773C3D" w:rsidRPr="00B87455">
        <w:rPr>
          <w:rFonts w:ascii="Times New Roman" w:hAnsi="Times New Roman"/>
          <w:sz w:val="24"/>
          <w:szCs w:val="24"/>
        </w:rPr>
        <w:t xml:space="preserve">skupiny </w:t>
      </w:r>
      <w:r w:rsidR="009D037F" w:rsidRPr="00B87455">
        <w:rPr>
          <w:rFonts w:ascii="Times New Roman" w:hAnsi="Times New Roman"/>
          <w:sz w:val="24"/>
          <w:szCs w:val="24"/>
        </w:rPr>
        <w:t>podnikatelů</w:t>
      </w:r>
      <w:r w:rsidR="00D313DC" w:rsidRPr="00B87455">
        <w:rPr>
          <w:rFonts w:ascii="Times New Roman" w:hAnsi="Times New Roman"/>
          <w:sz w:val="24"/>
          <w:szCs w:val="24"/>
        </w:rPr>
        <w:t>,</w:t>
      </w:r>
      <w:r w:rsidR="00397CEF" w:rsidRPr="00B87455">
        <w:rPr>
          <w:rFonts w:ascii="Times New Roman" w:hAnsi="Times New Roman"/>
          <w:sz w:val="24"/>
          <w:szCs w:val="24"/>
        </w:rPr>
        <w:t xml:space="preserve"> </w:t>
      </w:r>
      <w:r w:rsidRPr="00B87455">
        <w:rPr>
          <w:rFonts w:ascii="Times New Roman" w:hAnsi="Times New Roman"/>
          <w:sz w:val="24"/>
          <w:szCs w:val="24"/>
        </w:rPr>
        <w:t>se při přísném výkladu legislativy nacházejí i</w:t>
      </w:r>
      <w:r w:rsidR="0038289E" w:rsidRPr="00B87455">
        <w:rPr>
          <w:rFonts w:ascii="Times New Roman" w:hAnsi="Times New Roman"/>
          <w:sz w:val="24"/>
          <w:szCs w:val="24"/>
        </w:rPr>
        <w:t> </w:t>
      </w:r>
      <w:r w:rsidRPr="00B87455">
        <w:rPr>
          <w:rFonts w:ascii="Times New Roman" w:hAnsi="Times New Roman"/>
          <w:sz w:val="24"/>
          <w:szCs w:val="24"/>
        </w:rPr>
        <w:t xml:space="preserve">subjekty, které pohonné hmoty </w:t>
      </w:r>
      <w:r w:rsidR="009D037F" w:rsidRPr="00B87455">
        <w:rPr>
          <w:rFonts w:ascii="Times New Roman" w:hAnsi="Times New Roman"/>
          <w:sz w:val="24"/>
          <w:szCs w:val="24"/>
        </w:rPr>
        <w:t xml:space="preserve">neprodávají, ale </w:t>
      </w:r>
      <w:r w:rsidR="00E65203" w:rsidRPr="00B87455">
        <w:rPr>
          <w:rFonts w:ascii="Times New Roman" w:hAnsi="Times New Roman"/>
          <w:sz w:val="24"/>
          <w:szCs w:val="24"/>
        </w:rPr>
        <w:t xml:space="preserve">pouze </w:t>
      </w:r>
      <w:r w:rsidRPr="00B87455">
        <w:rPr>
          <w:rFonts w:ascii="Times New Roman" w:hAnsi="Times New Roman"/>
          <w:sz w:val="24"/>
          <w:szCs w:val="24"/>
        </w:rPr>
        <w:t>vydávají ze svých zařízení do vlastních vozidel a</w:t>
      </w:r>
      <w:r w:rsidR="0038289E" w:rsidRPr="00B87455">
        <w:rPr>
          <w:rFonts w:ascii="Times New Roman" w:hAnsi="Times New Roman"/>
          <w:sz w:val="24"/>
          <w:szCs w:val="24"/>
        </w:rPr>
        <w:t> </w:t>
      </w:r>
      <w:r w:rsidRPr="00B87455">
        <w:rPr>
          <w:rFonts w:ascii="Times New Roman" w:hAnsi="Times New Roman"/>
          <w:sz w:val="24"/>
          <w:szCs w:val="24"/>
        </w:rPr>
        <w:t>to včetně zásobování strojů a</w:t>
      </w:r>
      <w:r w:rsidR="0038289E" w:rsidRPr="00B87455">
        <w:rPr>
          <w:rFonts w:ascii="Times New Roman" w:hAnsi="Times New Roman"/>
          <w:sz w:val="24"/>
          <w:szCs w:val="24"/>
        </w:rPr>
        <w:t> </w:t>
      </w:r>
      <w:r w:rsidRPr="00B87455">
        <w:rPr>
          <w:rFonts w:ascii="Times New Roman" w:hAnsi="Times New Roman"/>
          <w:sz w:val="24"/>
          <w:szCs w:val="24"/>
        </w:rPr>
        <w:t>zařízení</w:t>
      </w:r>
      <w:r w:rsidR="009D037F" w:rsidRPr="00B87455">
        <w:rPr>
          <w:rFonts w:ascii="Times New Roman" w:hAnsi="Times New Roman"/>
          <w:sz w:val="24"/>
          <w:szCs w:val="24"/>
        </w:rPr>
        <w:t xml:space="preserve"> vykonávající</w:t>
      </w:r>
      <w:r w:rsidR="00397CEF" w:rsidRPr="00B87455">
        <w:rPr>
          <w:rFonts w:ascii="Times New Roman" w:hAnsi="Times New Roman"/>
          <w:sz w:val="24"/>
          <w:szCs w:val="24"/>
        </w:rPr>
        <w:t xml:space="preserve"> </w:t>
      </w:r>
      <w:r w:rsidR="00773C3D" w:rsidRPr="00B87455">
        <w:rPr>
          <w:rFonts w:ascii="Times New Roman" w:hAnsi="Times New Roman"/>
          <w:sz w:val="24"/>
          <w:szCs w:val="24"/>
        </w:rPr>
        <w:t xml:space="preserve">pracovní </w:t>
      </w:r>
      <w:r w:rsidRPr="00B87455">
        <w:rPr>
          <w:rFonts w:ascii="Times New Roman" w:hAnsi="Times New Roman"/>
          <w:sz w:val="24"/>
          <w:szCs w:val="24"/>
        </w:rPr>
        <w:t>činnost v</w:t>
      </w:r>
      <w:r w:rsidR="0038289E" w:rsidRPr="00B87455">
        <w:rPr>
          <w:rFonts w:ascii="Times New Roman" w:hAnsi="Times New Roman"/>
          <w:sz w:val="24"/>
          <w:szCs w:val="24"/>
        </w:rPr>
        <w:t> </w:t>
      </w:r>
      <w:r w:rsidRPr="00B87455">
        <w:rPr>
          <w:rFonts w:ascii="Times New Roman" w:hAnsi="Times New Roman"/>
          <w:sz w:val="24"/>
          <w:szCs w:val="24"/>
        </w:rPr>
        <w:t>terénu. Jedná se o</w:t>
      </w:r>
      <w:r w:rsidR="0038289E" w:rsidRPr="00B87455">
        <w:rPr>
          <w:rFonts w:ascii="Times New Roman" w:hAnsi="Times New Roman"/>
          <w:sz w:val="24"/>
          <w:szCs w:val="24"/>
        </w:rPr>
        <w:t> </w:t>
      </w:r>
      <w:r w:rsidRPr="00B87455">
        <w:rPr>
          <w:rFonts w:ascii="Times New Roman" w:hAnsi="Times New Roman"/>
          <w:sz w:val="24"/>
          <w:szCs w:val="24"/>
        </w:rPr>
        <w:t>subjekt</w:t>
      </w:r>
      <w:r w:rsidR="00773C3D" w:rsidRPr="00B87455">
        <w:rPr>
          <w:rFonts w:ascii="Times New Roman" w:hAnsi="Times New Roman"/>
          <w:sz w:val="24"/>
          <w:szCs w:val="24"/>
        </w:rPr>
        <w:t>y</w:t>
      </w:r>
      <w:r w:rsidRPr="00B87455">
        <w:rPr>
          <w:rFonts w:ascii="Times New Roman" w:hAnsi="Times New Roman"/>
          <w:sz w:val="24"/>
          <w:szCs w:val="24"/>
        </w:rPr>
        <w:t xml:space="preserve"> podnikající například v</w:t>
      </w:r>
      <w:r w:rsidR="0038289E" w:rsidRPr="00B87455">
        <w:rPr>
          <w:rFonts w:ascii="Times New Roman" w:hAnsi="Times New Roman"/>
          <w:sz w:val="24"/>
          <w:szCs w:val="24"/>
        </w:rPr>
        <w:t> </w:t>
      </w:r>
      <w:r w:rsidRPr="00B87455">
        <w:rPr>
          <w:rFonts w:ascii="Times New Roman" w:hAnsi="Times New Roman"/>
          <w:sz w:val="24"/>
          <w:szCs w:val="24"/>
        </w:rPr>
        <w:t>oblasti zemědělství, stavebnictví a</w:t>
      </w:r>
      <w:r w:rsidR="0038289E" w:rsidRPr="00B87455">
        <w:rPr>
          <w:rFonts w:ascii="Times New Roman" w:hAnsi="Times New Roman"/>
          <w:sz w:val="24"/>
          <w:szCs w:val="24"/>
        </w:rPr>
        <w:t> </w:t>
      </w:r>
      <w:r w:rsidRPr="00B87455">
        <w:rPr>
          <w:rFonts w:ascii="Times New Roman" w:hAnsi="Times New Roman"/>
          <w:sz w:val="24"/>
          <w:szCs w:val="24"/>
        </w:rPr>
        <w:t>lesním průmyslu. V</w:t>
      </w:r>
      <w:r w:rsidR="0038289E" w:rsidRPr="00B87455">
        <w:rPr>
          <w:rFonts w:ascii="Times New Roman" w:hAnsi="Times New Roman"/>
          <w:sz w:val="24"/>
          <w:szCs w:val="24"/>
        </w:rPr>
        <w:t> </w:t>
      </w:r>
      <w:r w:rsidRPr="00B87455">
        <w:rPr>
          <w:rFonts w:ascii="Times New Roman" w:hAnsi="Times New Roman"/>
          <w:sz w:val="24"/>
          <w:szCs w:val="24"/>
        </w:rPr>
        <w:t>některých případech pak tyto subjekty poskytují pohonné hmoty i</w:t>
      </w:r>
      <w:r w:rsidR="0038289E" w:rsidRPr="00B87455">
        <w:rPr>
          <w:rFonts w:ascii="Times New Roman" w:hAnsi="Times New Roman"/>
          <w:sz w:val="24"/>
          <w:szCs w:val="24"/>
        </w:rPr>
        <w:t> </w:t>
      </w:r>
      <w:r w:rsidRPr="00B87455">
        <w:rPr>
          <w:rFonts w:ascii="Times New Roman" w:hAnsi="Times New Roman"/>
          <w:sz w:val="24"/>
          <w:szCs w:val="24"/>
        </w:rPr>
        <w:t>svým sesterským či dceřiným společnostem, které jsou součástí skupiny podle zákona upravujícího daň z</w:t>
      </w:r>
      <w:r w:rsidR="0038289E" w:rsidRPr="00B87455">
        <w:rPr>
          <w:rFonts w:ascii="Times New Roman" w:hAnsi="Times New Roman"/>
          <w:sz w:val="24"/>
          <w:szCs w:val="24"/>
        </w:rPr>
        <w:t> </w:t>
      </w:r>
      <w:r w:rsidRPr="00B87455">
        <w:rPr>
          <w:rFonts w:ascii="Times New Roman" w:hAnsi="Times New Roman"/>
          <w:sz w:val="24"/>
          <w:szCs w:val="24"/>
        </w:rPr>
        <w:t xml:space="preserve">přidané hodnoty. </w:t>
      </w:r>
      <w:r w:rsidR="00143F97" w:rsidRPr="00B87455">
        <w:rPr>
          <w:rFonts w:ascii="Times New Roman" w:hAnsi="Times New Roman"/>
          <w:sz w:val="24"/>
          <w:szCs w:val="24"/>
        </w:rPr>
        <w:t xml:space="preserve">Evidence </w:t>
      </w:r>
      <w:r w:rsidR="005F7473" w:rsidRPr="00B87455">
        <w:rPr>
          <w:rFonts w:ascii="Times New Roman" w:hAnsi="Times New Roman"/>
          <w:sz w:val="24"/>
          <w:szCs w:val="24"/>
        </w:rPr>
        <w:t xml:space="preserve">takových </w:t>
      </w:r>
      <w:r w:rsidR="00143F97" w:rsidRPr="00B87455">
        <w:rPr>
          <w:rFonts w:ascii="Times New Roman" w:hAnsi="Times New Roman"/>
          <w:sz w:val="24"/>
          <w:szCs w:val="24"/>
        </w:rPr>
        <w:t>výdejních zařízení je nutná pro účely kontrolní činnosti státní správy, jakkoli počet nově vznikajících výdejních jednotek není dramatický a</w:t>
      </w:r>
      <w:r w:rsidR="0038289E" w:rsidRPr="00B87455">
        <w:rPr>
          <w:rFonts w:ascii="Times New Roman" w:hAnsi="Times New Roman"/>
          <w:sz w:val="24"/>
          <w:szCs w:val="24"/>
        </w:rPr>
        <w:t> </w:t>
      </w:r>
      <w:r w:rsidR="00143F97" w:rsidRPr="00B87455">
        <w:rPr>
          <w:rFonts w:ascii="Times New Roman" w:hAnsi="Times New Roman"/>
          <w:sz w:val="24"/>
          <w:szCs w:val="24"/>
        </w:rPr>
        <w:t>většina z</w:t>
      </w:r>
      <w:r w:rsidR="0038289E" w:rsidRPr="00B87455">
        <w:rPr>
          <w:rFonts w:ascii="Times New Roman" w:hAnsi="Times New Roman"/>
          <w:sz w:val="24"/>
          <w:szCs w:val="24"/>
        </w:rPr>
        <w:t> </w:t>
      </w:r>
      <w:r w:rsidR="00143F97" w:rsidRPr="00B87455">
        <w:rPr>
          <w:rFonts w:ascii="Times New Roman" w:hAnsi="Times New Roman"/>
          <w:sz w:val="24"/>
          <w:szCs w:val="24"/>
        </w:rPr>
        <w:t xml:space="preserve">nich je již </w:t>
      </w:r>
      <w:r w:rsidR="00D313DC" w:rsidRPr="00B87455">
        <w:rPr>
          <w:rFonts w:ascii="Times New Roman" w:hAnsi="Times New Roman"/>
          <w:sz w:val="24"/>
          <w:szCs w:val="24"/>
        </w:rPr>
        <w:t xml:space="preserve">nyní </w:t>
      </w:r>
      <w:r w:rsidR="00143F97" w:rsidRPr="00B87455">
        <w:rPr>
          <w:rFonts w:ascii="Times New Roman" w:hAnsi="Times New Roman"/>
          <w:sz w:val="24"/>
          <w:szCs w:val="24"/>
        </w:rPr>
        <w:t>vedena v</w:t>
      </w:r>
      <w:r w:rsidR="0038289E" w:rsidRPr="00B87455">
        <w:rPr>
          <w:rFonts w:ascii="Times New Roman" w:hAnsi="Times New Roman"/>
          <w:sz w:val="24"/>
          <w:szCs w:val="24"/>
        </w:rPr>
        <w:t> </w:t>
      </w:r>
      <w:r w:rsidR="00143F97" w:rsidRPr="00B87455">
        <w:rPr>
          <w:rFonts w:ascii="Times New Roman" w:hAnsi="Times New Roman"/>
          <w:sz w:val="24"/>
          <w:szCs w:val="24"/>
        </w:rPr>
        <w:t>evidenci Ministerstva průmyslu a</w:t>
      </w:r>
      <w:r w:rsidR="0038289E" w:rsidRPr="00B87455">
        <w:rPr>
          <w:rFonts w:ascii="Times New Roman" w:hAnsi="Times New Roman"/>
          <w:sz w:val="24"/>
          <w:szCs w:val="24"/>
        </w:rPr>
        <w:t> </w:t>
      </w:r>
      <w:r w:rsidR="00143F97" w:rsidRPr="00B87455">
        <w:rPr>
          <w:rFonts w:ascii="Times New Roman" w:hAnsi="Times New Roman"/>
          <w:sz w:val="24"/>
          <w:szCs w:val="24"/>
        </w:rPr>
        <w:t>obchodu v</w:t>
      </w:r>
      <w:r w:rsidR="0038289E" w:rsidRPr="00B87455">
        <w:rPr>
          <w:rFonts w:ascii="Times New Roman" w:hAnsi="Times New Roman"/>
          <w:sz w:val="24"/>
          <w:szCs w:val="24"/>
        </w:rPr>
        <w:t> </w:t>
      </w:r>
      <w:r w:rsidR="00143F97" w:rsidRPr="00B87455">
        <w:rPr>
          <w:rFonts w:ascii="Times New Roman" w:hAnsi="Times New Roman"/>
          <w:sz w:val="24"/>
          <w:szCs w:val="24"/>
        </w:rPr>
        <w:t xml:space="preserve">kategorii neveřejných </w:t>
      </w:r>
      <w:r w:rsidR="005F7473" w:rsidRPr="00B87455">
        <w:rPr>
          <w:rFonts w:ascii="Times New Roman" w:hAnsi="Times New Roman"/>
          <w:sz w:val="24"/>
          <w:szCs w:val="24"/>
        </w:rPr>
        <w:t xml:space="preserve">čerpacích </w:t>
      </w:r>
      <w:r w:rsidR="00143F97" w:rsidRPr="00B87455">
        <w:rPr>
          <w:rFonts w:ascii="Times New Roman" w:hAnsi="Times New Roman"/>
          <w:sz w:val="24"/>
          <w:szCs w:val="24"/>
        </w:rPr>
        <w:t>stanic.</w:t>
      </w:r>
      <w:r w:rsidR="00041FA4" w:rsidRPr="00B87455">
        <w:rPr>
          <w:rFonts w:ascii="Times New Roman" w:hAnsi="Times New Roman"/>
          <w:sz w:val="24"/>
          <w:szCs w:val="24"/>
        </w:rPr>
        <w:t xml:space="preserve"> Objem pohonných hmot obhospodařovaný výdejními </w:t>
      </w:r>
      <w:r w:rsidR="00D313DC" w:rsidRPr="00B87455">
        <w:rPr>
          <w:rFonts w:ascii="Times New Roman" w:hAnsi="Times New Roman"/>
          <w:sz w:val="24"/>
          <w:szCs w:val="24"/>
        </w:rPr>
        <w:t xml:space="preserve">jednotkami </w:t>
      </w:r>
      <w:r w:rsidR="00041FA4" w:rsidRPr="00B87455">
        <w:rPr>
          <w:rFonts w:ascii="Times New Roman" w:hAnsi="Times New Roman"/>
          <w:sz w:val="24"/>
          <w:szCs w:val="24"/>
        </w:rPr>
        <w:t>lze předpokládat v</w:t>
      </w:r>
      <w:r w:rsidR="0038289E" w:rsidRPr="00B87455">
        <w:rPr>
          <w:rFonts w:ascii="Times New Roman" w:hAnsi="Times New Roman"/>
          <w:sz w:val="24"/>
          <w:szCs w:val="24"/>
        </w:rPr>
        <w:t> </w:t>
      </w:r>
      <w:r w:rsidR="00721376" w:rsidRPr="00B87455">
        <w:rPr>
          <w:rFonts w:ascii="Times New Roman" w:hAnsi="Times New Roman"/>
          <w:sz w:val="24"/>
          <w:szCs w:val="24"/>
        </w:rPr>
        <w:t>rozsahu</w:t>
      </w:r>
      <w:r w:rsidR="00D9383C" w:rsidRPr="00B87455">
        <w:rPr>
          <w:rFonts w:ascii="Times New Roman" w:hAnsi="Times New Roman"/>
          <w:sz w:val="24"/>
          <w:szCs w:val="24"/>
        </w:rPr>
        <w:t xml:space="preserve"> </w:t>
      </w:r>
      <w:r w:rsidR="00905BC8" w:rsidRPr="00B87455">
        <w:rPr>
          <w:rFonts w:ascii="Times New Roman" w:hAnsi="Times New Roman"/>
          <w:sz w:val="24"/>
          <w:szCs w:val="24"/>
        </w:rPr>
        <w:t>kolem</w:t>
      </w:r>
      <w:r w:rsidR="00041FA4" w:rsidRPr="00B87455">
        <w:rPr>
          <w:rFonts w:ascii="Times New Roman" w:hAnsi="Times New Roman"/>
          <w:sz w:val="24"/>
          <w:szCs w:val="24"/>
        </w:rPr>
        <w:t xml:space="preserve"> 1/3 celého trhu</w:t>
      </w:r>
      <w:r w:rsidR="00905BC8" w:rsidRPr="00B87455">
        <w:rPr>
          <w:rFonts w:ascii="Times New Roman" w:hAnsi="Times New Roman"/>
          <w:sz w:val="24"/>
          <w:szCs w:val="24"/>
        </w:rPr>
        <w:t xml:space="preserve"> v</w:t>
      </w:r>
      <w:r w:rsidR="0038289E" w:rsidRPr="00B87455">
        <w:rPr>
          <w:rFonts w:ascii="Times New Roman" w:hAnsi="Times New Roman"/>
          <w:sz w:val="24"/>
          <w:szCs w:val="24"/>
        </w:rPr>
        <w:t> </w:t>
      </w:r>
      <w:r w:rsidR="00905BC8" w:rsidRPr="00B87455">
        <w:rPr>
          <w:rFonts w:ascii="Times New Roman" w:hAnsi="Times New Roman"/>
          <w:sz w:val="24"/>
          <w:szCs w:val="24"/>
        </w:rPr>
        <w:t>ČR</w:t>
      </w:r>
      <w:r w:rsidR="00041FA4" w:rsidRPr="00B87455">
        <w:rPr>
          <w:rFonts w:ascii="Times New Roman" w:hAnsi="Times New Roman"/>
          <w:sz w:val="24"/>
          <w:szCs w:val="24"/>
        </w:rPr>
        <w:t>, tedy přibližně 1,5 milionu tun</w:t>
      </w:r>
      <w:r w:rsidR="00D9383C" w:rsidRPr="00B87455">
        <w:rPr>
          <w:rFonts w:ascii="Times New Roman" w:hAnsi="Times New Roman"/>
          <w:sz w:val="24"/>
          <w:szCs w:val="24"/>
        </w:rPr>
        <w:t>,</w:t>
      </w:r>
      <w:r w:rsidR="00041FA4" w:rsidRPr="00B87455">
        <w:rPr>
          <w:rFonts w:ascii="Times New Roman" w:hAnsi="Times New Roman"/>
          <w:sz w:val="24"/>
          <w:szCs w:val="24"/>
        </w:rPr>
        <w:t xml:space="preserve"> převážně motorové nafty. Jedná se o</w:t>
      </w:r>
      <w:r w:rsidR="0038289E" w:rsidRPr="00B87455">
        <w:rPr>
          <w:rFonts w:ascii="Times New Roman" w:hAnsi="Times New Roman"/>
          <w:sz w:val="24"/>
          <w:szCs w:val="24"/>
        </w:rPr>
        <w:t> </w:t>
      </w:r>
      <w:r w:rsidR="00041FA4" w:rsidRPr="00B87455">
        <w:rPr>
          <w:rFonts w:ascii="Times New Roman" w:hAnsi="Times New Roman"/>
          <w:sz w:val="24"/>
          <w:szCs w:val="24"/>
        </w:rPr>
        <w:t>spotřebu zejména zemědělské prvovýroby a</w:t>
      </w:r>
      <w:r w:rsidR="0038289E" w:rsidRPr="00B87455">
        <w:rPr>
          <w:rFonts w:ascii="Times New Roman" w:hAnsi="Times New Roman"/>
          <w:sz w:val="24"/>
          <w:szCs w:val="24"/>
        </w:rPr>
        <w:t> </w:t>
      </w:r>
      <w:r w:rsidR="00905BC8" w:rsidRPr="00B87455">
        <w:rPr>
          <w:rFonts w:ascii="Times New Roman" w:hAnsi="Times New Roman"/>
          <w:sz w:val="24"/>
          <w:szCs w:val="24"/>
        </w:rPr>
        <w:t xml:space="preserve">profesionální silniční </w:t>
      </w:r>
      <w:r w:rsidR="00041FA4" w:rsidRPr="00B87455">
        <w:rPr>
          <w:rFonts w:ascii="Times New Roman" w:hAnsi="Times New Roman"/>
          <w:sz w:val="24"/>
          <w:szCs w:val="24"/>
        </w:rPr>
        <w:t>dopravy zboží a</w:t>
      </w:r>
      <w:r w:rsidR="0038289E" w:rsidRPr="00B87455">
        <w:rPr>
          <w:rFonts w:ascii="Times New Roman" w:hAnsi="Times New Roman"/>
          <w:sz w:val="24"/>
          <w:szCs w:val="24"/>
        </w:rPr>
        <w:t> </w:t>
      </w:r>
      <w:r w:rsidR="00041FA4" w:rsidRPr="00B87455">
        <w:rPr>
          <w:rFonts w:ascii="Times New Roman" w:hAnsi="Times New Roman"/>
          <w:sz w:val="24"/>
          <w:szCs w:val="24"/>
        </w:rPr>
        <w:t>osob. Nakládání s</w:t>
      </w:r>
      <w:r w:rsidR="0038289E" w:rsidRPr="00B87455">
        <w:rPr>
          <w:rFonts w:ascii="Times New Roman" w:hAnsi="Times New Roman"/>
          <w:sz w:val="24"/>
          <w:szCs w:val="24"/>
        </w:rPr>
        <w:t> </w:t>
      </w:r>
      <w:r w:rsidR="00041FA4" w:rsidRPr="00B87455">
        <w:rPr>
          <w:rFonts w:ascii="Times New Roman" w:hAnsi="Times New Roman"/>
          <w:sz w:val="24"/>
          <w:szCs w:val="24"/>
        </w:rPr>
        <w:t>pohonnými hmotami v</w:t>
      </w:r>
      <w:r w:rsidR="0038289E" w:rsidRPr="00B87455">
        <w:rPr>
          <w:rFonts w:ascii="Times New Roman" w:hAnsi="Times New Roman"/>
          <w:sz w:val="24"/>
          <w:szCs w:val="24"/>
        </w:rPr>
        <w:t> </w:t>
      </w:r>
      <w:r w:rsidR="00041FA4" w:rsidRPr="00B87455">
        <w:rPr>
          <w:rFonts w:ascii="Times New Roman" w:hAnsi="Times New Roman"/>
          <w:sz w:val="24"/>
          <w:szCs w:val="24"/>
        </w:rPr>
        <w:t xml:space="preserve">tomto rozsahu vyžaduje </w:t>
      </w:r>
      <w:r w:rsidR="00F166E5" w:rsidRPr="00B87455">
        <w:rPr>
          <w:rFonts w:ascii="Times New Roman" w:hAnsi="Times New Roman"/>
          <w:sz w:val="24"/>
          <w:szCs w:val="24"/>
        </w:rPr>
        <w:t xml:space="preserve">od státní správy </w:t>
      </w:r>
      <w:r w:rsidR="00041FA4" w:rsidRPr="00B87455">
        <w:rPr>
          <w:rFonts w:ascii="Times New Roman" w:hAnsi="Times New Roman"/>
          <w:sz w:val="24"/>
          <w:szCs w:val="24"/>
        </w:rPr>
        <w:t>minimálně znalost způsobu manipulace</w:t>
      </w:r>
      <w:r w:rsidR="00905BC8" w:rsidRPr="00B87455">
        <w:rPr>
          <w:rFonts w:ascii="Times New Roman" w:hAnsi="Times New Roman"/>
          <w:sz w:val="24"/>
          <w:szCs w:val="24"/>
        </w:rPr>
        <w:t xml:space="preserve"> s</w:t>
      </w:r>
      <w:r w:rsidR="0038289E" w:rsidRPr="00B87455">
        <w:rPr>
          <w:rFonts w:ascii="Times New Roman" w:hAnsi="Times New Roman"/>
          <w:sz w:val="24"/>
          <w:szCs w:val="24"/>
        </w:rPr>
        <w:t> </w:t>
      </w:r>
      <w:r w:rsidR="00905BC8" w:rsidRPr="00B87455">
        <w:rPr>
          <w:rFonts w:ascii="Times New Roman" w:hAnsi="Times New Roman"/>
          <w:sz w:val="24"/>
          <w:szCs w:val="24"/>
        </w:rPr>
        <w:t>nimi</w:t>
      </w:r>
      <w:r w:rsidR="00D9383C" w:rsidRPr="00B87455">
        <w:rPr>
          <w:rFonts w:ascii="Times New Roman" w:hAnsi="Times New Roman"/>
          <w:sz w:val="24"/>
          <w:szCs w:val="24"/>
        </w:rPr>
        <w:t xml:space="preserve"> a</w:t>
      </w:r>
      <w:r w:rsidR="0038289E" w:rsidRPr="00B87455">
        <w:rPr>
          <w:rFonts w:ascii="Times New Roman" w:hAnsi="Times New Roman"/>
          <w:sz w:val="24"/>
          <w:szCs w:val="24"/>
        </w:rPr>
        <w:t> </w:t>
      </w:r>
      <w:r w:rsidR="00D9383C" w:rsidRPr="00B87455">
        <w:rPr>
          <w:rFonts w:ascii="Times New Roman" w:hAnsi="Times New Roman"/>
          <w:sz w:val="24"/>
          <w:szCs w:val="24"/>
        </w:rPr>
        <w:t>míst, kde k</w:t>
      </w:r>
      <w:r w:rsidR="0038289E" w:rsidRPr="00B87455">
        <w:rPr>
          <w:rFonts w:ascii="Times New Roman" w:hAnsi="Times New Roman"/>
          <w:sz w:val="24"/>
          <w:szCs w:val="24"/>
        </w:rPr>
        <w:t> </w:t>
      </w:r>
      <w:r w:rsidR="00D9383C" w:rsidRPr="00B87455">
        <w:rPr>
          <w:rFonts w:ascii="Times New Roman" w:hAnsi="Times New Roman"/>
          <w:sz w:val="24"/>
          <w:szCs w:val="24"/>
        </w:rPr>
        <w:t>ní dochází</w:t>
      </w:r>
      <w:r w:rsidR="00041FA4" w:rsidRPr="00B87455">
        <w:rPr>
          <w:rFonts w:ascii="Times New Roman" w:hAnsi="Times New Roman"/>
          <w:sz w:val="24"/>
          <w:szCs w:val="24"/>
        </w:rPr>
        <w:t>. V</w:t>
      </w:r>
      <w:r w:rsidR="0038289E" w:rsidRPr="00B87455">
        <w:rPr>
          <w:rFonts w:ascii="Times New Roman" w:hAnsi="Times New Roman"/>
          <w:sz w:val="24"/>
          <w:szCs w:val="24"/>
        </w:rPr>
        <w:t> </w:t>
      </w:r>
      <w:r w:rsidR="00041FA4" w:rsidRPr="00B87455">
        <w:rPr>
          <w:rFonts w:ascii="Times New Roman" w:hAnsi="Times New Roman"/>
          <w:sz w:val="24"/>
          <w:szCs w:val="24"/>
        </w:rPr>
        <w:t xml:space="preserve">aktuálních tržních cenách se </w:t>
      </w:r>
      <w:r w:rsidR="00444EC9" w:rsidRPr="00B87455">
        <w:rPr>
          <w:rFonts w:ascii="Times New Roman" w:hAnsi="Times New Roman"/>
          <w:sz w:val="24"/>
          <w:szCs w:val="24"/>
        </w:rPr>
        <w:t xml:space="preserve">tento </w:t>
      </w:r>
      <w:r w:rsidR="00041FA4" w:rsidRPr="00B87455">
        <w:rPr>
          <w:rFonts w:ascii="Times New Roman" w:hAnsi="Times New Roman"/>
          <w:sz w:val="24"/>
          <w:szCs w:val="24"/>
        </w:rPr>
        <w:t>objem pohybuje v</w:t>
      </w:r>
      <w:r w:rsidR="0038289E" w:rsidRPr="00B87455">
        <w:rPr>
          <w:rFonts w:ascii="Times New Roman" w:hAnsi="Times New Roman"/>
          <w:sz w:val="24"/>
          <w:szCs w:val="24"/>
        </w:rPr>
        <w:t> </w:t>
      </w:r>
      <w:r w:rsidR="00041FA4" w:rsidRPr="00B87455">
        <w:rPr>
          <w:rFonts w:ascii="Times New Roman" w:hAnsi="Times New Roman"/>
          <w:sz w:val="24"/>
          <w:szCs w:val="24"/>
        </w:rPr>
        <w:t xml:space="preserve">částkách přesahujících </w:t>
      </w:r>
      <w:r w:rsidR="00630E95" w:rsidRPr="00B87455">
        <w:rPr>
          <w:rFonts w:ascii="Times New Roman" w:hAnsi="Times New Roman"/>
          <w:sz w:val="24"/>
          <w:szCs w:val="24"/>
        </w:rPr>
        <w:t xml:space="preserve">ročně </w:t>
      </w:r>
      <w:r w:rsidR="002E17B6" w:rsidRPr="00B87455">
        <w:rPr>
          <w:rFonts w:ascii="Times New Roman" w:hAnsi="Times New Roman"/>
          <w:sz w:val="24"/>
          <w:szCs w:val="24"/>
        </w:rPr>
        <w:t>40</w:t>
      </w:r>
      <w:r w:rsidR="00041FA4" w:rsidRPr="00B87455">
        <w:rPr>
          <w:rFonts w:ascii="Times New Roman" w:hAnsi="Times New Roman"/>
          <w:sz w:val="24"/>
          <w:szCs w:val="24"/>
        </w:rPr>
        <w:t xml:space="preserve"> miliard Kč včetně daní</w:t>
      </w:r>
      <w:r w:rsidR="006F5559" w:rsidRPr="00B87455">
        <w:rPr>
          <w:rFonts w:ascii="Times New Roman" w:hAnsi="Times New Roman"/>
          <w:sz w:val="24"/>
          <w:szCs w:val="24"/>
        </w:rPr>
        <w:t xml:space="preserve"> (počítáno při maloobchodní ceně </w:t>
      </w:r>
      <w:r w:rsidR="00444EC9" w:rsidRPr="00B87455">
        <w:rPr>
          <w:rFonts w:ascii="Times New Roman" w:hAnsi="Times New Roman"/>
          <w:sz w:val="24"/>
          <w:szCs w:val="24"/>
        </w:rPr>
        <w:t xml:space="preserve">nafty </w:t>
      </w:r>
      <w:r w:rsidR="006F5559" w:rsidRPr="00B87455">
        <w:rPr>
          <w:rFonts w:ascii="Times New Roman" w:hAnsi="Times New Roman"/>
          <w:sz w:val="24"/>
          <w:szCs w:val="24"/>
        </w:rPr>
        <w:t>33,00 Kč/litr)</w:t>
      </w:r>
      <w:r w:rsidR="00041FA4" w:rsidRPr="00B87455">
        <w:rPr>
          <w:rFonts w:ascii="Times New Roman" w:hAnsi="Times New Roman"/>
          <w:sz w:val="24"/>
          <w:szCs w:val="24"/>
        </w:rPr>
        <w:t xml:space="preserve">.  </w:t>
      </w:r>
    </w:p>
    <w:p w:rsidR="00143F97" w:rsidRPr="00B87455" w:rsidRDefault="005D05BE" w:rsidP="00F47500">
      <w:pPr>
        <w:ind w:left="360"/>
        <w:jc w:val="both"/>
        <w:rPr>
          <w:rFonts w:ascii="Times New Roman" w:hAnsi="Times New Roman"/>
          <w:sz w:val="24"/>
          <w:szCs w:val="24"/>
        </w:rPr>
      </w:pPr>
      <w:r w:rsidRPr="00B87455">
        <w:rPr>
          <w:rFonts w:ascii="Times New Roman" w:hAnsi="Times New Roman"/>
          <w:sz w:val="24"/>
          <w:szCs w:val="24"/>
        </w:rPr>
        <w:t xml:space="preserve">Nad rámec výše uvedených důvodů </w:t>
      </w:r>
      <w:r w:rsidR="007F3AC8" w:rsidRPr="00B87455">
        <w:rPr>
          <w:rFonts w:ascii="Times New Roman" w:hAnsi="Times New Roman"/>
          <w:sz w:val="24"/>
          <w:szCs w:val="24"/>
        </w:rPr>
        <w:t xml:space="preserve">je vhodné </w:t>
      </w:r>
      <w:r w:rsidR="00F76296" w:rsidRPr="00B87455">
        <w:rPr>
          <w:rFonts w:ascii="Times New Roman" w:hAnsi="Times New Roman"/>
          <w:sz w:val="24"/>
          <w:szCs w:val="24"/>
        </w:rPr>
        <w:t xml:space="preserve">novelou </w:t>
      </w:r>
      <w:r w:rsidR="00AA32AD" w:rsidRPr="00B87455">
        <w:rPr>
          <w:rFonts w:ascii="Times New Roman" w:hAnsi="Times New Roman"/>
          <w:sz w:val="24"/>
          <w:szCs w:val="24"/>
        </w:rPr>
        <w:t>zákona</w:t>
      </w:r>
      <w:r w:rsidR="00A51568" w:rsidRPr="00B87455">
        <w:rPr>
          <w:rFonts w:ascii="Times New Roman" w:hAnsi="Times New Roman"/>
          <w:sz w:val="24"/>
          <w:szCs w:val="24"/>
        </w:rPr>
        <w:t xml:space="preserve"> </w:t>
      </w:r>
      <w:r w:rsidR="007F3AC8" w:rsidRPr="00B87455">
        <w:rPr>
          <w:rFonts w:ascii="Times New Roman" w:hAnsi="Times New Roman"/>
          <w:sz w:val="24"/>
          <w:szCs w:val="24"/>
        </w:rPr>
        <w:t xml:space="preserve">upravit </w:t>
      </w:r>
      <w:r w:rsidR="00143F97" w:rsidRPr="00B87455">
        <w:rPr>
          <w:rFonts w:ascii="Times New Roman" w:hAnsi="Times New Roman"/>
          <w:sz w:val="24"/>
          <w:szCs w:val="24"/>
        </w:rPr>
        <w:t>i</w:t>
      </w:r>
      <w:r w:rsidR="0038289E" w:rsidRPr="00B87455">
        <w:rPr>
          <w:rFonts w:ascii="Times New Roman" w:hAnsi="Times New Roman"/>
          <w:sz w:val="24"/>
          <w:szCs w:val="24"/>
        </w:rPr>
        <w:t> </w:t>
      </w:r>
      <w:r w:rsidR="007F3AC8" w:rsidRPr="00B87455">
        <w:rPr>
          <w:rFonts w:ascii="Times New Roman" w:hAnsi="Times New Roman"/>
          <w:sz w:val="24"/>
          <w:szCs w:val="24"/>
        </w:rPr>
        <w:t xml:space="preserve">problematiku </w:t>
      </w:r>
      <w:r w:rsidRPr="00B87455">
        <w:rPr>
          <w:rFonts w:ascii="Times New Roman" w:hAnsi="Times New Roman"/>
          <w:sz w:val="24"/>
          <w:szCs w:val="24"/>
        </w:rPr>
        <w:t>využití zemního plynu včetně zkapalněného a</w:t>
      </w:r>
      <w:r w:rsidR="0038289E" w:rsidRPr="00B87455">
        <w:rPr>
          <w:rFonts w:ascii="Times New Roman" w:hAnsi="Times New Roman"/>
          <w:sz w:val="24"/>
          <w:szCs w:val="24"/>
        </w:rPr>
        <w:t> </w:t>
      </w:r>
      <w:proofErr w:type="spellStart"/>
      <w:r w:rsidRPr="00B87455">
        <w:rPr>
          <w:rFonts w:ascii="Times New Roman" w:hAnsi="Times New Roman"/>
          <w:sz w:val="24"/>
          <w:szCs w:val="24"/>
        </w:rPr>
        <w:t>biometanu</w:t>
      </w:r>
      <w:proofErr w:type="spellEnd"/>
      <w:r w:rsidRPr="00B87455">
        <w:rPr>
          <w:rFonts w:ascii="Times New Roman" w:hAnsi="Times New Roman"/>
          <w:sz w:val="24"/>
          <w:szCs w:val="24"/>
        </w:rPr>
        <w:t xml:space="preserve"> v</w:t>
      </w:r>
      <w:r w:rsidR="0038289E" w:rsidRPr="00B87455">
        <w:rPr>
          <w:rFonts w:ascii="Times New Roman" w:hAnsi="Times New Roman"/>
          <w:sz w:val="24"/>
          <w:szCs w:val="24"/>
        </w:rPr>
        <w:t> </w:t>
      </w:r>
      <w:r w:rsidRPr="00B87455">
        <w:rPr>
          <w:rFonts w:ascii="Times New Roman" w:hAnsi="Times New Roman"/>
          <w:sz w:val="24"/>
          <w:szCs w:val="24"/>
        </w:rPr>
        <w:t>dopravě</w:t>
      </w:r>
      <w:r w:rsidR="00143F97" w:rsidRPr="00B87455">
        <w:rPr>
          <w:rFonts w:ascii="Times New Roman" w:hAnsi="Times New Roman"/>
          <w:sz w:val="24"/>
          <w:szCs w:val="24"/>
        </w:rPr>
        <w:t>. Toto nové odvětví alternativních paliv se teprve rozvíjí a</w:t>
      </w:r>
      <w:r w:rsidR="0038289E" w:rsidRPr="00B87455">
        <w:rPr>
          <w:rFonts w:ascii="Times New Roman" w:hAnsi="Times New Roman"/>
          <w:sz w:val="24"/>
          <w:szCs w:val="24"/>
        </w:rPr>
        <w:t> </w:t>
      </w:r>
      <w:r w:rsidR="00143F97" w:rsidRPr="00B87455">
        <w:rPr>
          <w:rFonts w:ascii="Times New Roman" w:hAnsi="Times New Roman"/>
          <w:sz w:val="24"/>
          <w:szCs w:val="24"/>
        </w:rPr>
        <w:t>je žádoucí mu poskytnout pevnou op</w:t>
      </w:r>
      <w:r w:rsidR="00F76296" w:rsidRPr="00B87455">
        <w:rPr>
          <w:rFonts w:ascii="Times New Roman" w:hAnsi="Times New Roman"/>
          <w:sz w:val="24"/>
          <w:szCs w:val="24"/>
        </w:rPr>
        <w:t>o</w:t>
      </w:r>
      <w:r w:rsidR="00143F97" w:rsidRPr="00B87455">
        <w:rPr>
          <w:rFonts w:ascii="Times New Roman" w:hAnsi="Times New Roman"/>
          <w:sz w:val="24"/>
          <w:szCs w:val="24"/>
        </w:rPr>
        <w:t>ru v</w:t>
      </w:r>
      <w:r w:rsidR="0038289E" w:rsidRPr="00B87455">
        <w:rPr>
          <w:rFonts w:ascii="Times New Roman" w:hAnsi="Times New Roman"/>
          <w:sz w:val="24"/>
          <w:szCs w:val="24"/>
        </w:rPr>
        <w:t> </w:t>
      </w:r>
      <w:r w:rsidR="00143F97" w:rsidRPr="00B87455">
        <w:rPr>
          <w:rFonts w:ascii="Times New Roman" w:hAnsi="Times New Roman"/>
          <w:sz w:val="24"/>
          <w:szCs w:val="24"/>
        </w:rPr>
        <w:t xml:space="preserve">zákoně, aby mohlo </w:t>
      </w:r>
      <w:r w:rsidR="00D313DC" w:rsidRPr="00B87455">
        <w:rPr>
          <w:rFonts w:ascii="Times New Roman" w:hAnsi="Times New Roman"/>
          <w:sz w:val="24"/>
          <w:szCs w:val="24"/>
        </w:rPr>
        <w:t xml:space="preserve">úspěšně </w:t>
      </w:r>
      <w:r w:rsidR="00143F97" w:rsidRPr="00B87455">
        <w:rPr>
          <w:rFonts w:ascii="Times New Roman" w:hAnsi="Times New Roman"/>
          <w:sz w:val="24"/>
          <w:szCs w:val="24"/>
        </w:rPr>
        <w:t>plnit svou úlohu náhrady č</w:t>
      </w:r>
      <w:r w:rsidR="00F76296" w:rsidRPr="00B87455">
        <w:rPr>
          <w:rFonts w:ascii="Times New Roman" w:hAnsi="Times New Roman"/>
          <w:sz w:val="24"/>
          <w:szCs w:val="24"/>
        </w:rPr>
        <w:t>á</w:t>
      </w:r>
      <w:r w:rsidR="00143F97" w:rsidRPr="00B87455">
        <w:rPr>
          <w:rFonts w:ascii="Times New Roman" w:hAnsi="Times New Roman"/>
          <w:sz w:val="24"/>
          <w:szCs w:val="24"/>
        </w:rPr>
        <w:t>sti fosilních paliv v</w:t>
      </w:r>
      <w:r w:rsidR="0038289E" w:rsidRPr="00B87455">
        <w:rPr>
          <w:rFonts w:ascii="Times New Roman" w:hAnsi="Times New Roman"/>
          <w:sz w:val="24"/>
          <w:szCs w:val="24"/>
        </w:rPr>
        <w:t> </w:t>
      </w:r>
      <w:r w:rsidR="00143F97" w:rsidRPr="00B87455">
        <w:rPr>
          <w:rFonts w:ascii="Times New Roman" w:hAnsi="Times New Roman"/>
          <w:sz w:val="24"/>
          <w:szCs w:val="24"/>
        </w:rPr>
        <w:t>dopravě. Zejména u</w:t>
      </w:r>
      <w:r w:rsidR="0038289E" w:rsidRPr="00B87455">
        <w:rPr>
          <w:rFonts w:ascii="Times New Roman" w:hAnsi="Times New Roman"/>
          <w:sz w:val="24"/>
          <w:szCs w:val="24"/>
        </w:rPr>
        <w:t> </w:t>
      </w:r>
      <w:proofErr w:type="spellStart"/>
      <w:r w:rsidR="00143F97" w:rsidRPr="00B87455">
        <w:rPr>
          <w:rFonts w:ascii="Times New Roman" w:hAnsi="Times New Roman"/>
          <w:sz w:val="24"/>
          <w:szCs w:val="24"/>
        </w:rPr>
        <w:t>biometanu</w:t>
      </w:r>
      <w:proofErr w:type="spellEnd"/>
      <w:r w:rsidR="00143F97" w:rsidRPr="00B87455">
        <w:rPr>
          <w:rFonts w:ascii="Times New Roman" w:hAnsi="Times New Roman"/>
          <w:sz w:val="24"/>
          <w:szCs w:val="24"/>
        </w:rPr>
        <w:t xml:space="preserve"> jde o</w:t>
      </w:r>
      <w:r w:rsidR="0038289E" w:rsidRPr="00B87455">
        <w:rPr>
          <w:rFonts w:ascii="Times New Roman" w:hAnsi="Times New Roman"/>
          <w:sz w:val="24"/>
          <w:szCs w:val="24"/>
        </w:rPr>
        <w:t> </w:t>
      </w:r>
      <w:r w:rsidR="00143F97" w:rsidRPr="00B87455">
        <w:rPr>
          <w:rFonts w:ascii="Times New Roman" w:hAnsi="Times New Roman"/>
          <w:sz w:val="24"/>
          <w:szCs w:val="24"/>
        </w:rPr>
        <w:t>první snahy o</w:t>
      </w:r>
      <w:r w:rsidR="0038289E" w:rsidRPr="00B87455">
        <w:rPr>
          <w:rFonts w:ascii="Times New Roman" w:hAnsi="Times New Roman"/>
          <w:sz w:val="24"/>
          <w:szCs w:val="24"/>
        </w:rPr>
        <w:t> </w:t>
      </w:r>
      <w:r w:rsidR="00143F97" w:rsidRPr="00B87455">
        <w:rPr>
          <w:rFonts w:ascii="Times New Roman" w:hAnsi="Times New Roman"/>
          <w:sz w:val="24"/>
          <w:szCs w:val="24"/>
        </w:rPr>
        <w:t>jeho uplatnění jako paliva buď přímým využitím ve vozidlech, nebo přimícháváním do plynárenské soustavy a</w:t>
      </w:r>
      <w:r w:rsidR="0038289E" w:rsidRPr="00B87455">
        <w:rPr>
          <w:rFonts w:ascii="Times New Roman" w:hAnsi="Times New Roman"/>
          <w:sz w:val="24"/>
          <w:szCs w:val="24"/>
        </w:rPr>
        <w:t> </w:t>
      </w:r>
      <w:r w:rsidR="00636C5F" w:rsidRPr="00B87455">
        <w:rPr>
          <w:rFonts w:ascii="Times New Roman" w:hAnsi="Times New Roman"/>
          <w:sz w:val="24"/>
          <w:szCs w:val="24"/>
        </w:rPr>
        <w:t>o</w:t>
      </w:r>
      <w:r w:rsidR="0038289E" w:rsidRPr="00B87455">
        <w:rPr>
          <w:rFonts w:ascii="Times New Roman" w:hAnsi="Times New Roman"/>
          <w:sz w:val="24"/>
          <w:szCs w:val="24"/>
        </w:rPr>
        <w:t> </w:t>
      </w:r>
      <w:r w:rsidR="00143F97" w:rsidRPr="00B87455">
        <w:rPr>
          <w:rFonts w:ascii="Times New Roman" w:hAnsi="Times New Roman"/>
          <w:sz w:val="24"/>
          <w:szCs w:val="24"/>
        </w:rPr>
        <w:t xml:space="preserve">započítávání pozitivních vlivů do oblasti </w:t>
      </w:r>
      <w:r w:rsidR="00721376" w:rsidRPr="00B87455">
        <w:rPr>
          <w:rFonts w:ascii="Times New Roman" w:hAnsi="Times New Roman"/>
          <w:sz w:val="24"/>
          <w:szCs w:val="24"/>
        </w:rPr>
        <w:t>životního prostředí</w:t>
      </w:r>
      <w:r w:rsidR="00143F97" w:rsidRPr="00B87455">
        <w:rPr>
          <w:rFonts w:ascii="Times New Roman" w:hAnsi="Times New Roman"/>
          <w:sz w:val="24"/>
          <w:szCs w:val="24"/>
        </w:rPr>
        <w:t xml:space="preserve">. </w:t>
      </w:r>
    </w:p>
    <w:p w:rsidR="00143F97" w:rsidRPr="00B87455" w:rsidRDefault="00143F97" w:rsidP="00F47500">
      <w:pPr>
        <w:ind w:left="360"/>
        <w:jc w:val="both"/>
        <w:rPr>
          <w:rFonts w:ascii="Times New Roman" w:hAnsi="Times New Roman"/>
          <w:sz w:val="24"/>
          <w:szCs w:val="24"/>
        </w:rPr>
      </w:pPr>
      <w:r w:rsidRPr="00B87455">
        <w:rPr>
          <w:rFonts w:ascii="Times New Roman" w:hAnsi="Times New Roman"/>
          <w:sz w:val="24"/>
          <w:szCs w:val="24"/>
        </w:rPr>
        <w:t xml:space="preserve">Taktéž je </w:t>
      </w:r>
      <w:r w:rsidR="00C00389" w:rsidRPr="00B87455">
        <w:rPr>
          <w:rFonts w:ascii="Times New Roman" w:hAnsi="Times New Roman"/>
          <w:sz w:val="24"/>
          <w:szCs w:val="24"/>
        </w:rPr>
        <w:t xml:space="preserve">účelné </w:t>
      </w:r>
      <w:r w:rsidRPr="00B87455">
        <w:rPr>
          <w:rFonts w:ascii="Times New Roman" w:hAnsi="Times New Roman"/>
          <w:sz w:val="24"/>
          <w:szCs w:val="24"/>
        </w:rPr>
        <w:t xml:space="preserve">precizněji specifikovat </w:t>
      </w:r>
      <w:r w:rsidR="005D05BE" w:rsidRPr="00B87455">
        <w:rPr>
          <w:rFonts w:ascii="Times New Roman" w:hAnsi="Times New Roman"/>
          <w:sz w:val="24"/>
          <w:szCs w:val="24"/>
        </w:rPr>
        <w:t xml:space="preserve">povinnosti </w:t>
      </w:r>
      <w:r w:rsidRPr="00B87455">
        <w:rPr>
          <w:rFonts w:ascii="Times New Roman" w:hAnsi="Times New Roman"/>
          <w:sz w:val="24"/>
          <w:szCs w:val="24"/>
        </w:rPr>
        <w:t>registrace</w:t>
      </w:r>
      <w:r w:rsidR="005D05BE" w:rsidRPr="00B87455">
        <w:rPr>
          <w:rFonts w:ascii="Times New Roman" w:hAnsi="Times New Roman"/>
          <w:sz w:val="24"/>
          <w:szCs w:val="24"/>
        </w:rPr>
        <w:t xml:space="preserve"> a</w:t>
      </w:r>
      <w:r w:rsidR="0038289E" w:rsidRPr="00B87455">
        <w:rPr>
          <w:rFonts w:ascii="Times New Roman" w:hAnsi="Times New Roman"/>
          <w:sz w:val="24"/>
          <w:szCs w:val="24"/>
        </w:rPr>
        <w:t> </w:t>
      </w:r>
      <w:r w:rsidR="005D05BE" w:rsidRPr="00B87455">
        <w:rPr>
          <w:rFonts w:ascii="Times New Roman" w:hAnsi="Times New Roman"/>
          <w:sz w:val="24"/>
          <w:szCs w:val="24"/>
        </w:rPr>
        <w:t>poskytování dat provozovatel</w:t>
      </w:r>
      <w:r w:rsidR="007F3AC8" w:rsidRPr="00B87455">
        <w:rPr>
          <w:rFonts w:ascii="Times New Roman" w:hAnsi="Times New Roman"/>
          <w:sz w:val="24"/>
          <w:szCs w:val="24"/>
        </w:rPr>
        <w:t>i</w:t>
      </w:r>
      <w:r w:rsidR="005D05BE" w:rsidRPr="00B87455">
        <w:rPr>
          <w:rFonts w:ascii="Times New Roman" w:hAnsi="Times New Roman"/>
          <w:sz w:val="24"/>
          <w:szCs w:val="24"/>
        </w:rPr>
        <w:t xml:space="preserve"> dobíjecích stanic</w:t>
      </w:r>
      <w:r w:rsidR="007F3AC8" w:rsidRPr="00B87455">
        <w:rPr>
          <w:rFonts w:ascii="Times New Roman" w:hAnsi="Times New Roman"/>
          <w:sz w:val="24"/>
          <w:szCs w:val="24"/>
        </w:rPr>
        <w:t xml:space="preserve"> pro potřeby státní správy. </w:t>
      </w:r>
    </w:p>
    <w:p w:rsidR="00532BD9" w:rsidRPr="00B87455" w:rsidRDefault="00721376" w:rsidP="00CD79A3">
      <w:pPr>
        <w:ind w:left="360"/>
        <w:jc w:val="both"/>
        <w:rPr>
          <w:rFonts w:ascii="Times New Roman" w:hAnsi="Times New Roman"/>
          <w:b/>
          <w:sz w:val="24"/>
          <w:szCs w:val="24"/>
          <w:lang w:eastAsia="en-US"/>
        </w:rPr>
      </w:pPr>
      <w:r w:rsidRPr="00B87455">
        <w:rPr>
          <w:rFonts w:ascii="Times New Roman" w:hAnsi="Times New Roman"/>
          <w:b/>
          <w:sz w:val="24"/>
          <w:szCs w:val="24"/>
          <w:lang w:eastAsia="en-US"/>
        </w:rPr>
        <w:t xml:space="preserve">1.3. </w:t>
      </w:r>
      <w:r w:rsidR="00532BD9" w:rsidRPr="00B87455">
        <w:rPr>
          <w:rFonts w:ascii="Times New Roman" w:hAnsi="Times New Roman"/>
          <w:b/>
          <w:sz w:val="24"/>
          <w:szCs w:val="24"/>
          <w:lang w:eastAsia="en-US"/>
        </w:rPr>
        <w:t>Popis existujícího právního stavu</w:t>
      </w:r>
    </w:p>
    <w:p w:rsidR="00E519CB" w:rsidRPr="00B87455" w:rsidRDefault="00C72316" w:rsidP="00F47500">
      <w:pPr>
        <w:ind w:left="360"/>
        <w:jc w:val="both"/>
        <w:rPr>
          <w:rFonts w:ascii="Times New Roman" w:hAnsi="Times New Roman"/>
          <w:sz w:val="24"/>
          <w:szCs w:val="24"/>
          <w:lang w:eastAsia="en-US"/>
        </w:rPr>
      </w:pPr>
      <w:r w:rsidRPr="00B87455">
        <w:rPr>
          <w:rFonts w:ascii="Times New Roman" w:hAnsi="Times New Roman"/>
          <w:sz w:val="24"/>
          <w:szCs w:val="24"/>
          <w:lang w:eastAsia="en-US"/>
        </w:rPr>
        <w:t>Současná právní úprava je nedostatečná z</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pohledu právní jistoty části podnikatelské sféry, která při své činnosti nakládá s</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pohonnými hmotami a</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při striktním uplatnění zákona by se na ni vztahovala definice distributora pohonných hmot, jakkoli tuto činnost prakticky nevykonává.</w:t>
      </w:r>
      <w:r w:rsidR="00E94E22" w:rsidRPr="00B87455">
        <w:rPr>
          <w:rFonts w:ascii="Times New Roman" w:hAnsi="Times New Roman"/>
          <w:sz w:val="24"/>
          <w:szCs w:val="24"/>
          <w:lang w:eastAsia="en-US"/>
        </w:rPr>
        <w:t xml:space="preserve"> Praxe též identifikuje potřebu definice výdeje pohonných </w:t>
      </w:r>
      <w:r w:rsidR="00E94E22" w:rsidRPr="00F85E66">
        <w:rPr>
          <w:rFonts w:ascii="Times New Roman" w:hAnsi="Times New Roman"/>
          <w:sz w:val="24"/>
          <w:szCs w:val="24"/>
          <w:lang w:eastAsia="en-US"/>
        </w:rPr>
        <w:t>hmot a</w:t>
      </w:r>
      <w:r w:rsidR="0038289E" w:rsidRPr="00F85E66">
        <w:rPr>
          <w:rFonts w:ascii="Times New Roman" w:hAnsi="Times New Roman"/>
          <w:sz w:val="24"/>
          <w:szCs w:val="24"/>
          <w:lang w:eastAsia="en-US"/>
        </w:rPr>
        <w:t> </w:t>
      </w:r>
      <w:r w:rsidR="00E94E22" w:rsidRPr="00F85E66">
        <w:rPr>
          <w:rFonts w:ascii="Times New Roman" w:hAnsi="Times New Roman"/>
          <w:sz w:val="24"/>
          <w:szCs w:val="24"/>
          <w:lang w:eastAsia="en-US"/>
        </w:rPr>
        <w:t xml:space="preserve">podchycení </w:t>
      </w:r>
      <w:r w:rsidR="006A01B8" w:rsidRPr="00F85E66">
        <w:rPr>
          <w:rFonts w:ascii="Times New Roman" w:hAnsi="Times New Roman"/>
          <w:sz w:val="24"/>
          <w:szCs w:val="24"/>
          <w:lang w:eastAsia="en-US"/>
        </w:rPr>
        <w:t>míst</w:t>
      </w:r>
      <w:r w:rsidR="00E94E22" w:rsidRPr="00F85E66">
        <w:rPr>
          <w:rFonts w:ascii="Times New Roman" w:hAnsi="Times New Roman"/>
          <w:sz w:val="24"/>
          <w:szCs w:val="24"/>
          <w:lang w:eastAsia="en-US"/>
        </w:rPr>
        <w:t>, k</w:t>
      </w:r>
      <w:r w:rsidR="00A0757B" w:rsidRPr="00F85E66">
        <w:rPr>
          <w:rFonts w:ascii="Times New Roman" w:hAnsi="Times New Roman"/>
          <w:sz w:val="24"/>
          <w:szCs w:val="24"/>
          <w:lang w:eastAsia="en-US"/>
        </w:rPr>
        <w:t xml:space="preserve">de k </w:t>
      </w:r>
      <w:r w:rsidR="00E94E22" w:rsidRPr="00F85E66">
        <w:rPr>
          <w:rFonts w:ascii="Times New Roman" w:hAnsi="Times New Roman"/>
          <w:sz w:val="24"/>
          <w:szCs w:val="24"/>
          <w:lang w:eastAsia="en-US"/>
        </w:rPr>
        <w:t>němu dochází.</w:t>
      </w:r>
    </w:p>
    <w:p w:rsidR="00A0757B" w:rsidRDefault="00C72316" w:rsidP="00F47500">
      <w:pPr>
        <w:ind w:left="360"/>
        <w:jc w:val="both"/>
        <w:rPr>
          <w:rFonts w:ascii="Times New Roman" w:hAnsi="Times New Roman"/>
          <w:sz w:val="24"/>
          <w:szCs w:val="24"/>
          <w:lang w:eastAsia="en-US"/>
        </w:rPr>
      </w:pPr>
      <w:r w:rsidRPr="00B87455">
        <w:rPr>
          <w:rFonts w:ascii="Times New Roman" w:hAnsi="Times New Roman"/>
          <w:sz w:val="24"/>
          <w:szCs w:val="24"/>
          <w:lang w:eastAsia="en-US"/>
        </w:rPr>
        <w:t>Proto je vhodné v</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zákoně o</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pohonných hmotách upravit výjimky v</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 xml:space="preserve">definicích distributora, aby bylo zamezeno možné </w:t>
      </w:r>
      <w:r w:rsidR="002B01CE" w:rsidRPr="00B87455">
        <w:rPr>
          <w:rFonts w:ascii="Times New Roman" w:hAnsi="Times New Roman"/>
          <w:sz w:val="24"/>
          <w:szCs w:val="24"/>
          <w:lang w:eastAsia="en-US"/>
        </w:rPr>
        <w:t xml:space="preserve">neoprávněné </w:t>
      </w:r>
      <w:r w:rsidRPr="00B87455">
        <w:rPr>
          <w:rFonts w:ascii="Times New Roman" w:hAnsi="Times New Roman"/>
          <w:sz w:val="24"/>
          <w:szCs w:val="24"/>
          <w:lang w:eastAsia="en-US"/>
        </w:rPr>
        <w:t xml:space="preserve">újmě části podnikatelské veřejnosti. Současná verze definice distributora splnila svou funkci, kterou bylo nutné do zákona zavést na </w:t>
      </w:r>
      <w:r w:rsidRPr="00B87455">
        <w:rPr>
          <w:rFonts w:ascii="Times New Roman" w:hAnsi="Times New Roman"/>
          <w:sz w:val="24"/>
          <w:szCs w:val="24"/>
          <w:lang w:eastAsia="en-US"/>
        </w:rPr>
        <w:lastRenderedPageBreak/>
        <w:t>základě získaných zkušeností státní správy o</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 xml:space="preserve">rozsahu daňových deliktů páchaných některými subjekty </w:t>
      </w:r>
      <w:r w:rsidR="00F6030B" w:rsidRPr="00B87455">
        <w:rPr>
          <w:rFonts w:ascii="Times New Roman" w:hAnsi="Times New Roman"/>
          <w:sz w:val="24"/>
          <w:szCs w:val="24"/>
          <w:lang w:eastAsia="en-US"/>
        </w:rPr>
        <w:t>při</w:t>
      </w:r>
      <w:r w:rsidRPr="00B87455">
        <w:rPr>
          <w:rFonts w:ascii="Times New Roman" w:hAnsi="Times New Roman"/>
          <w:sz w:val="24"/>
          <w:szCs w:val="24"/>
          <w:lang w:eastAsia="en-US"/>
        </w:rPr>
        <w:t xml:space="preserve"> krácení či vyhýbání se platbě spotřebních daní a</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daní z</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 xml:space="preserve">přidané hodnoty tím, že distribuční </w:t>
      </w:r>
      <w:proofErr w:type="spellStart"/>
      <w:r w:rsidRPr="00B87455">
        <w:rPr>
          <w:rFonts w:ascii="Times New Roman" w:hAnsi="Times New Roman"/>
          <w:sz w:val="24"/>
          <w:szCs w:val="24"/>
          <w:lang w:eastAsia="en-US"/>
        </w:rPr>
        <w:t>přeprodeje</w:t>
      </w:r>
      <w:proofErr w:type="spellEnd"/>
      <w:r w:rsidRPr="00B87455">
        <w:rPr>
          <w:rFonts w:ascii="Times New Roman" w:hAnsi="Times New Roman"/>
          <w:sz w:val="24"/>
          <w:szCs w:val="24"/>
          <w:lang w:eastAsia="en-US"/>
        </w:rPr>
        <w:t xml:space="preserve"> pohonných h</w:t>
      </w:r>
      <w:r w:rsidR="001A3BD5" w:rsidRPr="00B87455">
        <w:rPr>
          <w:rFonts w:ascii="Times New Roman" w:hAnsi="Times New Roman"/>
          <w:sz w:val="24"/>
          <w:szCs w:val="24"/>
          <w:lang w:eastAsia="en-US"/>
        </w:rPr>
        <w:t>m</w:t>
      </w:r>
      <w:r w:rsidRPr="00B87455">
        <w:rPr>
          <w:rFonts w:ascii="Times New Roman" w:hAnsi="Times New Roman"/>
          <w:sz w:val="24"/>
          <w:szCs w:val="24"/>
          <w:lang w:eastAsia="en-US"/>
        </w:rPr>
        <w:t>ot probíhaly řetězením obchodních transakcí do neprůhledných struktur s</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tím, že v</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průběhu času se staly daňové povinnosti z</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transakce nevymahatelné pro zánik fiktivní či účelově založené společnosti začleněné do řetězového obchodu.</w:t>
      </w:r>
      <w:r w:rsidR="00F6030B" w:rsidRPr="00B87455">
        <w:rPr>
          <w:rFonts w:ascii="Times New Roman" w:hAnsi="Times New Roman"/>
          <w:sz w:val="24"/>
          <w:szCs w:val="24"/>
          <w:lang w:eastAsia="en-US"/>
        </w:rPr>
        <w:t xml:space="preserve"> Rozsah daňových ztrát vyčíslila státní </w:t>
      </w:r>
      <w:r w:rsidR="001A4914" w:rsidRPr="00B87455">
        <w:rPr>
          <w:rFonts w:ascii="Times New Roman" w:hAnsi="Times New Roman"/>
          <w:sz w:val="24"/>
          <w:szCs w:val="24"/>
          <w:lang w:eastAsia="en-US"/>
        </w:rPr>
        <w:t>s</w:t>
      </w:r>
      <w:r w:rsidR="00F6030B" w:rsidRPr="00B87455">
        <w:rPr>
          <w:rFonts w:ascii="Times New Roman" w:hAnsi="Times New Roman"/>
          <w:sz w:val="24"/>
          <w:szCs w:val="24"/>
          <w:lang w:eastAsia="en-US"/>
        </w:rPr>
        <w:t>práva v</w:t>
      </w:r>
      <w:r w:rsidR="0038289E" w:rsidRPr="00B87455">
        <w:rPr>
          <w:rFonts w:ascii="Times New Roman" w:hAnsi="Times New Roman"/>
          <w:sz w:val="24"/>
          <w:szCs w:val="24"/>
          <w:lang w:eastAsia="en-US"/>
        </w:rPr>
        <w:t> </w:t>
      </w:r>
      <w:r w:rsidR="00F6030B" w:rsidRPr="00B87455">
        <w:rPr>
          <w:rFonts w:ascii="Times New Roman" w:hAnsi="Times New Roman"/>
          <w:sz w:val="24"/>
          <w:szCs w:val="24"/>
          <w:lang w:eastAsia="en-US"/>
        </w:rPr>
        <w:t xml:space="preserve">částkách mezi 3 – 8 miliardami Kč ročně. Na takový stav bylo nutné urychleně reagovat změnou zákona, která účinně nežádoucí stav napravila. Vedlejším efektem však bylo nezamýšlené </w:t>
      </w:r>
      <w:r w:rsidR="00CE5E1C" w:rsidRPr="00B87455">
        <w:rPr>
          <w:rFonts w:ascii="Times New Roman" w:hAnsi="Times New Roman"/>
          <w:sz w:val="24"/>
          <w:szCs w:val="24"/>
          <w:lang w:eastAsia="en-US"/>
        </w:rPr>
        <w:t>vystavení jiné části podnikatelské veřejnosti právní nejistotě plynoucí z</w:t>
      </w:r>
      <w:r w:rsidR="0038289E" w:rsidRPr="00B87455">
        <w:rPr>
          <w:rFonts w:ascii="Times New Roman" w:hAnsi="Times New Roman"/>
          <w:sz w:val="24"/>
          <w:szCs w:val="24"/>
          <w:lang w:eastAsia="en-US"/>
        </w:rPr>
        <w:t> </w:t>
      </w:r>
      <w:r w:rsidR="00CE5E1C" w:rsidRPr="00B87455">
        <w:rPr>
          <w:rFonts w:ascii="Times New Roman" w:hAnsi="Times New Roman"/>
          <w:sz w:val="24"/>
          <w:szCs w:val="24"/>
          <w:lang w:eastAsia="en-US"/>
        </w:rPr>
        <w:t>její činnosti, která není prvoplánově distribu</w:t>
      </w:r>
      <w:r w:rsidR="001A4914" w:rsidRPr="00B87455">
        <w:rPr>
          <w:rFonts w:ascii="Times New Roman" w:hAnsi="Times New Roman"/>
          <w:sz w:val="24"/>
          <w:szCs w:val="24"/>
          <w:lang w:eastAsia="en-US"/>
        </w:rPr>
        <w:t>cí</w:t>
      </w:r>
      <w:r w:rsidR="00CE5E1C" w:rsidRPr="00B87455">
        <w:rPr>
          <w:rFonts w:ascii="Times New Roman" w:hAnsi="Times New Roman"/>
          <w:sz w:val="24"/>
          <w:szCs w:val="24"/>
          <w:lang w:eastAsia="en-US"/>
        </w:rPr>
        <w:t xml:space="preserve">, jakkoli ji lze za ni při </w:t>
      </w:r>
      <w:r w:rsidR="00C1781D" w:rsidRPr="00B87455">
        <w:rPr>
          <w:rFonts w:ascii="Times New Roman" w:hAnsi="Times New Roman"/>
          <w:sz w:val="24"/>
          <w:szCs w:val="24"/>
          <w:lang w:eastAsia="en-US"/>
        </w:rPr>
        <w:t>striktním</w:t>
      </w:r>
      <w:r w:rsidR="00CE5E1C" w:rsidRPr="00B87455">
        <w:rPr>
          <w:rFonts w:ascii="Times New Roman" w:hAnsi="Times New Roman"/>
          <w:sz w:val="24"/>
          <w:szCs w:val="24"/>
          <w:lang w:eastAsia="en-US"/>
        </w:rPr>
        <w:t xml:space="preserve"> výkladu zákona považovat. Patřičná úprava zákona je tedy společensky žádoucí a</w:t>
      </w:r>
      <w:r w:rsidR="0038289E" w:rsidRPr="00B87455">
        <w:rPr>
          <w:rFonts w:ascii="Times New Roman" w:hAnsi="Times New Roman"/>
          <w:sz w:val="24"/>
          <w:szCs w:val="24"/>
          <w:lang w:eastAsia="en-US"/>
        </w:rPr>
        <w:t> </w:t>
      </w:r>
      <w:r w:rsidR="00CE5E1C" w:rsidRPr="00B87455">
        <w:rPr>
          <w:rFonts w:ascii="Times New Roman" w:hAnsi="Times New Roman"/>
          <w:sz w:val="24"/>
          <w:szCs w:val="24"/>
          <w:lang w:eastAsia="en-US"/>
        </w:rPr>
        <w:t>zmírní striktní dopad definice distributora v</w:t>
      </w:r>
      <w:r w:rsidR="0038289E" w:rsidRPr="00B87455">
        <w:rPr>
          <w:rFonts w:ascii="Times New Roman" w:hAnsi="Times New Roman"/>
          <w:sz w:val="24"/>
          <w:szCs w:val="24"/>
          <w:lang w:eastAsia="en-US"/>
        </w:rPr>
        <w:t> </w:t>
      </w:r>
      <w:r w:rsidR="00CE5E1C" w:rsidRPr="00B87455">
        <w:rPr>
          <w:rFonts w:ascii="Times New Roman" w:hAnsi="Times New Roman"/>
          <w:sz w:val="24"/>
          <w:szCs w:val="24"/>
          <w:lang w:eastAsia="en-US"/>
        </w:rPr>
        <w:t>oblasti, kde daňové delikty z</w:t>
      </w:r>
      <w:r w:rsidR="0038289E" w:rsidRPr="00B87455">
        <w:rPr>
          <w:rFonts w:ascii="Times New Roman" w:hAnsi="Times New Roman"/>
          <w:sz w:val="24"/>
          <w:szCs w:val="24"/>
          <w:lang w:eastAsia="en-US"/>
        </w:rPr>
        <w:t> </w:t>
      </w:r>
      <w:r w:rsidR="00CE5E1C" w:rsidRPr="00B87455">
        <w:rPr>
          <w:rFonts w:ascii="Times New Roman" w:hAnsi="Times New Roman"/>
          <w:sz w:val="24"/>
          <w:szCs w:val="24"/>
          <w:lang w:eastAsia="en-US"/>
        </w:rPr>
        <w:t>podstaty nehrozí.</w:t>
      </w:r>
      <w:r w:rsidR="00496CB6" w:rsidRPr="00B87455">
        <w:rPr>
          <w:rFonts w:ascii="Times New Roman" w:hAnsi="Times New Roman"/>
          <w:sz w:val="24"/>
          <w:szCs w:val="24"/>
          <w:lang w:eastAsia="en-US"/>
        </w:rPr>
        <w:t xml:space="preserve"> Na druhou stranu by bylo popřením úspěšné praxe boje proti daňovým únikům jakékoliv snižování v</w:t>
      </w:r>
      <w:r w:rsidR="0038289E" w:rsidRPr="00B87455">
        <w:rPr>
          <w:rFonts w:ascii="Times New Roman" w:hAnsi="Times New Roman"/>
          <w:sz w:val="24"/>
          <w:szCs w:val="24"/>
          <w:lang w:eastAsia="en-US"/>
        </w:rPr>
        <w:t> </w:t>
      </w:r>
      <w:r w:rsidR="00496CB6" w:rsidRPr="00B87455">
        <w:rPr>
          <w:rFonts w:ascii="Times New Roman" w:hAnsi="Times New Roman"/>
          <w:sz w:val="24"/>
          <w:szCs w:val="24"/>
          <w:lang w:eastAsia="en-US"/>
        </w:rPr>
        <w:t>minulosti zavedených kaucí distributora pohonných hmot</w:t>
      </w:r>
      <w:r w:rsidR="0033359D" w:rsidRPr="00B87455">
        <w:rPr>
          <w:rFonts w:ascii="Times New Roman" w:hAnsi="Times New Roman"/>
          <w:sz w:val="24"/>
          <w:szCs w:val="24"/>
          <w:lang w:eastAsia="en-US"/>
        </w:rPr>
        <w:t>, přestože by jej určitá část podnikatelské veřejnosti uvítala.</w:t>
      </w:r>
    </w:p>
    <w:p w:rsidR="00A0757B" w:rsidRDefault="00847909" w:rsidP="00F47500">
      <w:pPr>
        <w:ind w:left="360"/>
        <w:jc w:val="both"/>
        <w:rPr>
          <w:rFonts w:ascii="Times New Roman" w:hAnsi="Times New Roman"/>
          <w:sz w:val="24"/>
          <w:szCs w:val="24"/>
          <w:lang w:eastAsia="en-US"/>
        </w:rPr>
      </w:pPr>
      <w:r w:rsidRPr="00B87455">
        <w:rPr>
          <w:rFonts w:ascii="Times New Roman" w:hAnsi="Times New Roman"/>
          <w:sz w:val="24"/>
          <w:szCs w:val="24"/>
          <w:lang w:eastAsia="en-US"/>
        </w:rPr>
        <w:t xml:space="preserve">Současná právní norma také vyžaduje </w:t>
      </w:r>
      <w:r w:rsidR="00C85ADA" w:rsidRPr="00B87455">
        <w:rPr>
          <w:rFonts w:ascii="Times New Roman" w:hAnsi="Times New Roman"/>
          <w:sz w:val="24"/>
          <w:szCs w:val="24"/>
          <w:lang w:eastAsia="en-US"/>
        </w:rPr>
        <w:t xml:space="preserve">zpřesnění </w:t>
      </w:r>
      <w:r w:rsidRPr="00B87455">
        <w:rPr>
          <w:rFonts w:ascii="Times New Roman" w:hAnsi="Times New Roman"/>
          <w:sz w:val="24"/>
          <w:szCs w:val="24"/>
          <w:lang w:eastAsia="en-US"/>
        </w:rPr>
        <w:t>definic</w:t>
      </w:r>
      <w:r w:rsidR="00C85ADA" w:rsidRPr="00B87455">
        <w:rPr>
          <w:rFonts w:ascii="Times New Roman" w:hAnsi="Times New Roman"/>
          <w:sz w:val="24"/>
          <w:szCs w:val="24"/>
          <w:lang w:eastAsia="en-US"/>
        </w:rPr>
        <w:t>e</w:t>
      </w:r>
      <w:r w:rsidRPr="00B87455">
        <w:rPr>
          <w:rFonts w:ascii="Times New Roman" w:hAnsi="Times New Roman"/>
          <w:sz w:val="24"/>
          <w:szCs w:val="24"/>
          <w:lang w:eastAsia="en-US"/>
        </w:rPr>
        <w:t xml:space="preserve"> výdeje pohonných hmot pro vlastní potřebu a</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také zařízení, kde k</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 xml:space="preserve">tomuto dochází. Na tuto činnost nelze pohlížet jako na provoz </w:t>
      </w:r>
      <w:r w:rsidR="007B278A" w:rsidRPr="00B87455">
        <w:rPr>
          <w:rFonts w:ascii="Times New Roman" w:hAnsi="Times New Roman"/>
          <w:sz w:val="24"/>
          <w:szCs w:val="24"/>
          <w:lang w:eastAsia="en-US"/>
        </w:rPr>
        <w:t>v</w:t>
      </w:r>
      <w:r w:rsidR="00AA32AD" w:rsidRPr="00B87455">
        <w:rPr>
          <w:rFonts w:ascii="Times New Roman" w:hAnsi="Times New Roman"/>
          <w:sz w:val="24"/>
          <w:szCs w:val="24"/>
          <w:lang w:eastAsia="en-US"/>
        </w:rPr>
        <w:t>eřejně přístupné</w:t>
      </w:r>
      <w:r w:rsidR="00067707" w:rsidRPr="00B87455">
        <w:rPr>
          <w:rFonts w:ascii="Times New Roman" w:hAnsi="Times New Roman"/>
          <w:sz w:val="24"/>
          <w:szCs w:val="24"/>
          <w:lang w:eastAsia="en-US"/>
        </w:rPr>
        <w:t xml:space="preserve"> </w:t>
      </w:r>
      <w:r w:rsidRPr="00B87455">
        <w:rPr>
          <w:rFonts w:ascii="Times New Roman" w:hAnsi="Times New Roman"/>
          <w:sz w:val="24"/>
          <w:szCs w:val="24"/>
          <w:lang w:eastAsia="en-US"/>
        </w:rPr>
        <w:t>čerpací stanice a</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tedy i</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podmínky pro výdej pohonných hmot pro vlastní potřebu se od prodeje na čerpací stanici objektivně mohou lišit.</w:t>
      </w:r>
      <w:r w:rsidR="00951A57" w:rsidRPr="00B87455">
        <w:rPr>
          <w:rFonts w:ascii="Times New Roman" w:hAnsi="Times New Roman"/>
          <w:sz w:val="24"/>
          <w:szCs w:val="24"/>
          <w:lang w:eastAsia="en-US"/>
        </w:rPr>
        <w:t xml:space="preserve"> Zachován by ale měl být princip rovnoprávnosti nakládání s</w:t>
      </w:r>
      <w:r w:rsidR="0038289E" w:rsidRPr="00B87455">
        <w:rPr>
          <w:rFonts w:ascii="Times New Roman" w:hAnsi="Times New Roman"/>
          <w:sz w:val="24"/>
          <w:szCs w:val="24"/>
          <w:lang w:eastAsia="en-US"/>
        </w:rPr>
        <w:t> </w:t>
      </w:r>
      <w:r w:rsidR="00951A57" w:rsidRPr="00B87455">
        <w:rPr>
          <w:rFonts w:ascii="Times New Roman" w:hAnsi="Times New Roman"/>
          <w:sz w:val="24"/>
          <w:szCs w:val="24"/>
          <w:lang w:eastAsia="en-US"/>
        </w:rPr>
        <w:t>pohonnými hmotami v</w:t>
      </w:r>
      <w:r w:rsidR="0038289E" w:rsidRPr="00B87455">
        <w:rPr>
          <w:rFonts w:ascii="Times New Roman" w:hAnsi="Times New Roman"/>
          <w:sz w:val="24"/>
          <w:szCs w:val="24"/>
          <w:lang w:eastAsia="en-US"/>
        </w:rPr>
        <w:t> </w:t>
      </w:r>
      <w:r w:rsidR="00951A57" w:rsidRPr="00B87455">
        <w:rPr>
          <w:rFonts w:ascii="Times New Roman" w:hAnsi="Times New Roman"/>
          <w:sz w:val="24"/>
          <w:szCs w:val="24"/>
          <w:lang w:eastAsia="en-US"/>
        </w:rPr>
        <w:t>rámci evidence míst</w:t>
      </w:r>
      <w:r w:rsidR="00EE4650" w:rsidRPr="00B87455">
        <w:rPr>
          <w:rFonts w:ascii="Times New Roman" w:hAnsi="Times New Roman"/>
          <w:sz w:val="24"/>
          <w:szCs w:val="24"/>
          <w:lang w:eastAsia="en-US"/>
        </w:rPr>
        <w:t>,</w:t>
      </w:r>
      <w:r w:rsidR="00951A57" w:rsidRPr="00B87455">
        <w:rPr>
          <w:rFonts w:ascii="Times New Roman" w:hAnsi="Times New Roman"/>
          <w:sz w:val="24"/>
          <w:szCs w:val="24"/>
          <w:lang w:eastAsia="en-US"/>
        </w:rPr>
        <w:t xml:space="preserve"> kde k</w:t>
      </w:r>
      <w:r w:rsidR="0038289E" w:rsidRPr="00B87455">
        <w:rPr>
          <w:rFonts w:ascii="Times New Roman" w:hAnsi="Times New Roman"/>
          <w:sz w:val="24"/>
          <w:szCs w:val="24"/>
          <w:lang w:eastAsia="en-US"/>
        </w:rPr>
        <w:t> </w:t>
      </w:r>
      <w:r w:rsidR="00951A57" w:rsidRPr="00B87455">
        <w:rPr>
          <w:rFonts w:ascii="Times New Roman" w:hAnsi="Times New Roman"/>
          <w:sz w:val="24"/>
          <w:szCs w:val="24"/>
          <w:lang w:eastAsia="en-US"/>
        </w:rPr>
        <w:t>němu dochází a</w:t>
      </w:r>
      <w:r w:rsidR="0038289E" w:rsidRPr="00B87455">
        <w:rPr>
          <w:rFonts w:ascii="Times New Roman" w:hAnsi="Times New Roman"/>
          <w:sz w:val="24"/>
          <w:szCs w:val="24"/>
          <w:lang w:eastAsia="en-US"/>
        </w:rPr>
        <w:t> </w:t>
      </w:r>
      <w:r w:rsidR="00951A57" w:rsidRPr="00B87455">
        <w:rPr>
          <w:rFonts w:ascii="Times New Roman" w:hAnsi="Times New Roman"/>
          <w:sz w:val="24"/>
          <w:szCs w:val="24"/>
          <w:lang w:eastAsia="en-US"/>
        </w:rPr>
        <w:t>také evidence objemů hmot v</w:t>
      </w:r>
      <w:r w:rsidR="0038289E" w:rsidRPr="00B87455">
        <w:rPr>
          <w:rFonts w:ascii="Times New Roman" w:hAnsi="Times New Roman"/>
          <w:sz w:val="24"/>
          <w:szCs w:val="24"/>
          <w:lang w:eastAsia="en-US"/>
        </w:rPr>
        <w:t> </w:t>
      </w:r>
      <w:r w:rsidR="00951A57" w:rsidRPr="00B87455">
        <w:rPr>
          <w:rFonts w:ascii="Times New Roman" w:hAnsi="Times New Roman"/>
          <w:sz w:val="24"/>
          <w:szCs w:val="24"/>
          <w:lang w:eastAsia="en-US"/>
        </w:rPr>
        <w:t>místě manipulovaných. Důvodem není rozsah regulace nad rámec ú</w:t>
      </w:r>
      <w:r w:rsidR="00EE4650" w:rsidRPr="00B87455">
        <w:rPr>
          <w:rFonts w:ascii="Times New Roman" w:hAnsi="Times New Roman"/>
          <w:sz w:val="24"/>
          <w:szCs w:val="24"/>
          <w:lang w:eastAsia="en-US"/>
        </w:rPr>
        <w:t>čelnosti</w:t>
      </w:r>
      <w:r w:rsidR="00951A57" w:rsidRPr="00B87455">
        <w:rPr>
          <w:rFonts w:ascii="Times New Roman" w:hAnsi="Times New Roman"/>
          <w:sz w:val="24"/>
          <w:szCs w:val="24"/>
          <w:lang w:eastAsia="en-US"/>
        </w:rPr>
        <w:t>, ale možný výkon dozoru státní správy při ochraně trhu, daňového prostředí a</w:t>
      </w:r>
      <w:r w:rsidR="0038289E" w:rsidRPr="00B87455">
        <w:rPr>
          <w:rFonts w:ascii="Times New Roman" w:hAnsi="Times New Roman"/>
          <w:sz w:val="24"/>
          <w:szCs w:val="24"/>
          <w:lang w:eastAsia="en-US"/>
        </w:rPr>
        <w:t> </w:t>
      </w:r>
      <w:r w:rsidR="00951A57" w:rsidRPr="00B87455">
        <w:rPr>
          <w:rFonts w:ascii="Times New Roman" w:hAnsi="Times New Roman"/>
          <w:sz w:val="24"/>
          <w:szCs w:val="24"/>
          <w:lang w:eastAsia="en-US"/>
        </w:rPr>
        <w:t xml:space="preserve">environmentálních dopadů. </w:t>
      </w:r>
      <w:r w:rsidR="00067707" w:rsidRPr="00B87455">
        <w:rPr>
          <w:rFonts w:ascii="Times New Roman" w:hAnsi="Times New Roman"/>
          <w:sz w:val="24"/>
          <w:szCs w:val="24"/>
          <w:lang w:eastAsia="en-US"/>
        </w:rPr>
        <w:t>Spravedlivé je také požadovat srovnatelné požadavky na ochranu zdraví, života a</w:t>
      </w:r>
      <w:r w:rsidR="0038289E" w:rsidRPr="00B87455">
        <w:rPr>
          <w:rFonts w:ascii="Times New Roman" w:hAnsi="Times New Roman"/>
          <w:sz w:val="24"/>
          <w:szCs w:val="24"/>
          <w:lang w:eastAsia="en-US"/>
        </w:rPr>
        <w:t> </w:t>
      </w:r>
      <w:r w:rsidR="00067707" w:rsidRPr="00B87455">
        <w:rPr>
          <w:rFonts w:ascii="Times New Roman" w:hAnsi="Times New Roman"/>
          <w:sz w:val="24"/>
          <w:szCs w:val="24"/>
          <w:lang w:eastAsia="en-US"/>
        </w:rPr>
        <w:t>životního</w:t>
      </w:r>
      <w:r w:rsidR="0042267D">
        <w:rPr>
          <w:rFonts w:ascii="Times New Roman" w:hAnsi="Times New Roman"/>
          <w:sz w:val="24"/>
          <w:szCs w:val="24"/>
          <w:lang w:eastAsia="en-US"/>
        </w:rPr>
        <w:t xml:space="preserve"> </w:t>
      </w:r>
      <w:r w:rsidR="00067707" w:rsidRPr="00B87455">
        <w:rPr>
          <w:rFonts w:ascii="Times New Roman" w:hAnsi="Times New Roman"/>
          <w:sz w:val="24"/>
          <w:szCs w:val="24"/>
          <w:lang w:eastAsia="en-US"/>
        </w:rPr>
        <w:t>prostředí na všech místech, kde k</w:t>
      </w:r>
      <w:r w:rsidR="0038289E" w:rsidRPr="00B87455">
        <w:rPr>
          <w:rFonts w:ascii="Times New Roman" w:hAnsi="Times New Roman"/>
          <w:sz w:val="24"/>
          <w:szCs w:val="24"/>
          <w:lang w:eastAsia="en-US"/>
        </w:rPr>
        <w:t> </w:t>
      </w:r>
      <w:r w:rsidR="00067707" w:rsidRPr="00B87455">
        <w:rPr>
          <w:rFonts w:ascii="Times New Roman" w:hAnsi="Times New Roman"/>
          <w:sz w:val="24"/>
          <w:szCs w:val="24"/>
          <w:lang w:eastAsia="en-US"/>
        </w:rPr>
        <w:t>manipulaci s</w:t>
      </w:r>
      <w:r w:rsidR="0038289E" w:rsidRPr="00B87455">
        <w:rPr>
          <w:rFonts w:ascii="Times New Roman" w:hAnsi="Times New Roman"/>
          <w:sz w:val="24"/>
          <w:szCs w:val="24"/>
          <w:lang w:eastAsia="en-US"/>
        </w:rPr>
        <w:t> </w:t>
      </w:r>
      <w:r w:rsidR="00067707" w:rsidRPr="00B87455">
        <w:rPr>
          <w:rFonts w:ascii="Times New Roman" w:hAnsi="Times New Roman"/>
          <w:sz w:val="24"/>
          <w:szCs w:val="24"/>
          <w:lang w:eastAsia="en-US"/>
        </w:rPr>
        <w:t>pohonnými hmotami ve srovnatelném měřítku dochází.</w:t>
      </w:r>
      <w:r w:rsidR="0042267D">
        <w:rPr>
          <w:rFonts w:ascii="Times New Roman" w:hAnsi="Times New Roman"/>
          <w:sz w:val="24"/>
          <w:szCs w:val="24"/>
          <w:lang w:eastAsia="en-US"/>
        </w:rPr>
        <w:t xml:space="preserve"> Na výstavbu a</w:t>
      </w:r>
      <w:r w:rsidR="00A0757B">
        <w:rPr>
          <w:rFonts w:ascii="Times New Roman" w:hAnsi="Times New Roman"/>
          <w:sz w:val="24"/>
          <w:szCs w:val="24"/>
          <w:lang w:eastAsia="en-US"/>
        </w:rPr>
        <w:t> </w:t>
      </w:r>
      <w:r w:rsidR="0042267D">
        <w:rPr>
          <w:rFonts w:ascii="Times New Roman" w:hAnsi="Times New Roman"/>
          <w:sz w:val="24"/>
          <w:szCs w:val="24"/>
          <w:lang w:eastAsia="en-US"/>
        </w:rPr>
        <w:t>provoz jak čerpacích stanic, tak výdejních jednotek</w:t>
      </w:r>
      <w:r w:rsidR="00066116">
        <w:rPr>
          <w:rFonts w:ascii="Times New Roman" w:hAnsi="Times New Roman"/>
          <w:sz w:val="24"/>
          <w:szCs w:val="24"/>
          <w:lang w:eastAsia="en-US"/>
        </w:rPr>
        <w:t>,</w:t>
      </w:r>
      <w:r w:rsidR="0042267D">
        <w:rPr>
          <w:rFonts w:ascii="Times New Roman" w:hAnsi="Times New Roman"/>
          <w:sz w:val="24"/>
          <w:szCs w:val="24"/>
          <w:lang w:eastAsia="en-US"/>
        </w:rPr>
        <w:t xml:space="preserve"> se pohlíží jako na rovnocenně </w:t>
      </w:r>
      <w:r w:rsidR="00066116">
        <w:rPr>
          <w:rFonts w:ascii="Times New Roman" w:hAnsi="Times New Roman"/>
          <w:sz w:val="24"/>
          <w:szCs w:val="24"/>
          <w:lang w:eastAsia="en-US"/>
        </w:rPr>
        <w:t>právně</w:t>
      </w:r>
      <w:r w:rsidR="008E6F60">
        <w:rPr>
          <w:rFonts w:ascii="Times New Roman" w:hAnsi="Times New Roman"/>
          <w:sz w:val="24"/>
          <w:szCs w:val="24"/>
          <w:lang w:eastAsia="en-US"/>
        </w:rPr>
        <w:t xml:space="preserve"> regulované. Vztahují</w:t>
      </w:r>
      <w:r w:rsidR="0042267D">
        <w:rPr>
          <w:rFonts w:ascii="Times New Roman" w:hAnsi="Times New Roman"/>
          <w:sz w:val="24"/>
          <w:szCs w:val="24"/>
          <w:lang w:eastAsia="en-US"/>
        </w:rPr>
        <w:t xml:space="preserve"> se na ně zejména </w:t>
      </w:r>
      <w:r w:rsidR="00066116">
        <w:rPr>
          <w:rFonts w:ascii="Times New Roman" w:hAnsi="Times New Roman"/>
          <w:sz w:val="24"/>
          <w:szCs w:val="24"/>
          <w:lang w:eastAsia="en-US"/>
        </w:rPr>
        <w:t xml:space="preserve">příslušná </w:t>
      </w:r>
      <w:r w:rsidR="008E6F60">
        <w:rPr>
          <w:rFonts w:ascii="Times New Roman" w:hAnsi="Times New Roman"/>
          <w:sz w:val="24"/>
          <w:szCs w:val="24"/>
          <w:lang w:eastAsia="en-US"/>
        </w:rPr>
        <w:t xml:space="preserve">relevantní </w:t>
      </w:r>
      <w:r w:rsidR="0042267D">
        <w:rPr>
          <w:rFonts w:ascii="Times New Roman" w:hAnsi="Times New Roman"/>
          <w:sz w:val="24"/>
          <w:szCs w:val="24"/>
          <w:lang w:eastAsia="en-US"/>
        </w:rPr>
        <w:t>ustanovení zákona č.</w:t>
      </w:r>
      <w:r w:rsidR="00A0757B">
        <w:rPr>
          <w:rFonts w:ascii="Times New Roman" w:hAnsi="Times New Roman"/>
          <w:sz w:val="24"/>
          <w:szCs w:val="24"/>
          <w:lang w:eastAsia="en-US"/>
        </w:rPr>
        <w:t> </w:t>
      </w:r>
      <w:r w:rsidR="0042267D">
        <w:rPr>
          <w:rFonts w:ascii="Times New Roman" w:hAnsi="Times New Roman"/>
          <w:sz w:val="24"/>
          <w:szCs w:val="24"/>
          <w:lang w:eastAsia="en-US"/>
        </w:rPr>
        <w:t>183/2006</w:t>
      </w:r>
      <w:r w:rsidR="00A0757B">
        <w:rPr>
          <w:rFonts w:ascii="Times New Roman" w:hAnsi="Times New Roman"/>
          <w:sz w:val="24"/>
          <w:szCs w:val="24"/>
          <w:lang w:eastAsia="en-US"/>
        </w:rPr>
        <w:t> </w:t>
      </w:r>
      <w:r w:rsidR="0042267D">
        <w:rPr>
          <w:rFonts w:ascii="Times New Roman" w:hAnsi="Times New Roman"/>
          <w:sz w:val="24"/>
          <w:szCs w:val="24"/>
          <w:lang w:eastAsia="en-US"/>
        </w:rPr>
        <w:t xml:space="preserve">Sb., </w:t>
      </w:r>
      <w:r w:rsidR="00066116" w:rsidRPr="00066116">
        <w:rPr>
          <w:rFonts w:ascii="Times New Roman" w:hAnsi="Times New Roman"/>
          <w:sz w:val="24"/>
          <w:szCs w:val="24"/>
          <w:lang w:eastAsia="en-US"/>
        </w:rPr>
        <w:t>o územním plánování a stavebním řádu</w:t>
      </w:r>
      <w:r w:rsidR="00066116">
        <w:rPr>
          <w:rFonts w:ascii="Times New Roman" w:hAnsi="Times New Roman"/>
          <w:sz w:val="24"/>
          <w:szCs w:val="24"/>
          <w:lang w:eastAsia="en-US"/>
        </w:rPr>
        <w:t xml:space="preserve"> (</w:t>
      </w:r>
      <w:r w:rsidR="0042267D">
        <w:rPr>
          <w:rFonts w:ascii="Times New Roman" w:hAnsi="Times New Roman"/>
          <w:sz w:val="24"/>
          <w:szCs w:val="24"/>
          <w:lang w:eastAsia="en-US"/>
        </w:rPr>
        <w:t>stavební zákon</w:t>
      </w:r>
      <w:r w:rsidR="00066116">
        <w:rPr>
          <w:rFonts w:ascii="Times New Roman" w:hAnsi="Times New Roman"/>
          <w:sz w:val="24"/>
          <w:szCs w:val="24"/>
          <w:lang w:eastAsia="en-US"/>
        </w:rPr>
        <w:t>)</w:t>
      </w:r>
      <w:r w:rsidR="008E6F60">
        <w:rPr>
          <w:rFonts w:ascii="Times New Roman" w:hAnsi="Times New Roman"/>
          <w:sz w:val="24"/>
          <w:szCs w:val="24"/>
          <w:lang w:eastAsia="en-US"/>
        </w:rPr>
        <w:t>, ve znění pozdějších předpisů</w:t>
      </w:r>
      <w:r w:rsidR="00066116">
        <w:rPr>
          <w:rFonts w:ascii="Times New Roman" w:hAnsi="Times New Roman"/>
          <w:sz w:val="24"/>
          <w:szCs w:val="24"/>
          <w:lang w:eastAsia="en-US"/>
        </w:rPr>
        <w:t>,</w:t>
      </w:r>
      <w:r w:rsidR="0042267D">
        <w:rPr>
          <w:rFonts w:ascii="Times New Roman" w:hAnsi="Times New Roman"/>
          <w:sz w:val="24"/>
          <w:szCs w:val="24"/>
          <w:lang w:eastAsia="en-US"/>
        </w:rPr>
        <w:t xml:space="preserve"> a rovněž jeho prováděcí předpis, kterým je vyhláška č. </w:t>
      </w:r>
      <w:r w:rsidR="007B097E">
        <w:rPr>
          <w:rFonts w:ascii="Times New Roman" w:hAnsi="Times New Roman"/>
          <w:sz w:val="24"/>
          <w:szCs w:val="24"/>
          <w:lang w:eastAsia="en-US"/>
        </w:rPr>
        <w:t>268/2009 Sb., o technických požadavcích na stavby</w:t>
      </w:r>
      <w:r w:rsidR="00066116">
        <w:rPr>
          <w:rFonts w:ascii="Times New Roman" w:hAnsi="Times New Roman"/>
          <w:sz w:val="24"/>
          <w:szCs w:val="24"/>
          <w:lang w:eastAsia="en-US"/>
        </w:rPr>
        <w:t>, ve znění pozdějších předpisů</w:t>
      </w:r>
      <w:r w:rsidR="007B097E">
        <w:rPr>
          <w:rFonts w:ascii="Times New Roman" w:hAnsi="Times New Roman"/>
          <w:sz w:val="24"/>
          <w:szCs w:val="24"/>
          <w:lang w:eastAsia="en-US"/>
        </w:rPr>
        <w:t xml:space="preserve">. </w:t>
      </w:r>
      <w:r w:rsidR="008E6F60">
        <w:rPr>
          <w:rFonts w:ascii="Times New Roman" w:hAnsi="Times New Roman"/>
          <w:sz w:val="24"/>
          <w:szCs w:val="24"/>
          <w:lang w:eastAsia="en-US"/>
        </w:rPr>
        <w:t xml:space="preserve">V rovnocenném postavení jsou i vůči povinnostem stanoveným vyhláškou č. 23/2008 Sb., o technických </w:t>
      </w:r>
      <w:r w:rsidR="00066116">
        <w:rPr>
          <w:rFonts w:ascii="Times New Roman" w:hAnsi="Times New Roman"/>
          <w:sz w:val="24"/>
          <w:szCs w:val="24"/>
          <w:lang w:eastAsia="en-US"/>
        </w:rPr>
        <w:t>podmínkách</w:t>
      </w:r>
      <w:r w:rsidR="008E6F60">
        <w:rPr>
          <w:rFonts w:ascii="Times New Roman" w:hAnsi="Times New Roman"/>
          <w:sz w:val="24"/>
          <w:szCs w:val="24"/>
          <w:lang w:eastAsia="en-US"/>
        </w:rPr>
        <w:t xml:space="preserve"> požární ochrany staveb</w:t>
      </w:r>
      <w:r w:rsidR="00066116">
        <w:rPr>
          <w:rFonts w:ascii="Times New Roman" w:hAnsi="Times New Roman"/>
          <w:sz w:val="24"/>
          <w:szCs w:val="24"/>
          <w:lang w:eastAsia="en-US"/>
        </w:rPr>
        <w:t>, ve znění pozdějších předpisů</w:t>
      </w:r>
      <w:r w:rsidR="008E6F60">
        <w:rPr>
          <w:rFonts w:ascii="Times New Roman" w:hAnsi="Times New Roman"/>
          <w:sz w:val="24"/>
          <w:szCs w:val="24"/>
          <w:lang w:eastAsia="en-US"/>
        </w:rPr>
        <w:t>. Na provoz zařízení, kde dochází k manipulaci s pohonnými hmotami, se pak v odpovídajícím rozsahu</w:t>
      </w:r>
      <w:r w:rsidR="00997EF5">
        <w:rPr>
          <w:rFonts w:ascii="Times New Roman" w:hAnsi="Times New Roman"/>
          <w:sz w:val="24"/>
          <w:szCs w:val="24"/>
          <w:lang w:eastAsia="en-US"/>
        </w:rPr>
        <w:t>, podle druhu paliva,</w:t>
      </w:r>
      <w:r w:rsidR="008E6F60">
        <w:rPr>
          <w:rFonts w:ascii="Times New Roman" w:hAnsi="Times New Roman"/>
          <w:sz w:val="24"/>
          <w:szCs w:val="24"/>
          <w:lang w:eastAsia="en-US"/>
        </w:rPr>
        <w:t xml:space="preserve"> vztahují pravidla zakotvená v technické normě ČSN EN 73 6060 Čerpací stanice pohonných hmot. Na stavby, které vznikly a jsou provozovány podle </w:t>
      </w:r>
      <w:r w:rsidR="00066116">
        <w:rPr>
          <w:rFonts w:ascii="Times New Roman" w:hAnsi="Times New Roman"/>
          <w:sz w:val="24"/>
          <w:szCs w:val="24"/>
          <w:lang w:eastAsia="en-US"/>
        </w:rPr>
        <w:t>dosavadních právních</w:t>
      </w:r>
      <w:r w:rsidR="008E6F60">
        <w:rPr>
          <w:rFonts w:ascii="Times New Roman" w:hAnsi="Times New Roman"/>
          <w:sz w:val="24"/>
          <w:szCs w:val="24"/>
          <w:lang w:eastAsia="en-US"/>
        </w:rPr>
        <w:t xml:space="preserve"> předpisů, či </w:t>
      </w:r>
      <w:r w:rsidR="00066116">
        <w:rPr>
          <w:rFonts w:ascii="Times New Roman" w:hAnsi="Times New Roman"/>
          <w:sz w:val="24"/>
          <w:szCs w:val="24"/>
          <w:lang w:eastAsia="en-US"/>
        </w:rPr>
        <w:t xml:space="preserve">se </w:t>
      </w:r>
      <w:r w:rsidR="008E6F60">
        <w:rPr>
          <w:rFonts w:ascii="Times New Roman" w:hAnsi="Times New Roman"/>
          <w:sz w:val="24"/>
          <w:szCs w:val="24"/>
          <w:lang w:eastAsia="en-US"/>
        </w:rPr>
        <w:t>souhlasem k provozování, se pohlíží jako na rovnocenné a nevznikají</w:t>
      </w:r>
      <w:r w:rsidR="00A0757B">
        <w:rPr>
          <w:rFonts w:ascii="Times New Roman" w:hAnsi="Times New Roman"/>
          <w:sz w:val="24"/>
          <w:szCs w:val="24"/>
          <w:lang w:eastAsia="en-US"/>
        </w:rPr>
        <w:t xml:space="preserve"> </w:t>
      </w:r>
      <w:r w:rsidR="008E6F60">
        <w:rPr>
          <w:rFonts w:ascii="Times New Roman" w:hAnsi="Times New Roman"/>
          <w:sz w:val="24"/>
          <w:szCs w:val="24"/>
          <w:lang w:eastAsia="en-US"/>
        </w:rPr>
        <w:t>jim žádné zásadní nové nároky na stavební úpravy podle navrhované novely</w:t>
      </w:r>
      <w:r w:rsidR="00066116">
        <w:rPr>
          <w:rFonts w:ascii="Times New Roman" w:hAnsi="Times New Roman"/>
          <w:sz w:val="24"/>
          <w:szCs w:val="24"/>
          <w:lang w:eastAsia="en-US"/>
        </w:rPr>
        <w:t xml:space="preserve"> zákona</w:t>
      </w:r>
      <w:r w:rsidR="008E6F60">
        <w:rPr>
          <w:rFonts w:ascii="Times New Roman" w:hAnsi="Times New Roman"/>
          <w:sz w:val="24"/>
          <w:szCs w:val="24"/>
          <w:lang w:eastAsia="en-US"/>
        </w:rPr>
        <w:t>.</w:t>
      </w:r>
    </w:p>
    <w:p w:rsidR="00C72316" w:rsidRPr="00B87455" w:rsidRDefault="00E460BE" w:rsidP="00F47500">
      <w:pPr>
        <w:ind w:left="360"/>
        <w:jc w:val="both"/>
        <w:rPr>
          <w:rFonts w:ascii="Times New Roman" w:hAnsi="Times New Roman"/>
          <w:sz w:val="24"/>
          <w:szCs w:val="24"/>
          <w:lang w:eastAsia="en-US"/>
        </w:rPr>
      </w:pPr>
      <w:r w:rsidRPr="00B87455">
        <w:rPr>
          <w:rFonts w:ascii="Times New Roman" w:hAnsi="Times New Roman"/>
          <w:sz w:val="24"/>
          <w:szCs w:val="24"/>
          <w:lang w:eastAsia="en-US"/>
        </w:rPr>
        <w:t xml:space="preserve">Poslední </w:t>
      </w:r>
      <w:r w:rsidR="00763DCD" w:rsidRPr="00B87455">
        <w:rPr>
          <w:rFonts w:ascii="Times New Roman" w:hAnsi="Times New Roman"/>
          <w:sz w:val="24"/>
          <w:szCs w:val="24"/>
          <w:lang w:eastAsia="en-US"/>
        </w:rPr>
        <w:t>n</w:t>
      </w:r>
      <w:r w:rsidR="00AA32AD" w:rsidRPr="00B87455">
        <w:rPr>
          <w:rFonts w:ascii="Times New Roman" w:hAnsi="Times New Roman"/>
          <w:sz w:val="24"/>
          <w:szCs w:val="24"/>
          <w:lang w:eastAsia="en-US"/>
        </w:rPr>
        <w:t xml:space="preserve">ovela </w:t>
      </w:r>
      <w:r w:rsidRPr="00B87455">
        <w:rPr>
          <w:rFonts w:ascii="Times New Roman" w:hAnsi="Times New Roman"/>
          <w:sz w:val="24"/>
          <w:szCs w:val="24"/>
          <w:lang w:eastAsia="en-US"/>
        </w:rPr>
        <w:t>zákona</w:t>
      </w:r>
      <w:r w:rsidR="00AA32AD" w:rsidRPr="00B87455">
        <w:rPr>
          <w:rFonts w:ascii="Times New Roman" w:hAnsi="Times New Roman"/>
          <w:sz w:val="24"/>
          <w:szCs w:val="24"/>
          <w:lang w:eastAsia="en-US"/>
        </w:rPr>
        <w:t xml:space="preserve"> o</w:t>
      </w:r>
      <w:r w:rsidR="0038289E" w:rsidRPr="00B87455">
        <w:rPr>
          <w:rFonts w:ascii="Times New Roman" w:hAnsi="Times New Roman"/>
          <w:sz w:val="24"/>
          <w:szCs w:val="24"/>
          <w:lang w:eastAsia="en-US"/>
        </w:rPr>
        <w:t> </w:t>
      </w:r>
      <w:r w:rsidR="00AA32AD" w:rsidRPr="00B87455">
        <w:rPr>
          <w:rFonts w:ascii="Times New Roman" w:hAnsi="Times New Roman"/>
          <w:sz w:val="24"/>
          <w:szCs w:val="24"/>
          <w:lang w:eastAsia="en-US"/>
        </w:rPr>
        <w:t>pohonných hmotách</w:t>
      </w:r>
      <w:r w:rsidRPr="00B87455">
        <w:rPr>
          <w:rFonts w:ascii="Times New Roman" w:hAnsi="Times New Roman"/>
          <w:sz w:val="24"/>
          <w:szCs w:val="24"/>
          <w:lang w:eastAsia="en-US"/>
        </w:rPr>
        <w:t xml:space="preserve"> transponovala požadavky směrnice Evropského parlamentu a</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Rady 2014/94/EU o</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podpoře vzniku infrastruktury alternativních pohonných hmot. V</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 xml:space="preserve">tomto transpozičním procesu byl prvně do národní legislativy zakotven </w:t>
      </w:r>
      <w:r w:rsidRPr="00B87455">
        <w:rPr>
          <w:rFonts w:ascii="Times New Roman" w:hAnsi="Times New Roman"/>
          <w:sz w:val="24"/>
          <w:szCs w:val="24"/>
          <w:lang w:eastAsia="en-US"/>
        </w:rPr>
        <w:lastRenderedPageBreak/>
        <w:t xml:space="preserve">prvek </w:t>
      </w:r>
      <w:proofErr w:type="spellStart"/>
      <w:r w:rsidRPr="00B87455">
        <w:rPr>
          <w:rFonts w:ascii="Times New Roman" w:hAnsi="Times New Roman"/>
          <w:sz w:val="24"/>
          <w:szCs w:val="24"/>
          <w:lang w:eastAsia="en-US"/>
        </w:rPr>
        <w:t>elektromobility</w:t>
      </w:r>
      <w:proofErr w:type="spellEnd"/>
      <w:r w:rsidRPr="00B87455">
        <w:rPr>
          <w:rFonts w:ascii="Times New Roman" w:hAnsi="Times New Roman"/>
          <w:sz w:val="24"/>
          <w:szCs w:val="24"/>
          <w:lang w:eastAsia="en-US"/>
        </w:rPr>
        <w:t xml:space="preserve"> a</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 xml:space="preserve">dobíjecích stanic pro </w:t>
      </w:r>
      <w:r w:rsidR="00067707" w:rsidRPr="00B87455">
        <w:rPr>
          <w:rFonts w:ascii="Times New Roman" w:hAnsi="Times New Roman"/>
          <w:sz w:val="24"/>
          <w:szCs w:val="24"/>
          <w:lang w:eastAsia="en-US"/>
        </w:rPr>
        <w:t xml:space="preserve">elektrická </w:t>
      </w:r>
      <w:r w:rsidRPr="00B87455">
        <w:rPr>
          <w:rFonts w:ascii="Times New Roman" w:hAnsi="Times New Roman"/>
          <w:sz w:val="24"/>
          <w:szCs w:val="24"/>
          <w:lang w:eastAsia="en-US"/>
        </w:rPr>
        <w:t xml:space="preserve">motorová vozidla. </w:t>
      </w:r>
      <w:r w:rsidR="00917D71" w:rsidRPr="00B87455">
        <w:rPr>
          <w:rFonts w:ascii="Times New Roman" w:hAnsi="Times New Roman"/>
          <w:sz w:val="24"/>
          <w:szCs w:val="24"/>
          <w:lang w:eastAsia="en-US"/>
        </w:rPr>
        <w:t>S</w:t>
      </w:r>
      <w:r w:rsidR="0038289E" w:rsidRPr="00B87455">
        <w:rPr>
          <w:rFonts w:ascii="Times New Roman" w:hAnsi="Times New Roman"/>
          <w:sz w:val="24"/>
          <w:szCs w:val="24"/>
          <w:lang w:eastAsia="en-US"/>
        </w:rPr>
        <w:t> </w:t>
      </w:r>
      <w:r w:rsidR="00917D71" w:rsidRPr="00B87455">
        <w:rPr>
          <w:rFonts w:ascii="Times New Roman" w:hAnsi="Times New Roman"/>
          <w:sz w:val="24"/>
          <w:szCs w:val="24"/>
          <w:lang w:eastAsia="en-US"/>
        </w:rPr>
        <w:t>ohledem na skutečnost, že se jedná o</w:t>
      </w:r>
      <w:r w:rsidR="0038289E" w:rsidRPr="00B87455">
        <w:rPr>
          <w:rFonts w:ascii="Times New Roman" w:hAnsi="Times New Roman"/>
          <w:sz w:val="24"/>
          <w:szCs w:val="24"/>
          <w:lang w:eastAsia="en-US"/>
        </w:rPr>
        <w:t> </w:t>
      </w:r>
      <w:r w:rsidR="00917D71" w:rsidRPr="00B87455">
        <w:rPr>
          <w:rFonts w:ascii="Times New Roman" w:hAnsi="Times New Roman"/>
          <w:sz w:val="24"/>
          <w:szCs w:val="24"/>
          <w:lang w:eastAsia="en-US"/>
        </w:rPr>
        <w:t>zcela nové průmyslové odvětví, nacházející se v</w:t>
      </w:r>
      <w:r w:rsidR="0038289E" w:rsidRPr="00B87455">
        <w:rPr>
          <w:rFonts w:ascii="Times New Roman" w:hAnsi="Times New Roman"/>
          <w:sz w:val="24"/>
          <w:szCs w:val="24"/>
          <w:lang w:eastAsia="en-US"/>
        </w:rPr>
        <w:t> </w:t>
      </w:r>
      <w:r w:rsidR="00917D71" w:rsidRPr="00B87455">
        <w:rPr>
          <w:rFonts w:ascii="Times New Roman" w:hAnsi="Times New Roman"/>
          <w:sz w:val="24"/>
          <w:szCs w:val="24"/>
          <w:lang w:eastAsia="en-US"/>
        </w:rPr>
        <w:t xml:space="preserve">dynamické fázi rozvoje nelze očekávat, že by každodenní praxe nevyžadovala postupné úpravy právního rámce. Proto je do návrhu novely </w:t>
      </w:r>
      <w:r w:rsidR="003A5416" w:rsidRPr="00B87455">
        <w:rPr>
          <w:rFonts w:ascii="Times New Roman" w:hAnsi="Times New Roman"/>
          <w:sz w:val="24"/>
          <w:szCs w:val="24"/>
          <w:lang w:eastAsia="en-US"/>
        </w:rPr>
        <w:t xml:space="preserve">zákona </w:t>
      </w:r>
      <w:r w:rsidR="00917D71" w:rsidRPr="00B87455">
        <w:rPr>
          <w:rFonts w:ascii="Times New Roman" w:hAnsi="Times New Roman"/>
          <w:sz w:val="24"/>
          <w:szCs w:val="24"/>
          <w:lang w:eastAsia="en-US"/>
        </w:rPr>
        <w:t>zapracová</w:t>
      </w:r>
      <w:r w:rsidR="00C85ADA" w:rsidRPr="00B87455">
        <w:rPr>
          <w:rFonts w:ascii="Times New Roman" w:hAnsi="Times New Roman"/>
          <w:sz w:val="24"/>
          <w:szCs w:val="24"/>
          <w:lang w:eastAsia="en-US"/>
        </w:rPr>
        <w:t>vá</w:t>
      </w:r>
      <w:r w:rsidR="00917D71" w:rsidRPr="00B87455">
        <w:rPr>
          <w:rFonts w:ascii="Times New Roman" w:hAnsi="Times New Roman"/>
          <w:sz w:val="24"/>
          <w:szCs w:val="24"/>
          <w:lang w:eastAsia="en-US"/>
        </w:rPr>
        <w:t>n i</w:t>
      </w:r>
      <w:r w:rsidR="0038289E" w:rsidRPr="00B87455">
        <w:rPr>
          <w:rFonts w:ascii="Times New Roman" w:hAnsi="Times New Roman"/>
          <w:sz w:val="24"/>
          <w:szCs w:val="24"/>
          <w:lang w:eastAsia="en-US"/>
        </w:rPr>
        <w:t> </w:t>
      </w:r>
      <w:r w:rsidR="00917D71" w:rsidRPr="00B87455">
        <w:rPr>
          <w:rFonts w:ascii="Times New Roman" w:hAnsi="Times New Roman"/>
          <w:sz w:val="24"/>
          <w:szCs w:val="24"/>
          <w:lang w:eastAsia="en-US"/>
        </w:rPr>
        <w:t xml:space="preserve">požadavek </w:t>
      </w:r>
      <w:r w:rsidR="009C6944" w:rsidRPr="00B87455">
        <w:rPr>
          <w:rFonts w:ascii="Times New Roman" w:hAnsi="Times New Roman"/>
          <w:sz w:val="24"/>
          <w:szCs w:val="24"/>
          <w:lang w:eastAsia="en-US"/>
        </w:rPr>
        <w:t>zpřesňující strukturu dat poskytovanou provozovateli dobíjecích stanic pro potřeby státní správy a</w:t>
      </w:r>
      <w:r w:rsidR="0038289E" w:rsidRPr="00B87455">
        <w:rPr>
          <w:rFonts w:ascii="Times New Roman" w:hAnsi="Times New Roman"/>
          <w:sz w:val="24"/>
          <w:szCs w:val="24"/>
          <w:lang w:eastAsia="en-US"/>
        </w:rPr>
        <w:t> </w:t>
      </w:r>
      <w:r w:rsidR="009C6944" w:rsidRPr="00B87455">
        <w:rPr>
          <w:rFonts w:ascii="Times New Roman" w:hAnsi="Times New Roman"/>
          <w:sz w:val="24"/>
          <w:szCs w:val="24"/>
          <w:lang w:eastAsia="en-US"/>
        </w:rPr>
        <w:t>zprostředkovaně i</w:t>
      </w:r>
      <w:r w:rsidR="0038289E" w:rsidRPr="00B87455">
        <w:rPr>
          <w:rFonts w:ascii="Times New Roman" w:hAnsi="Times New Roman"/>
          <w:sz w:val="24"/>
          <w:szCs w:val="24"/>
          <w:lang w:eastAsia="en-US"/>
        </w:rPr>
        <w:t> </w:t>
      </w:r>
      <w:r w:rsidR="009C6944" w:rsidRPr="00B87455">
        <w:rPr>
          <w:rFonts w:ascii="Times New Roman" w:hAnsi="Times New Roman"/>
          <w:sz w:val="24"/>
          <w:szCs w:val="24"/>
          <w:lang w:eastAsia="en-US"/>
        </w:rPr>
        <w:t>pro veřejnost. Dřívější verze tyto požadavky ne</w:t>
      </w:r>
      <w:r w:rsidR="00C85ADA" w:rsidRPr="00B87455">
        <w:rPr>
          <w:rFonts w:ascii="Times New Roman" w:hAnsi="Times New Roman"/>
          <w:sz w:val="24"/>
          <w:szCs w:val="24"/>
          <w:lang w:eastAsia="en-US"/>
        </w:rPr>
        <w:t>obsahovala</w:t>
      </w:r>
      <w:r w:rsidR="00A9010C" w:rsidRPr="00B87455">
        <w:rPr>
          <w:rFonts w:ascii="Times New Roman" w:hAnsi="Times New Roman"/>
          <w:sz w:val="24"/>
          <w:szCs w:val="24"/>
          <w:lang w:eastAsia="en-US"/>
        </w:rPr>
        <w:t>,</w:t>
      </w:r>
      <w:r w:rsidR="00067707" w:rsidRPr="00B87455">
        <w:rPr>
          <w:rFonts w:ascii="Times New Roman" w:hAnsi="Times New Roman"/>
          <w:sz w:val="24"/>
          <w:szCs w:val="24"/>
          <w:lang w:eastAsia="en-US"/>
        </w:rPr>
        <w:t xml:space="preserve"> </w:t>
      </w:r>
      <w:r w:rsidR="009C6944" w:rsidRPr="00B87455">
        <w:rPr>
          <w:rFonts w:ascii="Times New Roman" w:hAnsi="Times New Roman"/>
          <w:sz w:val="24"/>
          <w:szCs w:val="24"/>
          <w:lang w:eastAsia="en-US"/>
        </w:rPr>
        <w:t>v</w:t>
      </w:r>
      <w:r w:rsidR="0038289E" w:rsidRPr="00B87455">
        <w:rPr>
          <w:rFonts w:ascii="Times New Roman" w:hAnsi="Times New Roman"/>
          <w:sz w:val="24"/>
          <w:szCs w:val="24"/>
          <w:lang w:eastAsia="en-US"/>
        </w:rPr>
        <w:t> </w:t>
      </w:r>
      <w:r w:rsidR="009C6944" w:rsidRPr="00B87455">
        <w:rPr>
          <w:rFonts w:ascii="Times New Roman" w:hAnsi="Times New Roman"/>
          <w:sz w:val="24"/>
          <w:szCs w:val="24"/>
          <w:lang w:eastAsia="en-US"/>
        </w:rPr>
        <w:t xml:space="preserve">rámci rozvoje tohoto odvětví </w:t>
      </w:r>
      <w:r w:rsidR="00067707" w:rsidRPr="00B87455">
        <w:rPr>
          <w:rFonts w:ascii="Times New Roman" w:hAnsi="Times New Roman"/>
          <w:sz w:val="24"/>
          <w:szCs w:val="24"/>
          <w:lang w:eastAsia="en-US"/>
        </w:rPr>
        <w:t>a</w:t>
      </w:r>
      <w:r w:rsidR="0038289E" w:rsidRPr="00B87455">
        <w:rPr>
          <w:rFonts w:ascii="Times New Roman" w:hAnsi="Times New Roman"/>
          <w:sz w:val="24"/>
          <w:szCs w:val="24"/>
          <w:lang w:eastAsia="en-US"/>
        </w:rPr>
        <w:t> </w:t>
      </w:r>
      <w:r w:rsidR="00067707" w:rsidRPr="00B87455">
        <w:rPr>
          <w:rFonts w:ascii="Times New Roman" w:hAnsi="Times New Roman"/>
          <w:sz w:val="24"/>
          <w:szCs w:val="24"/>
          <w:lang w:eastAsia="en-US"/>
        </w:rPr>
        <w:t xml:space="preserve">také požadavků na žádoucí usměrňování veřejného povědomí </w:t>
      </w:r>
      <w:r w:rsidR="009C6944" w:rsidRPr="00B87455">
        <w:rPr>
          <w:rFonts w:ascii="Times New Roman" w:hAnsi="Times New Roman"/>
          <w:sz w:val="24"/>
          <w:szCs w:val="24"/>
          <w:lang w:eastAsia="en-US"/>
        </w:rPr>
        <w:t xml:space="preserve">se uplatňují </w:t>
      </w:r>
      <w:r w:rsidR="00763DCD" w:rsidRPr="00B87455">
        <w:rPr>
          <w:rFonts w:ascii="Times New Roman" w:hAnsi="Times New Roman"/>
          <w:sz w:val="24"/>
          <w:szCs w:val="24"/>
          <w:lang w:eastAsia="en-US"/>
        </w:rPr>
        <w:t>nově</w:t>
      </w:r>
      <w:r w:rsidR="009C6944" w:rsidRPr="00B87455">
        <w:rPr>
          <w:rFonts w:ascii="Times New Roman" w:hAnsi="Times New Roman"/>
          <w:sz w:val="24"/>
          <w:szCs w:val="24"/>
          <w:lang w:eastAsia="en-US"/>
        </w:rPr>
        <w:t>.</w:t>
      </w:r>
    </w:p>
    <w:p w:rsidR="005B636F" w:rsidRPr="00B87455" w:rsidRDefault="005B636F" w:rsidP="00F47500">
      <w:pPr>
        <w:ind w:left="360"/>
        <w:jc w:val="both"/>
        <w:rPr>
          <w:rFonts w:ascii="Times New Roman" w:hAnsi="Times New Roman"/>
          <w:sz w:val="24"/>
          <w:szCs w:val="24"/>
          <w:lang w:eastAsia="en-US"/>
        </w:rPr>
      </w:pPr>
      <w:r w:rsidRPr="00B87455">
        <w:rPr>
          <w:rFonts w:ascii="Times New Roman" w:hAnsi="Times New Roman"/>
          <w:sz w:val="24"/>
          <w:szCs w:val="24"/>
          <w:lang w:eastAsia="en-US"/>
        </w:rPr>
        <w:t>Navrhované úpravy stávající</w:t>
      </w:r>
      <w:r w:rsidR="003A5416" w:rsidRPr="00B87455">
        <w:rPr>
          <w:rFonts w:ascii="Times New Roman" w:hAnsi="Times New Roman"/>
          <w:sz w:val="24"/>
          <w:szCs w:val="24"/>
          <w:lang w:eastAsia="en-US"/>
        </w:rPr>
        <w:t>ho</w:t>
      </w:r>
      <w:r w:rsidR="00F64223" w:rsidRPr="00B87455">
        <w:rPr>
          <w:rFonts w:ascii="Times New Roman" w:hAnsi="Times New Roman"/>
          <w:sz w:val="24"/>
          <w:szCs w:val="24"/>
          <w:lang w:eastAsia="en-US"/>
        </w:rPr>
        <w:t xml:space="preserve"> </w:t>
      </w:r>
      <w:r w:rsidRPr="00B87455">
        <w:rPr>
          <w:rFonts w:ascii="Times New Roman" w:hAnsi="Times New Roman"/>
          <w:sz w:val="24"/>
          <w:szCs w:val="24"/>
          <w:lang w:eastAsia="en-US"/>
        </w:rPr>
        <w:t>zákona nepředstavují vznik stavu narušujícího zákaz diskriminace, ani nenarušují pravidla rovnosti mužů a</w:t>
      </w:r>
      <w:r w:rsidR="0038289E" w:rsidRPr="00B87455">
        <w:rPr>
          <w:rFonts w:ascii="Times New Roman" w:hAnsi="Times New Roman"/>
          <w:sz w:val="24"/>
          <w:szCs w:val="24"/>
          <w:lang w:eastAsia="en-US"/>
        </w:rPr>
        <w:t> </w:t>
      </w:r>
      <w:r w:rsidRPr="00B87455">
        <w:rPr>
          <w:rFonts w:ascii="Times New Roman" w:hAnsi="Times New Roman"/>
          <w:sz w:val="24"/>
          <w:szCs w:val="24"/>
          <w:lang w:eastAsia="en-US"/>
        </w:rPr>
        <w:t>žen.</w:t>
      </w:r>
    </w:p>
    <w:p w:rsidR="005B636F" w:rsidRPr="00B87455" w:rsidRDefault="005B636F" w:rsidP="00C72316">
      <w:pPr>
        <w:ind w:left="360"/>
        <w:rPr>
          <w:rFonts w:ascii="Times New Roman" w:hAnsi="Times New Roman"/>
          <w:sz w:val="24"/>
          <w:szCs w:val="24"/>
          <w:lang w:eastAsia="en-US"/>
        </w:rPr>
      </w:pPr>
    </w:p>
    <w:p w:rsidR="00C42126" w:rsidRPr="00B87455" w:rsidRDefault="00721376" w:rsidP="00721376">
      <w:pPr>
        <w:ind w:firstLine="360"/>
        <w:rPr>
          <w:rFonts w:ascii="Times New Roman" w:hAnsi="Times New Roman"/>
          <w:b/>
          <w:sz w:val="24"/>
          <w:szCs w:val="24"/>
          <w:lang w:eastAsia="en-US"/>
        </w:rPr>
      </w:pPr>
      <w:r w:rsidRPr="00B87455">
        <w:rPr>
          <w:rFonts w:ascii="Times New Roman" w:hAnsi="Times New Roman"/>
          <w:b/>
          <w:sz w:val="24"/>
          <w:szCs w:val="24"/>
          <w:lang w:eastAsia="en-US"/>
        </w:rPr>
        <w:t xml:space="preserve">1.4.  </w:t>
      </w:r>
      <w:r w:rsidR="005B636F" w:rsidRPr="00B87455">
        <w:rPr>
          <w:rFonts w:ascii="Times New Roman" w:hAnsi="Times New Roman"/>
          <w:b/>
          <w:sz w:val="24"/>
          <w:szCs w:val="24"/>
          <w:lang w:eastAsia="en-US"/>
        </w:rPr>
        <w:t>Identifikace dotčených subjektů</w:t>
      </w:r>
      <w:r w:rsidR="00C42126" w:rsidRPr="00B87455">
        <w:rPr>
          <w:rFonts w:ascii="Times New Roman" w:hAnsi="Times New Roman"/>
          <w:b/>
          <w:sz w:val="24"/>
          <w:szCs w:val="24"/>
          <w:lang w:eastAsia="en-US"/>
        </w:rPr>
        <w:br/>
      </w:r>
    </w:p>
    <w:p w:rsidR="00C42126" w:rsidRPr="00B87455" w:rsidRDefault="00DF5604" w:rsidP="00C42126">
      <w:pPr>
        <w:tabs>
          <w:tab w:val="left" w:pos="6660"/>
        </w:tabs>
        <w:spacing w:line="276" w:lineRule="auto"/>
        <w:ind w:left="360"/>
        <w:rPr>
          <w:rFonts w:ascii="Times New Roman" w:hAnsi="Times New Roman"/>
          <w:bCs/>
          <w:iCs/>
          <w:sz w:val="24"/>
          <w:szCs w:val="24"/>
        </w:rPr>
      </w:pPr>
      <w:r w:rsidRPr="00B87455">
        <w:rPr>
          <w:rFonts w:ascii="Times New Roman" w:hAnsi="Times New Roman"/>
          <w:bCs/>
          <w:iCs/>
          <w:sz w:val="24"/>
          <w:szCs w:val="24"/>
        </w:rPr>
        <w:t>Zásadnější ú</w:t>
      </w:r>
      <w:r w:rsidR="00C42126" w:rsidRPr="00B87455">
        <w:rPr>
          <w:rFonts w:ascii="Times New Roman" w:hAnsi="Times New Roman"/>
          <w:bCs/>
          <w:iCs/>
          <w:sz w:val="24"/>
          <w:szCs w:val="24"/>
        </w:rPr>
        <w:t>pravy zákona o</w:t>
      </w:r>
      <w:r w:rsidR="0038289E" w:rsidRPr="00B87455">
        <w:rPr>
          <w:rFonts w:ascii="Times New Roman" w:hAnsi="Times New Roman"/>
          <w:bCs/>
          <w:iCs/>
          <w:sz w:val="24"/>
          <w:szCs w:val="24"/>
        </w:rPr>
        <w:t> </w:t>
      </w:r>
      <w:r w:rsidR="00C42126" w:rsidRPr="00B87455">
        <w:rPr>
          <w:rFonts w:ascii="Times New Roman" w:hAnsi="Times New Roman"/>
          <w:bCs/>
          <w:iCs/>
          <w:sz w:val="24"/>
          <w:szCs w:val="24"/>
        </w:rPr>
        <w:t>pohonných hmotách se podle svého charakteru dotknou specifických skupin subjektů. Charakterizuje je následující tabulka.</w:t>
      </w:r>
    </w:p>
    <w:p w:rsidR="0038289E" w:rsidRPr="00B87455" w:rsidRDefault="0038289E" w:rsidP="006348C8">
      <w:pPr>
        <w:tabs>
          <w:tab w:val="left" w:pos="6660"/>
        </w:tabs>
        <w:spacing w:line="276" w:lineRule="auto"/>
        <w:rPr>
          <w:rFonts w:ascii="Times New Roman" w:hAnsi="Times New Roman"/>
          <w:bCs/>
          <w:i/>
          <w:iCs/>
          <w:sz w:val="24"/>
          <w:szCs w:val="24"/>
        </w:rPr>
      </w:pPr>
    </w:p>
    <w:p w:rsidR="00A9010C" w:rsidRPr="00B87455" w:rsidRDefault="00A9010C" w:rsidP="00C42126">
      <w:pPr>
        <w:tabs>
          <w:tab w:val="left" w:pos="6660"/>
        </w:tabs>
        <w:spacing w:line="276" w:lineRule="auto"/>
        <w:ind w:left="360"/>
        <w:rPr>
          <w:rFonts w:ascii="Times New Roman" w:hAnsi="Times New Roman"/>
          <w:bCs/>
          <w:i/>
          <w:iCs/>
          <w:sz w:val="24"/>
          <w:szCs w:val="24"/>
        </w:rPr>
      </w:pPr>
    </w:p>
    <w:p w:rsidR="002F3000" w:rsidRPr="00B87455" w:rsidRDefault="009A0010" w:rsidP="00C42126">
      <w:pPr>
        <w:tabs>
          <w:tab w:val="left" w:pos="6660"/>
        </w:tabs>
        <w:spacing w:line="276" w:lineRule="auto"/>
        <w:ind w:left="360"/>
        <w:rPr>
          <w:rFonts w:ascii="Times New Roman" w:hAnsi="Times New Roman"/>
          <w:bCs/>
          <w:i/>
          <w:iCs/>
          <w:sz w:val="24"/>
          <w:szCs w:val="24"/>
        </w:rPr>
      </w:pPr>
      <w:r w:rsidRPr="00B87455">
        <w:rPr>
          <w:rFonts w:ascii="Times New Roman" w:hAnsi="Times New Roman"/>
          <w:bCs/>
          <w:i/>
          <w:iCs/>
          <w:sz w:val="24"/>
          <w:szCs w:val="24"/>
        </w:rPr>
        <w:t>Tabulka č. 1</w:t>
      </w:r>
    </w:p>
    <w:tbl>
      <w:tblPr>
        <w:tblStyle w:val="Mkatabulky"/>
        <w:tblW w:w="0" w:type="auto"/>
        <w:tblInd w:w="360" w:type="dxa"/>
        <w:tblLook w:val="04A0" w:firstRow="1" w:lastRow="0" w:firstColumn="1" w:lastColumn="0" w:noHBand="0" w:noVBand="1"/>
      </w:tblPr>
      <w:tblGrid>
        <w:gridCol w:w="4328"/>
        <w:gridCol w:w="4374"/>
      </w:tblGrid>
      <w:tr w:rsidR="002F3000" w:rsidRPr="00B87455" w:rsidTr="0033359D">
        <w:tc>
          <w:tcPr>
            <w:tcW w:w="4328" w:type="dxa"/>
          </w:tcPr>
          <w:p w:rsidR="002F3000" w:rsidRPr="00B87455" w:rsidRDefault="002F3000"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Navržená úprava zákona o</w:t>
            </w:r>
            <w:r w:rsidR="0038289E" w:rsidRPr="00B87455">
              <w:rPr>
                <w:rFonts w:ascii="Times New Roman" w:hAnsi="Times New Roman"/>
                <w:bCs/>
                <w:iCs/>
                <w:sz w:val="24"/>
                <w:szCs w:val="24"/>
              </w:rPr>
              <w:t> </w:t>
            </w:r>
            <w:r w:rsidRPr="00B87455">
              <w:rPr>
                <w:rFonts w:ascii="Times New Roman" w:hAnsi="Times New Roman"/>
                <w:bCs/>
                <w:iCs/>
                <w:sz w:val="24"/>
                <w:szCs w:val="24"/>
              </w:rPr>
              <w:t>pohonných hmotách</w:t>
            </w:r>
          </w:p>
        </w:tc>
        <w:tc>
          <w:tcPr>
            <w:tcW w:w="4374" w:type="dxa"/>
          </w:tcPr>
          <w:p w:rsidR="002F3000" w:rsidRPr="00B87455" w:rsidRDefault="00DF5604" w:rsidP="00C42126">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Okruh subjektů</w:t>
            </w:r>
            <w:r w:rsidR="00F64223" w:rsidRPr="00B87455">
              <w:rPr>
                <w:rFonts w:ascii="Times New Roman" w:hAnsi="Times New Roman"/>
                <w:bCs/>
                <w:iCs/>
                <w:sz w:val="24"/>
                <w:szCs w:val="24"/>
              </w:rPr>
              <w:t xml:space="preserve"> </w:t>
            </w:r>
            <w:r w:rsidR="002F3000" w:rsidRPr="00B87455">
              <w:rPr>
                <w:rFonts w:ascii="Times New Roman" w:hAnsi="Times New Roman"/>
                <w:bCs/>
                <w:iCs/>
                <w:sz w:val="24"/>
                <w:szCs w:val="24"/>
              </w:rPr>
              <w:t>dotčený</w:t>
            </w:r>
            <w:r w:rsidR="004A448E" w:rsidRPr="00B87455">
              <w:rPr>
                <w:rFonts w:ascii="Times New Roman" w:hAnsi="Times New Roman"/>
                <w:bCs/>
                <w:iCs/>
                <w:sz w:val="24"/>
                <w:szCs w:val="24"/>
              </w:rPr>
              <w:t>ch</w:t>
            </w:r>
            <w:r w:rsidR="002F3000" w:rsidRPr="00B87455">
              <w:rPr>
                <w:rFonts w:ascii="Times New Roman" w:hAnsi="Times New Roman"/>
                <w:bCs/>
                <w:iCs/>
                <w:sz w:val="24"/>
                <w:szCs w:val="24"/>
              </w:rPr>
              <w:t xml:space="preserve"> úpravou</w:t>
            </w:r>
          </w:p>
        </w:tc>
      </w:tr>
      <w:tr w:rsidR="002F3000" w:rsidRPr="00B87455" w:rsidTr="0033359D">
        <w:tc>
          <w:tcPr>
            <w:tcW w:w="4328" w:type="dxa"/>
          </w:tcPr>
          <w:p w:rsidR="002F3000" w:rsidRPr="00B87455" w:rsidRDefault="002F3000"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Výjimka z</w:t>
            </w:r>
            <w:r w:rsidR="0038289E" w:rsidRPr="00B87455">
              <w:rPr>
                <w:rFonts w:ascii="Times New Roman" w:hAnsi="Times New Roman"/>
                <w:bCs/>
                <w:iCs/>
                <w:sz w:val="24"/>
                <w:szCs w:val="24"/>
              </w:rPr>
              <w:t> </w:t>
            </w:r>
            <w:r w:rsidRPr="00B87455">
              <w:rPr>
                <w:rFonts w:ascii="Times New Roman" w:hAnsi="Times New Roman"/>
                <w:bCs/>
                <w:iCs/>
                <w:sz w:val="24"/>
                <w:szCs w:val="24"/>
              </w:rPr>
              <w:t>definice distributora pohonných hmot</w:t>
            </w:r>
          </w:p>
        </w:tc>
        <w:tc>
          <w:tcPr>
            <w:tcW w:w="4374" w:type="dxa"/>
          </w:tcPr>
          <w:p w:rsidR="002F3000" w:rsidRPr="00B87455" w:rsidRDefault="002F3000" w:rsidP="00C42126">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Zaměstnavatelé poskytující služební vozidla pro soukromé účely zaměstnancům</w:t>
            </w:r>
          </w:p>
        </w:tc>
      </w:tr>
      <w:tr w:rsidR="002F3000" w:rsidRPr="00B87455" w:rsidTr="0033359D">
        <w:tc>
          <w:tcPr>
            <w:tcW w:w="4328" w:type="dxa"/>
          </w:tcPr>
          <w:p w:rsidR="002F3000" w:rsidRPr="00B87455" w:rsidRDefault="002F3000"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Výjimka z</w:t>
            </w:r>
            <w:r w:rsidR="0038289E" w:rsidRPr="00B87455">
              <w:rPr>
                <w:rFonts w:ascii="Times New Roman" w:hAnsi="Times New Roman"/>
                <w:bCs/>
                <w:iCs/>
                <w:sz w:val="24"/>
                <w:szCs w:val="24"/>
              </w:rPr>
              <w:t> </w:t>
            </w:r>
            <w:r w:rsidRPr="00B87455">
              <w:rPr>
                <w:rFonts w:ascii="Times New Roman" w:hAnsi="Times New Roman"/>
                <w:bCs/>
                <w:iCs/>
                <w:sz w:val="24"/>
                <w:szCs w:val="24"/>
              </w:rPr>
              <w:t>definice distributora pohonných hmot</w:t>
            </w:r>
          </w:p>
        </w:tc>
        <w:tc>
          <w:tcPr>
            <w:tcW w:w="4374" w:type="dxa"/>
          </w:tcPr>
          <w:p w:rsidR="002F3000" w:rsidRPr="00B87455" w:rsidRDefault="002F3000"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Pronajímatelé vozidel, strojů a</w:t>
            </w:r>
            <w:r w:rsidR="0038289E" w:rsidRPr="00B87455">
              <w:rPr>
                <w:rFonts w:ascii="Times New Roman" w:hAnsi="Times New Roman"/>
                <w:bCs/>
                <w:iCs/>
                <w:sz w:val="24"/>
                <w:szCs w:val="24"/>
              </w:rPr>
              <w:t> </w:t>
            </w:r>
            <w:r w:rsidRPr="00B87455">
              <w:rPr>
                <w:rFonts w:ascii="Times New Roman" w:hAnsi="Times New Roman"/>
                <w:bCs/>
                <w:iCs/>
                <w:sz w:val="24"/>
                <w:szCs w:val="24"/>
              </w:rPr>
              <w:t>zařízení poskytující k</w:t>
            </w:r>
            <w:r w:rsidR="0038289E" w:rsidRPr="00B87455">
              <w:rPr>
                <w:rFonts w:ascii="Times New Roman" w:hAnsi="Times New Roman"/>
                <w:bCs/>
                <w:iCs/>
                <w:sz w:val="24"/>
                <w:szCs w:val="24"/>
              </w:rPr>
              <w:t> </w:t>
            </w:r>
            <w:r w:rsidRPr="00B87455">
              <w:rPr>
                <w:rFonts w:ascii="Times New Roman" w:hAnsi="Times New Roman"/>
                <w:bCs/>
                <w:iCs/>
                <w:sz w:val="24"/>
                <w:szCs w:val="24"/>
              </w:rPr>
              <w:t>těmto i</w:t>
            </w:r>
            <w:r w:rsidR="0038289E" w:rsidRPr="00B87455">
              <w:rPr>
                <w:rFonts w:ascii="Times New Roman" w:hAnsi="Times New Roman"/>
                <w:bCs/>
                <w:iCs/>
                <w:sz w:val="24"/>
                <w:szCs w:val="24"/>
              </w:rPr>
              <w:t> </w:t>
            </w:r>
            <w:r w:rsidRPr="00B87455">
              <w:rPr>
                <w:rFonts w:ascii="Times New Roman" w:hAnsi="Times New Roman"/>
                <w:bCs/>
                <w:iCs/>
                <w:sz w:val="24"/>
                <w:szCs w:val="24"/>
              </w:rPr>
              <w:t>pohonné hmoty</w:t>
            </w:r>
          </w:p>
        </w:tc>
      </w:tr>
      <w:tr w:rsidR="002F3000" w:rsidRPr="00B87455" w:rsidTr="0033359D">
        <w:tc>
          <w:tcPr>
            <w:tcW w:w="4328" w:type="dxa"/>
          </w:tcPr>
          <w:p w:rsidR="002F3000" w:rsidRPr="00B87455" w:rsidRDefault="00962CB4"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Výjimka z</w:t>
            </w:r>
            <w:r w:rsidR="0038289E" w:rsidRPr="00B87455">
              <w:rPr>
                <w:rFonts w:ascii="Times New Roman" w:hAnsi="Times New Roman"/>
                <w:bCs/>
                <w:iCs/>
                <w:sz w:val="24"/>
                <w:szCs w:val="24"/>
              </w:rPr>
              <w:t> </w:t>
            </w:r>
            <w:r w:rsidRPr="00B87455">
              <w:rPr>
                <w:rFonts w:ascii="Times New Roman" w:hAnsi="Times New Roman"/>
                <w:bCs/>
                <w:iCs/>
                <w:sz w:val="24"/>
                <w:szCs w:val="24"/>
              </w:rPr>
              <w:t>definice distributora pohonných hmot</w:t>
            </w:r>
          </w:p>
        </w:tc>
        <w:tc>
          <w:tcPr>
            <w:tcW w:w="4374" w:type="dxa"/>
          </w:tcPr>
          <w:p w:rsidR="002F3000" w:rsidRPr="00B87455" w:rsidRDefault="00962CB4"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Vydavatelé a</w:t>
            </w:r>
            <w:r w:rsidR="0038289E" w:rsidRPr="00B87455">
              <w:rPr>
                <w:rFonts w:ascii="Times New Roman" w:hAnsi="Times New Roman"/>
                <w:bCs/>
                <w:iCs/>
                <w:sz w:val="24"/>
                <w:szCs w:val="24"/>
              </w:rPr>
              <w:t> </w:t>
            </w:r>
            <w:r w:rsidRPr="00B87455">
              <w:rPr>
                <w:rFonts w:ascii="Times New Roman" w:hAnsi="Times New Roman"/>
                <w:bCs/>
                <w:iCs/>
                <w:sz w:val="24"/>
                <w:szCs w:val="24"/>
              </w:rPr>
              <w:t>zprostředkovatelé karet pro pořízení pohonných hmot</w:t>
            </w:r>
          </w:p>
        </w:tc>
      </w:tr>
      <w:tr w:rsidR="002F3000" w:rsidRPr="00B87455" w:rsidTr="0033359D">
        <w:tc>
          <w:tcPr>
            <w:tcW w:w="4328" w:type="dxa"/>
          </w:tcPr>
          <w:p w:rsidR="002F3000" w:rsidRPr="00B87455" w:rsidRDefault="00962CB4"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Výjimka z</w:t>
            </w:r>
            <w:r w:rsidR="0038289E" w:rsidRPr="00B87455">
              <w:rPr>
                <w:rFonts w:ascii="Times New Roman" w:hAnsi="Times New Roman"/>
                <w:bCs/>
                <w:iCs/>
                <w:sz w:val="24"/>
                <w:szCs w:val="24"/>
              </w:rPr>
              <w:t> </w:t>
            </w:r>
            <w:r w:rsidRPr="00B87455">
              <w:rPr>
                <w:rFonts w:ascii="Times New Roman" w:hAnsi="Times New Roman"/>
                <w:bCs/>
                <w:iCs/>
                <w:sz w:val="24"/>
                <w:szCs w:val="24"/>
              </w:rPr>
              <w:t>definice distributora pohonných hmot</w:t>
            </w:r>
          </w:p>
        </w:tc>
        <w:tc>
          <w:tcPr>
            <w:tcW w:w="4374" w:type="dxa"/>
          </w:tcPr>
          <w:p w:rsidR="002F3000" w:rsidRPr="00B87455" w:rsidRDefault="00962CB4" w:rsidP="00C42126">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 xml:space="preserve">Insolvenční správce </w:t>
            </w:r>
          </w:p>
        </w:tc>
      </w:tr>
      <w:tr w:rsidR="002F3000" w:rsidRPr="00F85E66" w:rsidTr="0033359D">
        <w:tc>
          <w:tcPr>
            <w:tcW w:w="4328" w:type="dxa"/>
          </w:tcPr>
          <w:p w:rsidR="002F3000" w:rsidRPr="00F85E66" w:rsidRDefault="00962CB4" w:rsidP="00962CB4">
            <w:pPr>
              <w:tabs>
                <w:tab w:val="left" w:pos="6660"/>
              </w:tabs>
              <w:spacing w:line="276" w:lineRule="auto"/>
              <w:rPr>
                <w:rFonts w:ascii="Times New Roman" w:hAnsi="Times New Roman"/>
                <w:bCs/>
                <w:iCs/>
                <w:sz w:val="24"/>
                <w:szCs w:val="24"/>
              </w:rPr>
            </w:pPr>
            <w:r w:rsidRPr="00F85E66">
              <w:rPr>
                <w:rFonts w:ascii="Times New Roman" w:hAnsi="Times New Roman"/>
                <w:bCs/>
                <w:iCs/>
                <w:sz w:val="24"/>
                <w:szCs w:val="24"/>
              </w:rPr>
              <w:t>Evidence výdejní jednotky pohonných hmot</w:t>
            </w:r>
          </w:p>
        </w:tc>
        <w:tc>
          <w:tcPr>
            <w:tcW w:w="4374" w:type="dxa"/>
          </w:tcPr>
          <w:p w:rsidR="002F3000" w:rsidRPr="00F85E66" w:rsidRDefault="00A0757B" w:rsidP="00C42126">
            <w:pPr>
              <w:tabs>
                <w:tab w:val="left" w:pos="6660"/>
              </w:tabs>
              <w:spacing w:line="276" w:lineRule="auto"/>
              <w:rPr>
                <w:rFonts w:ascii="Times New Roman" w:hAnsi="Times New Roman"/>
                <w:bCs/>
                <w:iCs/>
                <w:sz w:val="24"/>
                <w:szCs w:val="24"/>
              </w:rPr>
            </w:pPr>
            <w:r w:rsidRPr="00F85E66">
              <w:rPr>
                <w:rFonts w:ascii="Times New Roman" w:hAnsi="Times New Roman"/>
                <w:bCs/>
                <w:iCs/>
                <w:sz w:val="24"/>
                <w:szCs w:val="24"/>
              </w:rPr>
              <w:t>Vlastníci</w:t>
            </w:r>
            <w:r w:rsidR="00962CB4" w:rsidRPr="00F85E66">
              <w:rPr>
                <w:rFonts w:ascii="Times New Roman" w:hAnsi="Times New Roman"/>
                <w:bCs/>
                <w:iCs/>
                <w:sz w:val="24"/>
                <w:szCs w:val="24"/>
              </w:rPr>
              <w:t xml:space="preserve"> výdejních jednotek</w:t>
            </w:r>
          </w:p>
        </w:tc>
      </w:tr>
      <w:tr w:rsidR="002F3000" w:rsidRPr="00F85E66" w:rsidTr="0033359D">
        <w:tc>
          <w:tcPr>
            <w:tcW w:w="4328" w:type="dxa"/>
          </w:tcPr>
          <w:p w:rsidR="002F3000" w:rsidRPr="00F85E66" w:rsidRDefault="00962CB4" w:rsidP="00C42126">
            <w:pPr>
              <w:tabs>
                <w:tab w:val="left" w:pos="6660"/>
              </w:tabs>
              <w:spacing w:line="276" w:lineRule="auto"/>
              <w:rPr>
                <w:rFonts w:ascii="Times New Roman" w:hAnsi="Times New Roman"/>
                <w:bCs/>
                <w:iCs/>
                <w:sz w:val="24"/>
                <w:szCs w:val="24"/>
              </w:rPr>
            </w:pPr>
            <w:r w:rsidRPr="00F85E66">
              <w:rPr>
                <w:rFonts w:ascii="Times New Roman" w:hAnsi="Times New Roman"/>
                <w:bCs/>
                <w:iCs/>
                <w:sz w:val="24"/>
                <w:szCs w:val="24"/>
              </w:rPr>
              <w:t>Evidence pohonných hmot vydaných výdejní jednotkou</w:t>
            </w:r>
          </w:p>
        </w:tc>
        <w:tc>
          <w:tcPr>
            <w:tcW w:w="4374" w:type="dxa"/>
          </w:tcPr>
          <w:p w:rsidR="002F3000" w:rsidRPr="00F85E66" w:rsidRDefault="00A0757B" w:rsidP="00C42126">
            <w:pPr>
              <w:tabs>
                <w:tab w:val="left" w:pos="6660"/>
              </w:tabs>
              <w:spacing w:line="276" w:lineRule="auto"/>
              <w:rPr>
                <w:rFonts w:ascii="Times New Roman" w:hAnsi="Times New Roman"/>
                <w:bCs/>
                <w:iCs/>
                <w:sz w:val="24"/>
                <w:szCs w:val="24"/>
              </w:rPr>
            </w:pPr>
            <w:r w:rsidRPr="00F85E66">
              <w:rPr>
                <w:rFonts w:ascii="Times New Roman" w:hAnsi="Times New Roman"/>
                <w:bCs/>
                <w:iCs/>
                <w:sz w:val="24"/>
                <w:szCs w:val="24"/>
              </w:rPr>
              <w:t xml:space="preserve">Vlastníci </w:t>
            </w:r>
            <w:r w:rsidR="00962CB4" w:rsidRPr="00F85E66">
              <w:rPr>
                <w:rFonts w:ascii="Times New Roman" w:hAnsi="Times New Roman"/>
                <w:bCs/>
                <w:iCs/>
                <w:sz w:val="24"/>
                <w:szCs w:val="24"/>
              </w:rPr>
              <w:t>výdejních jednotek</w:t>
            </w:r>
          </w:p>
        </w:tc>
      </w:tr>
      <w:tr w:rsidR="002F3000" w:rsidRPr="00F85E66" w:rsidTr="0033359D">
        <w:tc>
          <w:tcPr>
            <w:tcW w:w="4328" w:type="dxa"/>
          </w:tcPr>
          <w:p w:rsidR="002F3000" w:rsidRPr="00F85E66" w:rsidRDefault="00E71B77" w:rsidP="00C42126">
            <w:pPr>
              <w:tabs>
                <w:tab w:val="left" w:pos="6660"/>
              </w:tabs>
              <w:spacing w:line="276" w:lineRule="auto"/>
              <w:rPr>
                <w:rFonts w:ascii="Times New Roman" w:hAnsi="Times New Roman"/>
                <w:bCs/>
                <w:iCs/>
                <w:sz w:val="24"/>
                <w:szCs w:val="24"/>
              </w:rPr>
            </w:pPr>
            <w:r w:rsidRPr="00F85E66">
              <w:rPr>
                <w:rFonts w:ascii="Times New Roman" w:hAnsi="Times New Roman"/>
                <w:bCs/>
                <w:iCs/>
                <w:sz w:val="24"/>
                <w:szCs w:val="24"/>
              </w:rPr>
              <w:lastRenderedPageBreak/>
              <w:t>Změna struktury dat dobíjecích stanic pro elektrická vozidla</w:t>
            </w:r>
            <w:r w:rsidR="00651D19" w:rsidRPr="00F85E66">
              <w:rPr>
                <w:rFonts w:ascii="Times New Roman" w:hAnsi="Times New Roman"/>
                <w:bCs/>
                <w:iCs/>
                <w:sz w:val="24"/>
                <w:szCs w:val="24"/>
              </w:rPr>
              <w:t xml:space="preserve"> pro evidenci státní správou</w:t>
            </w:r>
            <w:r w:rsidR="00693B1F" w:rsidRPr="00F85E66">
              <w:rPr>
                <w:rFonts w:ascii="Times New Roman" w:hAnsi="Times New Roman"/>
                <w:bCs/>
                <w:iCs/>
                <w:sz w:val="24"/>
                <w:szCs w:val="24"/>
              </w:rPr>
              <w:t xml:space="preserve"> pro výkaznictví</w:t>
            </w:r>
          </w:p>
        </w:tc>
        <w:tc>
          <w:tcPr>
            <w:tcW w:w="4374" w:type="dxa"/>
          </w:tcPr>
          <w:p w:rsidR="002F3000" w:rsidRPr="00F85E66" w:rsidRDefault="00E71B77" w:rsidP="00F64223">
            <w:pPr>
              <w:tabs>
                <w:tab w:val="left" w:pos="6660"/>
              </w:tabs>
              <w:spacing w:line="276" w:lineRule="auto"/>
              <w:rPr>
                <w:rFonts w:ascii="Times New Roman" w:hAnsi="Times New Roman"/>
                <w:bCs/>
                <w:iCs/>
                <w:sz w:val="24"/>
                <w:szCs w:val="24"/>
              </w:rPr>
            </w:pPr>
            <w:r w:rsidRPr="00F85E66">
              <w:rPr>
                <w:rFonts w:ascii="Times New Roman" w:hAnsi="Times New Roman"/>
                <w:bCs/>
                <w:iCs/>
                <w:sz w:val="24"/>
                <w:szCs w:val="24"/>
              </w:rPr>
              <w:t>Vlastní</w:t>
            </w:r>
            <w:r w:rsidR="00F64223" w:rsidRPr="00F85E66">
              <w:rPr>
                <w:rFonts w:ascii="Times New Roman" w:hAnsi="Times New Roman"/>
                <w:bCs/>
                <w:iCs/>
                <w:sz w:val="24"/>
                <w:szCs w:val="24"/>
              </w:rPr>
              <w:t>ci</w:t>
            </w:r>
            <w:r w:rsidRPr="00F85E66">
              <w:rPr>
                <w:rFonts w:ascii="Times New Roman" w:hAnsi="Times New Roman"/>
                <w:bCs/>
                <w:iCs/>
                <w:sz w:val="24"/>
                <w:szCs w:val="24"/>
              </w:rPr>
              <w:t xml:space="preserve"> dobíjecí</w:t>
            </w:r>
            <w:r w:rsidR="00F64223" w:rsidRPr="00F85E66">
              <w:rPr>
                <w:rFonts w:ascii="Times New Roman" w:hAnsi="Times New Roman"/>
                <w:bCs/>
                <w:iCs/>
                <w:sz w:val="24"/>
                <w:szCs w:val="24"/>
              </w:rPr>
              <w:t>ch</w:t>
            </w:r>
            <w:r w:rsidRPr="00F85E66">
              <w:rPr>
                <w:rFonts w:ascii="Times New Roman" w:hAnsi="Times New Roman"/>
                <w:bCs/>
                <w:iCs/>
                <w:sz w:val="24"/>
                <w:szCs w:val="24"/>
              </w:rPr>
              <w:t xml:space="preserve"> stanic</w:t>
            </w:r>
          </w:p>
        </w:tc>
      </w:tr>
    </w:tbl>
    <w:p w:rsidR="00C42126" w:rsidRPr="00F85E66" w:rsidRDefault="00C42126" w:rsidP="00C42126">
      <w:pPr>
        <w:tabs>
          <w:tab w:val="left" w:pos="6660"/>
        </w:tabs>
        <w:spacing w:line="276" w:lineRule="auto"/>
        <w:ind w:left="360"/>
        <w:rPr>
          <w:rFonts w:ascii="Times New Roman" w:hAnsi="Times New Roman"/>
          <w:bCs/>
          <w:iCs/>
          <w:sz w:val="24"/>
          <w:szCs w:val="24"/>
        </w:rPr>
      </w:pPr>
    </w:p>
    <w:p w:rsidR="00A0757B" w:rsidRDefault="00E63D88" w:rsidP="00A0757B">
      <w:pPr>
        <w:tabs>
          <w:tab w:val="left" w:pos="6660"/>
        </w:tabs>
        <w:spacing w:after="240" w:line="276" w:lineRule="auto"/>
        <w:ind w:left="357"/>
        <w:jc w:val="both"/>
        <w:rPr>
          <w:rFonts w:ascii="Times New Roman" w:hAnsi="Times New Roman"/>
          <w:bCs/>
          <w:iCs/>
          <w:sz w:val="24"/>
          <w:szCs w:val="24"/>
        </w:rPr>
      </w:pPr>
      <w:r w:rsidRPr="00F85E66">
        <w:rPr>
          <w:rFonts w:ascii="Times New Roman" w:hAnsi="Times New Roman"/>
          <w:bCs/>
          <w:iCs/>
          <w:sz w:val="24"/>
          <w:szCs w:val="24"/>
        </w:rPr>
        <w:t>Vzhledem k</w:t>
      </w:r>
      <w:r w:rsidR="0038289E" w:rsidRPr="00F85E66">
        <w:rPr>
          <w:rFonts w:ascii="Times New Roman" w:hAnsi="Times New Roman"/>
          <w:bCs/>
          <w:iCs/>
          <w:sz w:val="24"/>
          <w:szCs w:val="24"/>
        </w:rPr>
        <w:t> </w:t>
      </w:r>
      <w:r w:rsidRPr="00F85E66">
        <w:rPr>
          <w:rFonts w:ascii="Times New Roman" w:hAnsi="Times New Roman"/>
          <w:bCs/>
          <w:iCs/>
          <w:sz w:val="24"/>
          <w:szCs w:val="24"/>
        </w:rPr>
        <w:t xml:space="preserve">charakteru </w:t>
      </w:r>
      <w:r w:rsidR="00844B19" w:rsidRPr="00F85E66">
        <w:rPr>
          <w:rFonts w:ascii="Times New Roman" w:hAnsi="Times New Roman"/>
          <w:bCs/>
          <w:iCs/>
          <w:sz w:val="24"/>
          <w:szCs w:val="24"/>
        </w:rPr>
        <w:t xml:space="preserve">uvažovaných </w:t>
      </w:r>
      <w:r w:rsidRPr="00F85E66">
        <w:rPr>
          <w:rFonts w:ascii="Times New Roman" w:hAnsi="Times New Roman"/>
          <w:bCs/>
          <w:iCs/>
          <w:sz w:val="24"/>
          <w:szCs w:val="24"/>
        </w:rPr>
        <w:t>úprav zákona o</w:t>
      </w:r>
      <w:r w:rsidR="0038289E" w:rsidRPr="00F85E66">
        <w:rPr>
          <w:rFonts w:ascii="Times New Roman" w:hAnsi="Times New Roman"/>
          <w:bCs/>
          <w:iCs/>
          <w:sz w:val="24"/>
          <w:szCs w:val="24"/>
        </w:rPr>
        <w:t> </w:t>
      </w:r>
      <w:r w:rsidRPr="00F85E66">
        <w:rPr>
          <w:rFonts w:ascii="Times New Roman" w:hAnsi="Times New Roman"/>
          <w:bCs/>
          <w:iCs/>
          <w:sz w:val="24"/>
          <w:szCs w:val="24"/>
        </w:rPr>
        <w:t>pohonných hmotách nelze konstatovat, že by některá skupina subjektů z</w:t>
      </w:r>
      <w:r w:rsidR="0038289E" w:rsidRPr="00F85E66">
        <w:rPr>
          <w:rFonts w:ascii="Times New Roman" w:hAnsi="Times New Roman"/>
          <w:bCs/>
          <w:iCs/>
          <w:sz w:val="24"/>
          <w:szCs w:val="24"/>
        </w:rPr>
        <w:t> </w:t>
      </w:r>
      <w:r w:rsidR="008B18D7" w:rsidRPr="00F85E66">
        <w:rPr>
          <w:rFonts w:ascii="Times New Roman" w:hAnsi="Times New Roman"/>
          <w:bCs/>
          <w:iCs/>
          <w:sz w:val="24"/>
          <w:szCs w:val="24"/>
        </w:rPr>
        <w:t>jejich aplikace získala vůči ostatním dodatečný materiál</w:t>
      </w:r>
      <w:r w:rsidR="00680BF9" w:rsidRPr="00F85E66">
        <w:rPr>
          <w:rFonts w:ascii="Times New Roman" w:hAnsi="Times New Roman"/>
          <w:bCs/>
          <w:iCs/>
          <w:sz w:val="24"/>
          <w:szCs w:val="24"/>
        </w:rPr>
        <w:t>ní</w:t>
      </w:r>
      <w:r w:rsidR="00CF68A5" w:rsidRPr="00F85E66">
        <w:rPr>
          <w:rFonts w:ascii="Times New Roman" w:hAnsi="Times New Roman"/>
          <w:bCs/>
          <w:iCs/>
          <w:sz w:val="24"/>
          <w:szCs w:val="24"/>
        </w:rPr>
        <w:t xml:space="preserve"> </w:t>
      </w:r>
      <w:r w:rsidRPr="00F85E66">
        <w:rPr>
          <w:rFonts w:ascii="Times New Roman" w:hAnsi="Times New Roman"/>
          <w:bCs/>
          <w:iCs/>
          <w:sz w:val="24"/>
          <w:szCs w:val="24"/>
        </w:rPr>
        <w:t>prospěch</w:t>
      </w:r>
      <w:r w:rsidR="008B18D7" w:rsidRPr="00F85E66">
        <w:rPr>
          <w:rFonts w:ascii="Times New Roman" w:hAnsi="Times New Roman"/>
          <w:bCs/>
          <w:iCs/>
          <w:sz w:val="24"/>
          <w:szCs w:val="24"/>
        </w:rPr>
        <w:t xml:space="preserve"> ve srovnání se současným stavem</w:t>
      </w:r>
      <w:r w:rsidRPr="00F85E66">
        <w:rPr>
          <w:rFonts w:ascii="Times New Roman" w:hAnsi="Times New Roman"/>
          <w:bCs/>
          <w:iCs/>
          <w:sz w:val="24"/>
          <w:szCs w:val="24"/>
        </w:rPr>
        <w:t>. V</w:t>
      </w:r>
      <w:r w:rsidR="0038289E" w:rsidRPr="00F85E66">
        <w:rPr>
          <w:rFonts w:ascii="Times New Roman" w:hAnsi="Times New Roman"/>
          <w:bCs/>
          <w:iCs/>
          <w:sz w:val="24"/>
          <w:szCs w:val="24"/>
        </w:rPr>
        <w:t> </w:t>
      </w:r>
      <w:r w:rsidRPr="00F85E66">
        <w:rPr>
          <w:rFonts w:ascii="Times New Roman" w:hAnsi="Times New Roman"/>
          <w:bCs/>
          <w:iCs/>
          <w:sz w:val="24"/>
          <w:szCs w:val="24"/>
        </w:rPr>
        <w:t xml:space="preserve">případě </w:t>
      </w:r>
      <w:r w:rsidR="008B18D7" w:rsidRPr="00F85E66">
        <w:rPr>
          <w:rFonts w:ascii="Times New Roman" w:hAnsi="Times New Roman"/>
          <w:bCs/>
          <w:iCs/>
          <w:sz w:val="24"/>
          <w:szCs w:val="24"/>
        </w:rPr>
        <w:t>porovnání</w:t>
      </w:r>
      <w:r w:rsidRPr="00F85E66">
        <w:rPr>
          <w:rFonts w:ascii="Times New Roman" w:hAnsi="Times New Roman"/>
          <w:bCs/>
          <w:iCs/>
          <w:sz w:val="24"/>
          <w:szCs w:val="24"/>
        </w:rPr>
        <w:t xml:space="preserve"> </w:t>
      </w:r>
      <w:r w:rsidR="00A0757B" w:rsidRPr="00F85E66">
        <w:rPr>
          <w:rFonts w:ascii="Times New Roman" w:hAnsi="Times New Roman"/>
          <w:bCs/>
          <w:iCs/>
          <w:sz w:val="24"/>
          <w:szCs w:val="24"/>
        </w:rPr>
        <w:t>vlastníků</w:t>
      </w:r>
      <w:r w:rsidRPr="00F85E66">
        <w:rPr>
          <w:rFonts w:ascii="Times New Roman" w:hAnsi="Times New Roman"/>
          <w:bCs/>
          <w:iCs/>
          <w:sz w:val="24"/>
          <w:szCs w:val="24"/>
        </w:rPr>
        <w:t xml:space="preserve"> výdejních jednotek vůči provozovatelům čerpacích stanic spíš</w:t>
      </w:r>
      <w:r w:rsidR="00A9010C" w:rsidRPr="00F85E66">
        <w:rPr>
          <w:rFonts w:ascii="Times New Roman" w:hAnsi="Times New Roman"/>
          <w:bCs/>
          <w:iCs/>
          <w:sz w:val="24"/>
          <w:szCs w:val="24"/>
        </w:rPr>
        <w:t>e</w:t>
      </w:r>
      <w:r w:rsidRPr="00F85E66">
        <w:rPr>
          <w:rFonts w:ascii="Times New Roman" w:hAnsi="Times New Roman"/>
          <w:bCs/>
          <w:iCs/>
          <w:sz w:val="24"/>
          <w:szCs w:val="24"/>
        </w:rPr>
        <w:t xml:space="preserve"> půjde o</w:t>
      </w:r>
      <w:r w:rsidR="0038289E" w:rsidRPr="00F85E66">
        <w:rPr>
          <w:rFonts w:ascii="Times New Roman" w:hAnsi="Times New Roman"/>
          <w:bCs/>
          <w:iCs/>
          <w:sz w:val="24"/>
          <w:szCs w:val="24"/>
        </w:rPr>
        <w:t> </w:t>
      </w:r>
      <w:r w:rsidRPr="00F85E66">
        <w:rPr>
          <w:rFonts w:ascii="Times New Roman" w:hAnsi="Times New Roman"/>
          <w:bCs/>
          <w:iCs/>
          <w:sz w:val="24"/>
          <w:szCs w:val="24"/>
        </w:rPr>
        <w:t>narovnání vztahů při plnění</w:t>
      </w:r>
      <w:r w:rsidRPr="00B87455">
        <w:rPr>
          <w:rFonts w:ascii="Times New Roman" w:hAnsi="Times New Roman"/>
          <w:bCs/>
          <w:iCs/>
          <w:sz w:val="24"/>
          <w:szCs w:val="24"/>
        </w:rPr>
        <w:t xml:space="preserve"> obdobných, byť ne </w:t>
      </w:r>
      <w:r w:rsidR="008B18D7" w:rsidRPr="00B87455">
        <w:rPr>
          <w:rFonts w:ascii="Times New Roman" w:hAnsi="Times New Roman"/>
          <w:bCs/>
          <w:iCs/>
          <w:sz w:val="24"/>
          <w:szCs w:val="24"/>
        </w:rPr>
        <w:t xml:space="preserve">naprosto </w:t>
      </w:r>
      <w:r w:rsidR="00A9010C" w:rsidRPr="00B87455">
        <w:rPr>
          <w:rFonts w:ascii="Times New Roman" w:hAnsi="Times New Roman"/>
          <w:bCs/>
          <w:iCs/>
          <w:sz w:val="24"/>
          <w:szCs w:val="24"/>
        </w:rPr>
        <w:t>totožných</w:t>
      </w:r>
      <w:r w:rsidRPr="00B87455">
        <w:rPr>
          <w:rFonts w:ascii="Times New Roman" w:hAnsi="Times New Roman"/>
          <w:bCs/>
          <w:iCs/>
          <w:sz w:val="24"/>
          <w:szCs w:val="24"/>
        </w:rPr>
        <w:t>, povinností. V</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případě zaměstnavatelů ani pronajímatelů </w:t>
      </w:r>
      <w:r w:rsidR="00CF68A5" w:rsidRPr="00B87455">
        <w:rPr>
          <w:rFonts w:ascii="Times New Roman" w:hAnsi="Times New Roman"/>
          <w:bCs/>
          <w:iCs/>
          <w:sz w:val="24"/>
          <w:szCs w:val="24"/>
        </w:rPr>
        <w:t>vozidel, strojů a</w:t>
      </w:r>
      <w:r w:rsidR="0038289E" w:rsidRPr="00B87455">
        <w:rPr>
          <w:rFonts w:ascii="Times New Roman" w:hAnsi="Times New Roman"/>
          <w:bCs/>
          <w:iCs/>
          <w:sz w:val="24"/>
          <w:szCs w:val="24"/>
        </w:rPr>
        <w:t> </w:t>
      </w:r>
      <w:r w:rsidR="00CF68A5" w:rsidRPr="00B87455">
        <w:rPr>
          <w:rFonts w:ascii="Times New Roman" w:hAnsi="Times New Roman"/>
          <w:bCs/>
          <w:iCs/>
          <w:sz w:val="24"/>
          <w:szCs w:val="24"/>
        </w:rPr>
        <w:t xml:space="preserve">zařízení </w:t>
      </w:r>
      <w:r w:rsidRPr="00B87455">
        <w:rPr>
          <w:rFonts w:ascii="Times New Roman" w:hAnsi="Times New Roman"/>
          <w:bCs/>
          <w:iCs/>
          <w:sz w:val="24"/>
          <w:szCs w:val="24"/>
        </w:rPr>
        <w:t xml:space="preserve">dotčených úpravou nelze </w:t>
      </w:r>
      <w:r w:rsidR="008B18D7" w:rsidRPr="00B87455">
        <w:rPr>
          <w:rFonts w:ascii="Times New Roman" w:hAnsi="Times New Roman"/>
          <w:bCs/>
          <w:iCs/>
          <w:sz w:val="24"/>
          <w:szCs w:val="24"/>
        </w:rPr>
        <w:t>v</w:t>
      </w:r>
      <w:r w:rsidR="0038289E" w:rsidRPr="00B87455">
        <w:rPr>
          <w:rFonts w:ascii="Times New Roman" w:hAnsi="Times New Roman"/>
          <w:bCs/>
          <w:iCs/>
          <w:sz w:val="24"/>
          <w:szCs w:val="24"/>
        </w:rPr>
        <w:t> </w:t>
      </w:r>
      <w:r w:rsidR="008B18D7" w:rsidRPr="00B87455">
        <w:rPr>
          <w:rFonts w:ascii="Times New Roman" w:hAnsi="Times New Roman"/>
          <w:bCs/>
          <w:iCs/>
          <w:sz w:val="24"/>
          <w:szCs w:val="24"/>
        </w:rPr>
        <w:t xml:space="preserve">přínosu </w:t>
      </w:r>
      <w:r w:rsidRPr="00B87455">
        <w:rPr>
          <w:rFonts w:ascii="Times New Roman" w:hAnsi="Times New Roman"/>
          <w:bCs/>
          <w:iCs/>
          <w:sz w:val="24"/>
          <w:szCs w:val="24"/>
        </w:rPr>
        <w:t xml:space="preserve">spatřovat </w:t>
      </w:r>
      <w:r w:rsidR="008B18D7" w:rsidRPr="00B87455">
        <w:rPr>
          <w:rFonts w:ascii="Times New Roman" w:hAnsi="Times New Roman"/>
          <w:bCs/>
          <w:iCs/>
          <w:sz w:val="24"/>
          <w:szCs w:val="24"/>
        </w:rPr>
        <w:t xml:space="preserve">hmotný </w:t>
      </w:r>
      <w:r w:rsidRPr="00B87455">
        <w:rPr>
          <w:rFonts w:ascii="Times New Roman" w:hAnsi="Times New Roman"/>
          <w:bCs/>
          <w:iCs/>
          <w:sz w:val="24"/>
          <w:szCs w:val="24"/>
        </w:rPr>
        <w:t xml:space="preserve">prospěch, jen posílení </w:t>
      </w:r>
      <w:r w:rsidR="00A9010C" w:rsidRPr="00B87455">
        <w:rPr>
          <w:rFonts w:ascii="Times New Roman" w:hAnsi="Times New Roman"/>
          <w:bCs/>
          <w:iCs/>
          <w:sz w:val="24"/>
          <w:szCs w:val="24"/>
        </w:rPr>
        <w:t xml:space="preserve">jejich </w:t>
      </w:r>
      <w:r w:rsidRPr="00B87455">
        <w:rPr>
          <w:rFonts w:ascii="Times New Roman" w:hAnsi="Times New Roman"/>
          <w:bCs/>
          <w:iCs/>
          <w:sz w:val="24"/>
          <w:szCs w:val="24"/>
        </w:rPr>
        <w:t xml:space="preserve">právní jistoty </w:t>
      </w:r>
      <w:r w:rsidR="00844B19" w:rsidRPr="00B87455">
        <w:rPr>
          <w:rFonts w:ascii="Times New Roman" w:hAnsi="Times New Roman"/>
          <w:bCs/>
          <w:iCs/>
          <w:sz w:val="24"/>
          <w:szCs w:val="24"/>
        </w:rPr>
        <w:t>ve svém</w:t>
      </w:r>
      <w:r w:rsidRPr="00B87455">
        <w:rPr>
          <w:rFonts w:ascii="Times New Roman" w:hAnsi="Times New Roman"/>
          <w:bCs/>
          <w:iCs/>
          <w:sz w:val="24"/>
          <w:szCs w:val="24"/>
        </w:rPr>
        <w:t xml:space="preserve"> oboru podnikání. Totéž platí pro vydavatele a</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zprostředkovatele karet, kterými je nákup pohonných hmot </w:t>
      </w:r>
      <w:r w:rsidR="00CF68A5" w:rsidRPr="00B87455">
        <w:rPr>
          <w:rFonts w:ascii="Times New Roman" w:hAnsi="Times New Roman"/>
          <w:bCs/>
          <w:iCs/>
          <w:sz w:val="24"/>
          <w:szCs w:val="24"/>
        </w:rPr>
        <w:t xml:space="preserve">bezhotovostně </w:t>
      </w:r>
      <w:r w:rsidRPr="00B87455">
        <w:rPr>
          <w:rFonts w:ascii="Times New Roman" w:hAnsi="Times New Roman"/>
          <w:bCs/>
          <w:iCs/>
          <w:sz w:val="24"/>
          <w:szCs w:val="24"/>
        </w:rPr>
        <w:t xml:space="preserve">realizován. </w:t>
      </w:r>
      <w:r w:rsidR="008B18D7" w:rsidRPr="00B87455">
        <w:rPr>
          <w:rFonts w:ascii="Times New Roman" w:hAnsi="Times New Roman"/>
          <w:bCs/>
          <w:iCs/>
          <w:sz w:val="24"/>
          <w:szCs w:val="24"/>
        </w:rPr>
        <w:t>Ani v</w:t>
      </w:r>
      <w:r w:rsidR="0038289E" w:rsidRPr="00B87455">
        <w:rPr>
          <w:rFonts w:ascii="Times New Roman" w:hAnsi="Times New Roman"/>
          <w:bCs/>
          <w:iCs/>
          <w:sz w:val="24"/>
          <w:szCs w:val="24"/>
        </w:rPr>
        <w:t> </w:t>
      </w:r>
      <w:r w:rsidR="008B18D7" w:rsidRPr="00B87455">
        <w:rPr>
          <w:rFonts w:ascii="Times New Roman" w:hAnsi="Times New Roman"/>
          <w:bCs/>
          <w:iCs/>
          <w:sz w:val="24"/>
          <w:szCs w:val="24"/>
        </w:rPr>
        <w:t xml:space="preserve">jejich případě se neprojeví ekonomický zisk měřitelný obecnými pravidly, pokud za něj nepovažujeme skutečnost, že by </w:t>
      </w:r>
      <w:r w:rsidR="004A448E" w:rsidRPr="00B87455">
        <w:rPr>
          <w:rFonts w:ascii="Times New Roman" w:hAnsi="Times New Roman"/>
          <w:bCs/>
          <w:iCs/>
          <w:sz w:val="24"/>
          <w:szCs w:val="24"/>
        </w:rPr>
        <w:t xml:space="preserve">uvedené subjekty </w:t>
      </w:r>
      <w:r w:rsidR="008B18D7" w:rsidRPr="00B87455">
        <w:rPr>
          <w:rFonts w:ascii="Times New Roman" w:hAnsi="Times New Roman"/>
          <w:bCs/>
          <w:iCs/>
          <w:sz w:val="24"/>
          <w:szCs w:val="24"/>
        </w:rPr>
        <w:t>musely plnit neopodstatněné skládání jistot státní správě formou kauce či bankovní záruky podle</w:t>
      </w:r>
      <w:r w:rsidR="00CF68A5" w:rsidRPr="00B87455">
        <w:rPr>
          <w:rFonts w:ascii="Times New Roman" w:hAnsi="Times New Roman"/>
          <w:bCs/>
          <w:iCs/>
          <w:sz w:val="24"/>
          <w:szCs w:val="24"/>
        </w:rPr>
        <w:t xml:space="preserve"> </w:t>
      </w:r>
      <w:r w:rsidR="004A448E" w:rsidRPr="00B87455">
        <w:rPr>
          <w:rFonts w:ascii="Times New Roman" w:hAnsi="Times New Roman"/>
          <w:bCs/>
          <w:iCs/>
          <w:sz w:val="24"/>
          <w:szCs w:val="24"/>
        </w:rPr>
        <w:t>současně platného právního předpisu – zákona o</w:t>
      </w:r>
      <w:r w:rsidR="0038289E" w:rsidRPr="00B87455">
        <w:rPr>
          <w:rFonts w:ascii="Times New Roman" w:hAnsi="Times New Roman"/>
          <w:bCs/>
          <w:iCs/>
          <w:sz w:val="24"/>
          <w:szCs w:val="24"/>
        </w:rPr>
        <w:t> </w:t>
      </w:r>
      <w:r w:rsidR="004A448E" w:rsidRPr="00B87455">
        <w:rPr>
          <w:rFonts w:ascii="Times New Roman" w:hAnsi="Times New Roman"/>
          <w:bCs/>
          <w:iCs/>
          <w:sz w:val="24"/>
          <w:szCs w:val="24"/>
        </w:rPr>
        <w:t>pohonných hmotách</w:t>
      </w:r>
      <w:r w:rsidR="008B18D7" w:rsidRPr="00B87455">
        <w:rPr>
          <w:rFonts w:ascii="Times New Roman" w:hAnsi="Times New Roman"/>
          <w:bCs/>
          <w:iCs/>
          <w:sz w:val="24"/>
          <w:szCs w:val="24"/>
        </w:rPr>
        <w:t>.</w:t>
      </w:r>
      <w:r w:rsidR="006348C8" w:rsidRPr="00B87455">
        <w:rPr>
          <w:rFonts w:ascii="Times New Roman" w:hAnsi="Times New Roman"/>
          <w:bCs/>
          <w:iCs/>
          <w:sz w:val="24"/>
          <w:szCs w:val="24"/>
        </w:rPr>
        <w:t xml:space="preserve"> </w:t>
      </w:r>
      <w:r w:rsidRPr="00B87455">
        <w:rPr>
          <w:rFonts w:ascii="Times New Roman" w:hAnsi="Times New Roman"/>
          <w:bCs/>
          <w:iCs/>
          <w:sz w:val="24"/>
          <w:szCs w:val="24"/>
        </w:rPr>
        <w:t>Vyjmutí tří posledně jmenovaných okruhů subjektů z</w:t>
      </w:r>
      <w:r w:rsidR="0038289E" w:rsidRPr="00B87455">
        <w:rPr>
          <w:rFonts w:ascii="Times New Roman" w:hAnsi="Times New Roman"/>
          <w:bCs/>
          <w:iCs/>
          <w:sz w:val="24"/>
          <w:szCs w:val="24"/>
        </w:rPr>
        <w:t> </w:t>
      </w:r>
      <w:r w:rsidRPr="00B87455">
        <w:rPr>
          <w:rFonts w:ascii="Times New Roman" w:hAnsi="Times New Roman"/>
          <w:bCs/>
          <w:iCs/>
          <w:sz w:val="24"/>
          <w:szCs w:val="24"/>
        </w:rPr>
        <w:t>definice distributora nijak nepoškodí současné distributory, neboť podstata jejich podnikání je odlišná</w:t>
      </w:r>
      <w:r w:rsidR="008B18D7" w:rsidRPr="00B87455">
        <w:rPr>
          <w:rFonts w:ascii="Times New Roman" w:hAnsi="Times New Roman"/>
          <w:bCs/>
          <w:iCs/>
          <w:sz w:val="24"/>
          <w:szCs w:val="24"/>
        </w:rPr>
        <w:t>, stejně jako okruh zákazníků, které svou činností os</w:t>
      </w:r>
      <w:r w:rsidR="00652E62" w:rsidRPr="00B87455">
        <w:rPr>
          <w:rFonts w:ascii="Times New Roman" w:hAnsi="Times New Roman"/>
          <w:bCs/>
          <w:iCs/>
          <w:sz w:val="24"/>
          <w:szCs w:val="24"/>
        </w:rPr>
        <w:t>lov</w:t>
      </w:r>
      <w:r w:rsidR="008B18D7" w:rsidRPr="00B87455">
        <w:rPr>
          <w:rFonts w:ascii="Times New Roman" w:hAnsi="Times New Roman"/>
          <w:bCs/>
          <w:iCs/>
          <w:sz w:val="24"/>
          <w:szCs w:val="24"/>
        </w:rPr>
        <w:t>ují</w:t>
      </w:r>
      <w:r w:rsidRPr="00B87455">
        <w:rPr>
          <w:rFonts w:ascii="Times New Roman" w:hAnsi="Times New Roman"/>
          <w:bCs/>
          <w:iCs/>
          <w:sz w:val="24"/>
          <w:szCs w:val="24"/>
        </w:rPr>
        <w:t>.</w:t>
      </w:r>
    </w:p>
    <w:p w:rsidR="00A0757B" w:rsidRDefault="00652E62" w:rsidP="00A0757B">
      <w:pPr>
        <w:tabs>
          <w:tab w:val="left" w:pos="6660"/>
        </w:tabs>
        <w:spacing w:after="240" w:line="276" w:lineRule="auto"/>
        <w:ind w:left="357"/>
        <w:jc w:val="both"/>
        <w:rPr>
          <w:rFonts w:ascii="Times New Roman" w:hAnsi="Times New Roman"/>
          <w:bCs/>
          <w:iCs/>
          <w:sz w:val="24"/>
          <w:szCs w:val="24"/>
        </w:rPr>
      </w:pPr>
      <w:r w:rsidRPr="00B87455">
        <w:rPr>
          <w:rFonts w:ascii="Times New Roman" w:hAnsi="Times New Roman"/>
          <w:bCs/>
          <w:iCs/>
          <w:sz w:val="24"/>
          <w:szCs w:val="24"/>
        </w:rPr>
        <w:t>Navrhované úpravy zasahující povinnosti státní správy při řešení případů insolvence a</w:t>
      </w:r>
      <w:r w:rsidR="0038289E" w:rsidRPr="00B87455">
        <w:rPr>
          <w:rFonts w:ascii="Times New Roman" w:hAnsi="Times New Roman"/>
          <w:bCs/>
          <w:iCs/>
          <w:sz w:val="24"/>
          <w:szCs w:val="24"/>
        </w:rPr>
        <w:t> </w:t>
      </w:r>
      <w:r w:rsidRPr="00B87455">
        <w:rPr>
          <w:rFonts w:ascii="Times New Roman" w:hAnsi="Times New Roman"/>
          <w:bCs/>
          <w:iCs/>
          <w:sz w:val="24"/>
          <w:szCs w:val="24"/>
        </w:rPr>
        <w:t>konkur</w:t>
      </w:r>
      <w:r w:rsidR="009E73FC" w:rsidRPr="00B87455">
        <w:rPr>
          <w:rFonts w:ascii="Times New Roman" w:hAnsi="Times New Roman"/>
          <w:bCs/>
          <w:iCs/>
          <w:sz w:val="24"/>
          <w:szCs w:val="24"/>
        </w:rPr>
        <w:t>s</w:t>
      </w:r>
      <w:r w:rsidRPr="00B87455">
        <w:rPr>
          <w:rFonts w:ascii="Times New Roman" w:hAnsi="Times New Roman"/>
          <w:bCs/>
          <w:iCs/>
          <w:sz w:val="24"/>
          <w:szCs w:val="24"/>
        </w:rPr>
        <w:t>ní nakládání s</w:t>
      </w:r>
      <w:r w:rsidR="0038289E" w:rsidRPr="00B87455">
        <w:rPr>
          <w:rFonts w:ascii="Times New Roman" w:hAnsi="Times New Roman"/>
          <w:bCs/>
          <w:iCs/>
          <w:sz w:val="24"/>
          <w:szCs w:val="24"/>
        </w:rPr>
        <w:t> </w:t>
      </w:r>
      <w:r w:rsidRPr="00B87455">
        <w:rPr>
          <w:rFonts w:ascii="Times New Roman" w:hAnsi="Times New Roman"/>
          <w:bCs/>
          <w:iCs/>
          <w:sz w:val="24"/>
          <w:szCs w:val="24"/>
        </w:rPr>
        <w:t>majetkem podle jiných zákonů pak nemá dopad na obecnou podnikatelskou veřejnost. Návrhem vynětí konkur</w:t>
      </w:r>
      <w:r w:rsidR="009E73FC" w:rsidRPr="00B87455">
        <w:rPr>
          <w:rFonts w:ascii="Times New Roman" w:hAnsi="Times New Roman"/>
          <w:bCs/>
          <w:iCs/>
          <w:sz w:val="24"/>
          <w:szCs w:val="24"/>
        </w:rPr>
        <w:t>s</w:t>
      </w:r>
      <w:r w:rsidRPr="00B87455">
        <w:rPr>
          <w:rFonts w:ascii="Times New Roman" w:hAnsi="Times New Roman"/>
          <w:bCs/>
          <w:iCs/>
          <w:sz w:val="24"/>
          <w:szCs w:val="24"/>
        </w:rPr>
        <w:t>ních správců z</w:t>
      </w:r>
      <w:r w:rsidR="0038289E" w:rsidRPr="00B87455">
        <w:rPr>
          <w:rFonts w:ascii="Times New Roman" w:hAnsi="Times New Roman"/>
          <w:bCs/>
          <w:iCs/>
          <w:sz w:val="24"/>
          <w:szCs w:val="24"/>
        </w:rPr>
        <w:t> </w:t>
      </w:r>
      <w:r w:rsidRPr="00B87455">
        <w:rPr>
          <w:rFonts w:ascii="Times New Roman" w:hAnsi="Times New Roman"/>
          <w:bCs/>
          <w:iCs/>
          <w:sz w:val="24"/>
          <w:szCs w:val="24"/>
        </w:rPr>
        <w:t>definice distributora je řešena spíše problematika oprávněnosti nakládat s</w:t>
      </w:r>
      <w:r w:rsidR="0038289E" w:rsidRPr="00B87455">
        <w:rPr>
          <w:rFonts w:ascii="Times New Roman" w:hAnsi="Times New Roman"/>
          <w:bCs/>
          <w:iCs/>
          <w:sz w:val="24"/>
          <w:szCs w:val="24"/>
        </w:rPr>
        <w:t> </w:t>
      </w:r>
      <w:r w:rsidRPr="00B87455">
        <w:rPr>
          <w:rFonts w:ascii="Times New Roman" w:hAnsi="Times New Roman"/>
          <w:bCs/>
          <w:iCs/>
          <w:sz w:val="24"/>
          <w:szCs w:val="24"/>
        </w:rPr>
        <w:t>konkur</w:t>
      </w:r>
      <w:r w:rsidR="009E73FC" w:rsidRPr="00B87455">
        <w:rPr>
          <w:rFonts w:ascii="Times New Roman" w:hAnsi="Times New Roman"/>
          <w:bCs/>
          <w:iCs/>
          <w:sz w:val="24"/>
          <w:szCs w:val="24"/>
        </w:rPr>
        <w:t>s</w:t>
      </w:r>
      <w:r w:rsidRPr="00B87455">
        <w:rPr>
          <w:rFonts w:ascii="Times New Roman" w:hAnsi="Times New Roman"/>
          <w:bCs/>
          <w:iCs/>
          <w:sz w:val="24"/>
          <w:szCs w:val="24"/>
        </w:rPr>
        <w:t>ní podstatou bez nutných dalších administrativních opatření.</w:t>
      </w:r>
    </w:p>
    <w:p w:rsidR="00A0757B" w:rsidRDefault="00172954" w:rsidP="00A0757B">
      <w:pPr>
        <w:tabs>
          <w:tab w:val="left" w:pos="6660"/>
        </w:tabs>
        <w:spacing w:after="240" w:line="276" w:lineRule="auto"/>
        <w:ind w:left="357"/>
        <w:jc w:val="both"/>
        <w:rPr>
          <w:rFonts w:ascii="Times New Roman" w:hAnsi="Times New Roman"/>
          <w:bCs/>
          <w:iCs/>
          <w:sz w:val="24"/>
          <w:szCs w:val="24"/>
        </w:rPr>
      </w:pPr>
      <w:r w:rsidRPr="00B87455">
        <w:rPr>
          <w:rFonts w:ascii="Times New Roman" w:hAnsi="Times New Roman"/>
          <w:bCs/>
          <w:iCs/>
          <w:sz w:val="24"/>
          <w:szCs w:val="24"/>
        </w:rPr>
        <w:t>U majitelů výdejních jednotek můžeme identifikovat přímý dopad navrhovaných úprav v</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povinnostech </w:t>
      </w:r>
      <w:r w:rsidR="004A448E" w:rsidRPr="00B87455">
        <w:rPr>
          <w:rFonts w:ascii="Times New Roman" w:hAnsi="Times New Roman"/>
          <w:bCs/>
          <w:iCs/>
          <w:sz w:val="24"/>
          <w:szCs w:val="24"/>
        </w:rPr>
        <w:t xml:space="preserve">zapsání </w:t>
      </w:r>
      <w:r w:rsidRPr="00B87455">
        <w:rPr>
          <w:rFonts w:ascii="Times New Roman" w:hAnsi="Times New Roman"/>
          <w:bCs/>
          <w:iCs/>
          <w:sz w:val="24"/>
          <w:szCs w:val="24"/>
        </w:rPr>
        <w:t>výdejních míst v</w:t>
      </w:r>
      <w:r w:rsidR="0038289E" w:rsidRPr="00B87455">
        <w:rPr>
          <w:rFonts w:ascii="Times New Roman" w:hAnsi="Times New Roman"/>
          <w:bCs/>
          <w:iCs/>
          <w:sz w:val="24"/>
          <w:szCs w:val="24"/>
        </w:rPr>
        <w:t> </w:t>
      </w:r>
      <w:r w:rsidRPr="00B87455">
        <w:rPr>
          <w:rFonts w:ascii="Times New Roman" w:hAnsi="Times New Roman"/>
          <w:bCs/>
          <w:iCs/>
          <w:sz w:val="24"/>
          <w:szCs w:val="24"/>
        </w:rPr>
        <w:t>evidenci čerpacích</w:t>
      </w:r>
      <w:r w:rsidR="0068482D" w:rsidRPr="00B87455">
        <w:rPr>
          <w:rFonts w:ascii="Times New Roman" w:hAnsi="Times New Roman"/>
          <w:bCs/>
          <w:iCs/>
          <w:sz w:val="24"/>
          <w:szCs w:val="24"/>
        </w:rPr>
        <w:t xml:space="preserve"> </w:t>
      </w:r>
      <w:r w:rsidR="004A448E" w:rsidRPr="00B87455">
        <w:rPr>
          <w:rFonts w:ascii="Times New Roman" w:hAnsi="Times New Roman"/>
          <w:bCs/>
          <w:iCs/>
          <w:sz w:val="24"/>
          <w:szCs w:val="24"/>
        </w:rPr>
        <w:t>a</w:t>
      </w:r>
      <w:r w:rsidR="0038289E" w:rsidRPr="00B87455">
        <w:rPr>
          <w:rFonts w:ascii="Times New Roman" w:hAnsi="Times New Roman"/>
          <w:bCs/>
          <w:iCs/>
          <w:sz w:val="24"/>
          <w:szCs w:val="24"/>
        </w:rPr>
        <w:t> </w:t>
      </w:r>
      <w:r w:rsidRPr="00B87455">
        <w:rPr>
          <w:rFonts w:ascii="Times New Roman" w:hAnsi="Times New Roman"/>
          <w:bCs/>
          <w:iCs/>
          <w:sz w:val="24"/>
          <w:szCs w:val="24"/>
        </w:rPr>
        <w:t>dobíjecích</w:t>
      </w:r>
      <w:r w:rsidR="004A448E" w:rsidRPr="00B87455">
        <w:rPr>
          <w:rFonts w:ascii="Times New Roman" w:hAnsi="Times New Roman"/>
          <w:bCs/>
          <w:iCs/>
          <w:sz w:val="24"/>
          <w:szCs w:val="24"/>
        </w:rPr>
        <w:t xml:space="preserve"> stanic</w:t>
      </w:r>
      <w:r w:rsidRPr="00B87455">
        <w:rPr>
          <w:rFonts w:ascii="Times New Roman" w:hAnsi="Times New Roman"/>
          <w:bCs/>
          <w:iCs/>
          <w:sz w:val="24"/>
          <w:szCs w:val="24"/>
        </w:rPr>
        <w:t xml:space="preserve"> a</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výdejních </w:t>
      </w:r>
      <w:r w:rsidR="004A448E" w:rsidRPr="00B87455">
        <w:rPr>
          <w:rFonts w:ascii="Times New Roman" w:hAnsi="Times New Roman"/>
          <w:bCs/>
          <w:iCs/>
          <w:sz w:val="24"/>
          <w:szCs w:val="24"/>
        </w:rPr>
        <w:t>jednotek</w:t>
      </w:r>
      <w:r w:rsidRPr="00B87455">
        <w:rPr>
          <w:rFonts w:ascii="Times New Roman" w:hAnsi="Times New Roman"/>
          <w:bCs/>
          <w:iCs/>
          <w:sz w:val="24"/>
          <w:szCs w:val="24"/>
        </w:rPr>
        <w:t>. Jedná se o</w:t>
      </w:r>
      <w:r w:rsidR="0038289E" w:rsidRPr="00B87455">
        <w:rPr>
          <w:rFonts w:ascii="Times New Roman" w:hAnsi="Times New Roman"/>
          <w:bCs/>
          <w:iCs/>
          <w:sz w:val="24"/>
          <w:szCs w:val="24"/>
        </w:rPr>
        <w:t> </w:t>
      </w:r>
      <w:r w:rsidRPr="00B87455">
        <w:rPr>
          <w:rFonts w:ascii="Times New Roman" w:hAnsi="Times New Roman"/>
          <w:bCs/>
          <w:iCs/>
          <w:sz w:val="24"/>
          <w:szCs w:val="24"/>
        </w:rPr>
        <w:t>jednorázový akt přihlášení do evidence a</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sdělení požadovaných identifikačních </w:t>
      </w:r>
      <w:r w:rsidR="004A448E" w:rsidRPr="00B87455">
        <w:rPr>
          <w:rFonts w:ascii="Times New Roman" w:hAnsi="Times New Roman"/>
          <w:bCs/>
          <w:iCs/>
          <w:sz w:val="24"/>
          <w:szCs w:val="24"/>
        </w:rPr>
        <w:t>a</w:t>
      </w:r>
      <w:r w:rsidR="0038289E" w:rsidRPr="00B87455">
        <w:rPr>
          <w:rFonts w:ascii="Times New Roman" w:hAnsi="Times New Roman"/>
          <w:bCs/>
          <w:iCs/>
          <w:sz w:val="24"/>
          <w:szCs w:val="24"/>
        </w:rPr>
        <w:t> </w:t>
      </w:r>
      <w:r w:rsidR="004A448E" w:rsidRPr="00B87455">
        <w:rPr>
          <w:rFonts w:ascii="Times New Roman" w:hAnsi="Times New Roman"/>
          <w:bCs/>
          <w:iCs/>
          <w:sz w:val="24"/>
          <w:szCs w:val="24"/>
        </w:rPr>
        <w:t xml:space="preserve">dalších zákonných </w:t>
      </w:r>
      <w:r w:rsidR="006734F4" w:rsidRPr="00B87455">
        <w:rPr>
          <w:rFonts w:ascii="Times New Roman" w:hAnsi="Times New Roman"/>
          <w:bCs/>
          <w:iCs/>
          <w:sz w:val="24"/>
          <w:szCs w:val="24"/>
        </w:rPr>
        <w:t>údajů</w:t>
      </w:r>
      <w:r w:rsidRPr="00B87455">
        <w:rPr>
          <w:rFonts w:ascii="Times New Roman" w:hAnsi="Times New Roman"/>
          <w:bCs/>
          <w:iCs/>
          <w:sz w:val="24"/>
          <w:szCs w:val="24"/>
        </w:rPr>
        <w:t>.</w:t>
      </w:r>
      <w:r w:rsidR="00247481" w:rsidRPr="00B87455">
        <w:rPr>
          <w:rFonts w:ascii="Times New Roman" w:hAnsi="Times New Roman"/>
          <w:bCs/>
          <w:iCs/>
          <w:sz w:val="24"/>
          <w:szCs w:val="24"/>
        </w:rPr>
        <w:t xml:space="preserve"> </w:t>
      </w:r>
      <w:r w:rsidRPr="00B87455">
        <w:rPr>
          <w:rFonts w:ascii="Times New Roman" w:hAnsi="Times New Roman"/>
          <w:bCs/>
          <w:iCs/>
          <w:sz w:val="24"/>
          <w:szCs w:val="24"/>
        </w:rPr>
        <w:t>Pokud nedochází k</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podstatné změně </w:t>
      </w:r>
      <w:r w:rsidR="00247481" w:rsidRPr="00B87455">
        <w:rPr>
          <w:rFonts w:ascii="Times New Roman" w:hAnsi="Times New Roman"/>
          <w:bCs/>
          <w:iCs/>
          <w:sz w:val="24"/>
          <w:szCs w:val="24"/>
        </w:rPr>
        <w:t xml:space="preserve">nahlášených </w:t>
      </w:r>
      <w:r w:rsidRPr="00B87455">
        <w:rPr>
          <w:rFonts w:ascii="Times New Roman" w:hAnsi="Times New Roman"/>
          <w:bCs/>
          <w:iCs/>
          <w:sz w:val="24"/>
          <w:szCs w:val="24"/>
        </w:rPr>
        <w:t>dat v</w:t>
      </w:r>
      <w:r w:rsidR="0038289E" w:rsidRPr="00B87455">
        <w:rPr>
          <w:rFonts w:ascii="Times New Roman" w:hAnsi="Times New Roman"/>
          <w:bCs/>
          <w:iCs/>
          <w:sz w:val="24"/>
          <w:szCs w:val="24"/>
        </w:rPr>
        <w:t> </w:t>
      </w:r>
      <w:r w:rsidRPr="00B87455">
        <w:rPr>
          <w:rFonts w:ascii="Times New Roman" w:hAnsi="Times New Roman"/>
          <w:bCs/>
          <w:iCs/>
          <w:sz w:val="24"/>
          <w:szCs w:val="24"/>
        </w:rPr>
        <w:t>čase, jde o</w:t>
      </w:r>
      <w:r w:rsidR="0038289E" w:rsidRPr="00B87455">
        <w:rPr>
          <w:rFonts w:ascii="Times New Roman" w:hAnsi="Times New Roman"/>
          <w:bCs/>
          <w:iCs/>
          <w:sz w:val="24"/>
          <w:szCs w:val="24"/>
        </w:rPr>
        <w:t> </w:t>
      </w:r>
      <w:r w:rsidRPr="00B87455">
        <w:rPr>
          <w:rFonts w:ascii="Times New Roman" w:hAnsi="Times New Roman"/>
          <w:bCs/>
          <w:iCs/>
          <w:sz w:val="24"/>
          <w:szCs w:val="24"/>
        </w:rPr>
        <w:t>neopakovanou administrativně i</w:t>
      </w:r>
      <w:r w:rsidR="0038289E" w:rsidRPr="00B87455">
        <w:rPr>
          <w:rFonts w:ascii="Times New Roman" w:hAnsi="Times New Roman"/>
          <w:bCs/>
          <w:iCs/>
          <w:sz w:val="24"/>
          <w:szCs w:val="24"/>
        </w:rPr>
        <w:t> </w:t>
      </w:r>
      <w:r w:rsidRPr="00B87455">
        <w:rPr>
          <w:rFonts w:ascii="Times New Roman" w:hAnsi="Times New Roman"/>
          <w:bCs/>
          <w:iCs/>
          <w:sz w:val="24"/>
          <w:szCs w:val="24"/>
        </w:rPr>
        <w:t>časově nenáročnou činnost</w:t>
      </w:r>
      <w:r w:rsidR="0098329D" w:rsidRPr="00B87455">
        <w:rPr>
          <w:rFonts w:ascii="Times New Roman" w:hAnsi="Times New Roman"/>
          <w:bCs/>
          <w:iCs/>
          <w:sz w:val="24"/>
          <w:szCs w:val="24"/>
        </w:rPr>
        <w:t>, ulehčenou jednoznačnou strukturou požadovaných dat a</w:t>
      </w:r>
      <w:r w:rsidR="0038289E" w:rsidRPr="00B87455">
        <w:rPr>
          <w:rFonts w:ascii="Times New Roman" w:hAnsi="Times New Roman"/>
          <w:bCs/>
          <w:iCs/>
          <w:sz w:val="24"/>
          <w:szCs w:val="24"/>
        </w:rPr>
        <w:t> </w:t>
      </w:r>
      <w:r w:rsidR="0098329D" w:rsidRPr="00B87455">
        <w:rPr>
          <w:rFonts w:ascii="Times New Roman" w:hAnsi="Times New Roman"/>
          <w:bCs/>
          <w:iCs/>
          <w:sz w:val="24"/>
          <w:szCs w:val="24"/>
        </w:rPr>
        <w:t>elektro</w:t>
      </w:r>
      <w:r w:rsidR="00844B19" w:rsidRPr="00B87455">
        <w:rPr>
          <w:rFonts w:ascii="Times New Roman" w:hAnsi="Times New Roman"/>
          <w:bCs/>
          <w:iCs/>
          <w:sz w:val="24"/>
          <w:szCs w:val="24"/>
        </w:rPr>
        <w:t>n</w:t>
      </w:r>
      <w:r w:rsidR="0098329D" w:rsidRPr="00B87455">
        <w:rPr>
          <w:rFonts w:ascii="Times New Roman" w:hAnsi="Times New Roman"/>
          <w:bCs/>
          <w:iCs/>
          <w:sz w:val="24"/>
          <w:szCs w:val="24"/>
        </w:rPr>
        <w:t>ickou formou podání</w:t>
      </w:r>
      <w:r w:rsidRPr="00B87455">
        <w:rPr>
          <w:rFonts w:ascii="Times New Roman" w:hAnsi="Times New Roman"/>
          <w:bCs/>
          <w:iCs/>
          <w:sz w:val="24"/>
          <w:szCs w:val="24"/>
        </w:rPr>
        <w:t>. Vezmeme-li v</w:t>
      </w:r>
      <w:r w:rsidR="0038289E" w:rsidRPr="00B87455">
        <w:rPr>
          <w:rFonts w:ascii="Times New Roman" w:hAnsi="Times New Roman"/>
          <w:bCs/>
          <w:iCs/>
          <w:sz w:val="24"/>
          <w:szCs w:val="24"/>
        </w:rPr>
        <w:t> </w:t>
      </w:r>
      <w:r w:rsidRPr="00B87455">
        <w:rPr>
          <w:rFonts w:ascii="Times New Roman" w:hAnsi="Times New Roman"/>
          <w:bCs/>
          <w:iCs/>
          <w:sz w:val="24"/>
          <w:szCs w:val="24"/>
        </w:rPr>
        <w:t xml:space="preserve">úvahu, že naprostá většina výdejních míst, nově </w:t>
      </w:r>
      <w:r w:rsidR="004A448E" w:rsidRPr="00B87455">
        <w:rPr>
          <w:rFonts w:ascii="Times New Roman" w:hAnsi="Times New Roman"/>
          <w:bCs/>
          <w:iCs/>
          <w:sz w:val="24"/>
          <w:szCs w:val="24"/>
        </w:rPr>
        <w:t>definovaných</w:t>
      </w:r>
      <w:r w:rsidRPr="00B87455">
        <w:rPr>
          <w:rFonts w:ascii="Times New Roman" w:hAnsi="Times New Roman"/>
          <w:bCs/>
          <w:iCs/>
          <w:sz w:val="24"/>
          <w:szCs w:val="24"/>
        </w:rPr>
        <w:t xml:space="preserve"> v</w:t>
      </w:r>
      <w:r w:rsidR="0038289E" w:rsidRPr="00B87455">
        <w:rPr>
          <w:rFonts w:ascii="Times New Roman" w:hAnsi="Times New Roman"/>
          <w:bCs/>
          <w:iCs/>
          <w:sz w:val="24"/>
          <w:szCs w:val="24"/>
        </w:rPr>
        <w:t> </w:t>
      </w:r>
      <w:r w:rsidRPr="00B87455">
        <w:rPr>
          <w:rFonts w:ascii="Times New Roman" w:hAnsi="Times New Roman"/>
          <w:bCs/>
          <w:iCs/>
          <w:sz w:val="24"/>
          <w:szCs w:val="24"/>
        </w:rPr>
        <w:t>návrhu</w:t>
      </w:r>
      <w:r w:rsidR="004A448E" w:rsidRPr="00B87455">
        <w:rPr>
          <w:rFonts w:ascii="Times New Roman" w:hAnsi="Times New Roman"/>
          <w:bCs/>
          <w:iCs/>
          <w:sz w:val="24"/>
          <w:szCs w:val="24"/>
        </w:rPr>
        <w:t xml:space="preserve"> zákona</w:t>
      </w:r>
      <w:r w:rsidR="00247481" w:rsidRPr="00B87455">
        <w:rPr>
          <w:rFonts w:ascii="Times New Roman" w:hAnsi="Times New Roman"/>
          <w:bCs/>
          <w:iCs/>
          <w:sz w:val="24"/>
          <w:szCs w:val="24"/>
        </w:rPr>
        <w:t xml:space="preserve"> </w:t>
      </w:r>
      <w:r w:rsidR="004A448E" w:rsidRPr="00B87455">
        <w:rPr>
          <w:rFonts w:ascii="Times New Roman" w:hAnsi="Times New Roman"/>
          <w:bCs/>
          <w:iCs/>
          <w:sz w:val="24"/>
          <w:szCs w:val="24"/>
        </w:rPr>
        <w:t>jako „</w:t>
      </w:r>
      <w:r w:rsidRPr="00B87455">
        <w:rPr>
          <w:rFonts w:ascii="Times New Roman" w:hAnsi="Times New Roman"/>
          <w:bCs/>
          <w:iCs/>
          <w:sz w:val="24"/>
          <w:szCs w:val="24"/>
        </w:rPr>
        <w:t>výdejní jednotk</w:t>
      </w:r>
      <w:r w:rsidR="004A448E" w:rsidRPr="00B87455">
        <w:rPr>
          <w:rFonts w:ascii="Times New Roman" w:hAnsi="Times New Roman"/>
          <w:bCs/>
          <w:iCs/>
          <w:sz w:val="24"/>
          <w:szCs w:val="24"/>
        </w:rPr>
        <w:t>y“</w:t>
      </w:r>
      <w:r w:rsidRPr="00B87455">
        <w:rPr>
          <w:rFonts w:ascii="Times New Roman" w:hAnsi="Times New Roman"/>
          <w:bCs/>
          <w:iCs/>
          <w:sz w:val="24"/>
          <w:szCs w:val="24"/>
        </w:rPr>
        <w:t>, je již z</w:t>
      </w:r>
      <w:r w:rsidR="0038289E" w:rsidRPr="00B87455">
        <w:rPr>
          <w:rFonts w:ascii="Times New Roman" w:hAnsi="Times New Roman"/>
          <w:bCs/>
          <w:iCs/>
          <w:sz w:val="24"/>
          <w:szCs w:val="24"/>
        </w:rPr>
        <w:t> </w:t>
      </w:r>
      <w:r w:rsidRPr="00B87455">
        <w:rPr>
          <w:rFonts w:ascii="Times New Roman" w:hAnsi="Times New Roman"/>
          <w:bCs/>
          <w:iCs/>
          <w:sz w:val="24"/>
          <w:szCs w:val="24"/>
        </w:rPr>
        <w:t>dřívější doby v</w:t>
      </w:r>
      <w:r w:rsidR="0038289E" w:rsidRPr="00B87455">
        <w:rPr>
          <w:rFonts w:ascii="Times New Roman" w:hAnsi="Times New Roman"/>
          <w:bCs/>
          <w:iCs/>
          <w:sz w:val="24"/>
          <w:szCs w:val="24"/>
        </w:rPr>
        <w:t> </w:t>
      </w:r>
      <w:r w:rsidR="006734F4" w:rsidRPr="00B87455">
        <w:rPr>
          <w:rFonts w:ascii="Times New Roman" w:hAnsi="Times New Roman"/>
          <w:bCs/>
          <w:iCs/>
          <w:sz w:val="24"/>
          <w:szCs w:val="24"/>
        </w:rPr>
        <w:t>evidenci vedené</w:t>
      </w:r>
      <w:r w:rsidR="00247481" w:rsidRPr="00B87455">
        <w:rPr>
          <w:rFonts w:ascii="Times New Roman" w:hAnsi="Times New Roman"/>
          <w:bCs/>
          <w:iCs/>
          <w:sz w:val="24"/>
          <w:szCs w:val="24"/>
        </w:rPr>
        <w:t xml:space="preserve"> </w:t>
      </w:r>
      <w:r w:rsidR="004A448E" w:rsidRPr="00B87455">
        <w:rPr>
          <w:rFonts w:ascii="Times New Roman" w:hAnsi="Times New Roman"/>
          <w:bCs/>
          <w:iCs/>
          <w:sz w:val="24"/>
          <w:szCs w:val="24"/>
        </w:rPr>
        <w:t>M</w:t>
      </w:r>
      <w:r w:rsidRPr="00B87455">
        <w:rPr>
          <w:rFonts w:ascii="Times New Roman" w:hAnsi="Times New Roman"/>
          <w:bCs/>
          <w:iCs/>
          <w:sz w:val="24"/>
          <w:szCs w:val="24"/>
        </w:rPr>
        <w:t>inisterstvem</w:t>
      </w:r>
      <w:r w:rsidR="004A448E" w:rsidRPr="00B87455">
        <w:rPr>
          <w:rFonts w:ascii="Times New Roman" w:hAnsi="Times New Roman"/>
          <w:bCs/>
          <w:iCs/>
          <w:sz w:val="24"/>
          <w:szCs w:val="24"/>
        </w:rPr>
        <w:t xml:space="preserve"> průmyslu a</w:t>
      </w:r>
      <w:r w:rsidR="0038289E" w:rsidRPr="00B87455">
        <w:rPr>
          <w:rFonts w:ascii="Times New Roman" w:hAnsi="Times New Roman"/>
          <w:bCs/>
          <w:iCs/>
          <w:sz w:val="24"/>
          <w:szCs w:val="24"/>
        </w:rPr>
        <w:t> </w:t>
      </w:r>
      <w:r w:rsidR="004A448E" w:rsidRPr="00B87455">
        <w:rPr>
          <w:rFonts w:ascii="Times New Roman" w:hAnsi="Times New Roman"/>
          <w:bCs/>
          <w:iCs/>
          <w:sz w:val="24"/>
          <w:szCs w:val="24"/>
        </w:rPr>
        <w:t>obchodu</w:t>
      </w:r>
      <w:r w:rsidRPr="00B87455">
        <w:rPr>
          <w:rFonts w:ascii="Times New Roman" w:hAnsi="Times New Roman"/>
          <w:bCs/>
          <w:iCs/>
          <w:sz w:val="24"/>
          <w:szCs w:val="24"/>
        </w:rPr>
        <w:t xml:space="preserve"> zaevidována</w:t>
      </w:r>
      <w:r w:rsidR="0098329D" w:rsidRPr="00B87455">
        <w:rPr>
          <w:rFonts w:ascii="Times New Roman" w:hAnsi="Times New Roman"/>
          <w:bCs/>
          <w:iCs/>
          <w:sz w:val="24"/>
          <w:szCs w:val="24"/>
        </w:rPr>
        <w:t xml:space="preserve"> jako neveřejné čerpací stanice</w:t>
      </w:r>
      <w:r w:rsidRPr="00B87455">
        <w:rPr>
          <w:rFonts w:ascii="Times New Roman" w:hAnsi="Times New Roman"/>
          <w:bCs/>
          <w:iCs/>
          <w:sz w:val="24"/>
          <w:szCs w:val="24"/>
        </w:rPr>
        <w:t xml:space="preserve">, dopad na podnikatelskou skupinu je nepodstatný. </w:t>
      </w:r>
    </w:p>
    <w:p w:rsidR="00C42126" w:rsidRPr="00B87455" w:rsidRDefault="0098329D" w:rsidP="00A0757B">
      <w:pPr>
        <w:tabs>
          <w:tab w:val="left" w:pos="6660"/>
        </w:tabs>
        <w:spacing w:after="240" w:line="276" w:lineRule="auto"/>
        <w:ind w:left="357"/>
        <w:jc w:val="both"/>
        <w:rPr>
          <w:rFonts w:ascii="Times New Roman" w:hAnsi="Times New Roman"/>
          <w:bCs/>
          <w:iCs/>
          <w:sz w:val="24"/>
          <w:szCs w:val="24"/>
        </w:rPr>
      </w:pPr>
      <w:r w:rsidRPr="00B87455">
        <w:rPr>
          <w:rFonts w:ascii="Times New Roman" w:hAnsi="Times New Roman"/>
          <w:bCs/>
          <w:iCs/>
          <w:sz w:val="24"/>
          <w:szCs w:val="24"/>
        </w:rPr>
        <w:t xml:space="preserve">V návrhu novely </w:t>
      </w:r>
      <w:r w:rsidR="00AA32AD" w:rsidRPr="00B87455">
        <w:rPr>
          <w:rFonts w:ascii="Times New Roman" w:hAnsi="Times New Roman"/>
          <w:bCs/>
          <w:iCs/>
          <w:sz w:val="24"/>
          <w:szCs w:val="24"/>
        </w:rPr>
        <w:t xml:space="preserve">zákona </w:t>
      </w:r>
      <w:r w:rsidRPr="00B87455">
        <w:rPr>
          <w:rFonts w:ascii="Times New Roman" w:hAnsi="Times New Roman"/>
          <w:bCs/>
          <w:iCs/>
          <w:sz w:val="24"/>
          <w:szCs w:val="24"/>
        </w:rPr>
        <w:t xml:space="preserve">zakotvený požadavek na evidenci vydaných pohonných hmot výdejními </w:t>
      </w:r>
      <w:r w:rsidR="00247481" w:rsidRPr="00B87455">
        <w:rPr>
          <w:rFonts w:ascii="Times New Roman" w:hAnsi="Times New Roman"/>
          <w:bCs/>
          <w:iCs/>
          <w:sz w:val="24"/>
          <w:szCs w:val="24"/>
        </w:rPr>
        <w:t xml:space="preserve">jednotkami </w:t>
      </w:r>
      <w:r w:rsidRPr="00B87455">
        <w:rPr>
          <w:rFonts w:ascii="Times New Roman" w:hAnsi="Times New Roman"/>
          <w:bCs/>
          <w:iCs/>
          <w:sz w:val="24"/>
          <w:szCs w:val="24"/>
        </w:rPr>
        <w:t>je kodifikace již dnes běžné praxe. Podnikatelské subjekty si evidenci vedou pro plnění daňových povinností již dnes. Navrhovaná změna jen tuto evidenci zpřístupňuje finanční a</w:t>
      </w:r>
      <w:r w:rsidR="0038289E" w:rsidRPr="00B87455">
        <w:rPr>
          <w:rFonts w:ascii="Times New Roman" w:hAnsi="Times New Roman"/>
          <w:bCs/>
          <w:iCs/>
          <w:sz w:val="24"/>
          <w:szCs w:val="24"/>
        </w:rPr>
        <w:t> </w:t>
      </w:r>
      <w:r w:rsidRPr="00B87455">
        <w:rPr>
          <w:rFonts w:ascii="Times New Roman" w:hAnsi="Times New Roman"/>
          <w:bCs/>
          <w:iCs/>
          <w:sz w:val="24"/>
          <w:szCs w:val="24"/>
        </w:rPr>
        <w:t>daňové správě pro případnou kontrolní činnost.</w:t>
      </w:r>
      <w:r w:rsidR="00C05C70" w:rsidRPr="00B87455">
        <w:rPr>
          <w:rFonts w:ascii="Times New Roman" w:hAnsi="Times New Roman"/>
          <w:bCs/>
          <w:iCs/>
          <w:sz w:val="24"/>
          <w:szCs w:val="24"/>
        </w:rPr>
        <w:t xml:space="preserve"> Nejde tedy o</w:t>
      </w:r>
      <w:r w:rsidR="0038289E" w:rsidRPr="00B87455">
        <w:rPr>
          <w:rFonts w:ascii="Times New Roman" w:hAnsi="Times New Roman"/>
          <w:bCs/>
          <w:iCs/>
          <w:sz w:val="24"/>
          <w:szCs w:val="24"/>
        </w:rPr>
        <w:t> </w:t>
      </w:r>
      <w:r w:rsidR="00C05C70" w:rsidRPr="00B87455">
        <w:rPr>
          <w:rFonts w:ascii="Times New Roman" w:hAnsi="Times New Roman"/>
          <w:bCs/>
          <w:iCs/>
          <w:sz w:val="24"/>
          <w:szCs w:val="24"/>
        </w:rPr>
        <w:t>povinnost ve věcném smyslu nad rámec dnešní praxe</w:t>
      </w:r>
      <w:r w:rsidR="00630882" w:rsidRPr="00B87455">
        <w:rPr>
          <w:rFonts w:ascii="Times New Roman" w:hAnsi="Times New Roman"/>
          <w:bCs/>
          <w:iCs/>
          <w:sz w:val="24"/>
          <w:szCs w:val="24"/>
        </w:rPr>
        <w:t xml:space="preserve"> uskutečňované dotčenou podnikatelskou skupinou</w:t>
      </w:r>
      <w:r w:rsidR="00C05C70" w:rsidRPr="00B87455">
        <w:rPr>
          <w:rFonts w:ascii="Times New Roman" w:hAnsi="Times New Roman"/>
          <w:bCs/>
          <w:iCs/>
          <w:sz w:val="24"/>
          <w:szCs w:val="24"/>
        </w:rPr>
        <w:t>.</w:t>
      </w:r>
      <w:r w:rsidR="00072AED" w:rsidRPr="00B87455">
        <w:rPr>
          <w:rFonts w:ascii="Times New Roman" w:hAnsi="Times New Roman"/>
          <w:bCs/>
          <w:iCs/>
          <w:sz w:val="24"/>
          <w:szCs w:val="24"/>
        </w:rPr>
        <w:br/>
      </w:r>
      <w:r w:rsidR="00072AED" w:rsidRPr="00B87455">
        <w:rPr>
          <w:rFonts w:ascii="Times New Roman" w:hAnsi="Times New Roman"/>
          <w:bCs/>
          <w:iCs/>
          <w:sz w:val="24"/>
          <w:szCs w:val="24"/>
        </w:rPr>
        <w:lastRenderedPageBreak/>
        <w:t xml:space="preserve">U </w:t>
      </w:r>
      <w:r w:rsidR="006D29C4" w:rsidRPr="00B87455">
        <w:rPr>
          <w:rFonts w:ascii="Times New Roman" w:hAnsi="Times New Roman"/>
          <w:bCs/>
          <w:iCs/>
          <w:sz w:val="24"/>
          <w:szCs w:val="24"/>
        </w:rPr>
        <w:t xml:space="preserve">navrhované </w:t>
      </w:r>
      <w:r w:rsidR="00072AED" w:rsidRPr="00B87455">
        <w:rPr>
          <w:rFonts w:ascii="Times New Roman" w:hAnsi="Times New Roman"/>
          <w:bCs/>
          <w:iCs/>
          <w:sz w:val="24"/>
          <w:szCs w:val="24"/>
        </w:rPr>
        <w:t xml:space="preserve">úpravy na doplnění údajů </w:t>
      </w:r>
      <w:r w:rsidR="009E47BD" w:rsidRPr="00B87455">
        <w:rPr>
          <w:rFonts w:ascii="Times New Roman" w:hAnsi="Times New Roman"/>
          <w:bCs/>
          <w:iCs/>
          <w:sz w:val="24"/>
          <w:szCs w:val="24"/>
        </w:rPr>
        <w:t>evidence</w:t>
      </w:r>
      <w:r w:rsidR="00072AED" w:rsidRPr="00B87455">
        <w:rPr>
          <w:rFonts w:ascii="Times New Roman" w:hAnsi="Times New Roman"/>
          <w:bCs/>
          <w:iCs/>
          <w:sz w:val="24"/>
          <w:szCs w:val="24"/>
        </w:rPr>
        <w:t xml:space="preserve"> dobíjecích stanic o</w:t>
      </w:r>
      <w:r w:rsidR="0038289E" w:rsidRPr="00B87455">
        <w:rPr>
          <w:rFonts w:ascii="Times New Roman" w:hAnsi="Times New Roman"/>
          <w:bCs/>
          <w:iCs/>
          <w:sz w:val="24"/>
          <w:szCs w:val="24"/>
        </w:rPr>
        <w:t> </w:t>
      </w:r>
      <w:r w:rsidR="00072AED" w:rsidRPr="00B87455">
        <w:rPr>
          <w:rFonts w:ascii="Times New Roman" w:hAnsi="Times New Roman"/>
          <w:bCs/>
          <w:iCs/>
          <w:sz w:val="24"/>
          <w:szCs w:val="24"/>
        </w:rPr>
        <w:t>další informace se vychází jednak z</w:t>
      </w:r>
      <w:r w:rsidR="0038289E" w:rsidRPr="00B87455">
        <w:rPr>
          <w:rFonts w:ascii="Times New Roman" w:hAnsi="Times New Roman"/>
          <w:bCs/>
          <w:iCs/>
          <w:sz w:val="24"/>
          <w:szCs w:val="24"/>
        </w:rPr>
        <w:t> </w:t>
      </w:r>
      <w:r w:rsidR="00072AED" w:rsidRPr="00B87455">
        <w:rPr>
          <w:rFonts w:ascii="Times New Roman" w:hAnsi="Times New Roman"/>
          <w:bCs/>
          <w:iCs/>
          <w:sz w:val="24"/>
          <w:szCs w:val="24"/>
        </w:rPr>
        <w:t>upřes</w:t>
      </w:r>
      <w:r w:rsidR="006D29C4" w:rsidRPr="00B87455">
        <w:rPr>
          <w:rFonts w:ascii="Times New Roman" w:hAnsi="Times New Roman"/>
          <w:bCs/>
          <w:iCs/>
          <w:sz w:val="24"/>
          <w:szCs w:val="24"/>
        </w:rPr>
        <w:t>ňova</w:t>
      </w:r>
      <w:r w:rsidR="00072AED" w:rsidRPr="00B87455">
        <w:rPr>
          <w:rFonts w:ascii="Times New Roman" w:hAnsi="Times New Roman"/>
          <w:bCs/>
          <w:iCs/>
          <w:sz w:val="24"/>
          <w:szCs w:val="24"/>
        </w:rPr>
        <w:t>ných požadavků Evropské komise na strukturu hlášení o</w:t>
      </w:r>
      <w:r w:rsidR="0038289E" w:rsidRPr="00B87455">
        <w:rPr>
          <w:rFonts w:ascii="Times New Roman" w:hAnsi="Times New Roman"/>
          <w:bCs/>
          <w:iCs/>
          <w:sz w:val="24"/>
          <w:szCs w:val="24"/>
        </w:rPr>
        <w:t> </w:t>
      </w:r>
      <w:r w:rsidR="00072AED" w:rsidRPr="00B87455">
        <w:rPr>
          <w:rFonts w:ascii="Times New Roman" w:hAnsi="Times New Roman"/>
          <w:bCs/>
          <w:iCs/>
          <w:sz w:val="24"/>
          <w:szCs w:val="24"/>
        </w:rPr>
        <w:t xml:space="preserve">budované infrastruktuře pro </w:t>
      </w:r>
      <w:proofErr w:type="spellStart"/>
      <w:r w:rsidR="00072AED" w:rsidRPr="00B87455">
        <w:rPr>
          <w:rFonts w:ascii="Times New Roman" w:hAnsi="Times New Roman"/>
          <w:bCs/>
          <w:iCs/>
          <w:sz w:val="24"/>
          <w:szCs w:val="24"/>
        </w:rPr>
        <w:t>elektromobilitu</w:t>
      </w:r>
      <w:proofErr w:type="spellEnd"/>
      <w:r w:rsidR="00072AED" w:rsidRPr="00B87455">
        <w:rPr>
          <w:rFonts w:ascii="Times New Roman" w:hAnsi="Times New Roman"/>
          <w:bCs/>
          <w:iCs/>
          <w:sz w:val="24"/>
          <w:szCs w:val="24"/>
        </w:rPr>
        <w:t>, tak i</w:t>
      </w:r>
      <w:r w:rsidR="0038289E" w:rsidRPr="00B87455">
        <w:rPr>
          <w:rFonts w:ascii="Times New Roman" w:hAnsi="Times New Roman"/>
          <w:bCs/>
          <w:iCs/>
          <w:sz w:val="24"/>
          <w:szCs w:val="24"/>
        </w:rPr>
        <w:t> </w:t>
      </w:r>
      <w:r w:rsidR="00072AED" w:rsidRPr="00B87455">
        <w:rPr>
          <w:rFonts w:ascii="Times New Roman" w:hAnsi="Times New Roman"/>
          <w:bCs/>
          <w:iCs/>
          <w:sz w:val="24"/>
          <w:szCs w:val="24"/>
        </w:rPr>
        <w:t xml:space="preserve">požadavků </w:t>
      </w:r>
      <w:r w:rsidR="009B5FCE" w:rsidRPr="00B87455">
        <w:rPr>
          <w:rFonts w:ascii="Times New Roman" w:hAnsi="Times New Roman"/>
          <w:bCs/>
          <w:iCs/>
          <w:sz w:val="24"/>
          <w:szCs w:val="24"/>
        </w:rPr>
        <w:t xml:space="preserve">samotné </w:t>
      </w:r>
      <w:r w:rsidR="00072AED" w:rsidRPr="00B87455">
        <w:rPr>
          <w:rFonts w:ascii="Times New Roman" w:hAnsi="Times New Roman"/>
          <w:bCs/>
          <w:iCs/>
          <w:sz w:val="24"/>
          <w:szCs w:val="24"/>
        </w:rPr>
        <w:t>podnikatelské veřejnosti, která má zájem o</w:t>
      </w:r>
      <w:r w:rsidR="0038289E" w:rsidRPr="00B87455">
        <w:rPr>
          <w:rFonts w:ascii="Times New Roman" w:hAnsi="Times New Roman"/>
          <w:bCs/>
          <w:iCs/>
          <w:sz w:val="24"/>
          <w:szCs w:val="24"/>
        </w:rPr>
        <w:t> </w:t>
      </w:r>
      <w:r w:rsidR="00072AED" w:rsidRPr="00B87455">
        <w:rPr>
          <w:rFonts w:ascii="Times New Roman" w:hAnsi="Times New Roman"/>
          <w:bCs/>
          <w:iCs/>
          <w:sz w:val="24"/>
          <w:szCs w:val="24"/>
        </w:rPr>
        <w:t>přehled svého trhu v</w:t>
      </w:r>
      <w:r w:rsidR="0038289E" w:rsidRPr="00B87455">
        <w:rPr>
          <w:rFonts w:ascii="Times New Roman" w:hAnsi="Times New Roman"/>
          <w:bCs/>
          <w:iCs/>
          <w:sz w:val="24"/>
          <w:szCs w:val="24"/>
        </w:rPr>
        <w:t> </w:t>
      </w:r>
      <w:r w:rsidR="00072AED" w:rsidRPr="00B87455">
        <w:rPr>
          <w:rFonts w:ascii="Times New Roman" w:hAnsi="Times New Roman"/>
          <w:bCs/>
          <w:iCs/>
          <w:sz w:val="24"/>
          <w:szCs w:val="24"/>
        </w:rPr>
        <w:t>detailech rozhodujících pro další rozvoj podnikání.</w:t>
      </w:r>
    </w:p>
    <w:p w:rsidR="00197E24" w:rsidRPr="00B87455" w:rsidRDefault="00197E24" w:rsidP="00197E24">
      <w:pPr>
        <w:tabs>
          <w:tab w:val="left" w:pos="6660"/>
        </w:tabs>
        <w:spacing w:line="276" w:lineRule="auto"/>
        <w:rPr>
          <w:rFonts w:ascii="Times New Roman" w:hAnsi="Times New Roman"/>
          <w:b/>
          <w:bCs/>
          <w:iCs/>
          <w:sz w:val="24"/>
          <w:szCs w:val="24"/>
        </w:rPr>
      </w:pPr>
    </w:p>
    <w:p w:rsidR="00197E24" w:rsidRPr="00B87455" w:rsidRDefault="008904F9" w:rsidP="008904F9">
      <w:pPr>
        <w:tabs>
          <w:tab w:val="left" w:pos="6660"/>
        </w:tabs>
        <w:spacing w:line="276" w:lineRule="auto"/>
        <w:rPr>
          <w:rFonts w:ascii="Times New Roman" w:hAnsi="Times New Roman"/>
          <w:b/>
          <w:bCs/>
          <w:iCs/>
          <w:sz w:val="24"/>
          <w:szCs w:val="24"/>
        </w:rPr>
      </w:pPr>
      <w:r w:rsidRPr="00B87455">
        <w:rPr>
          <w:rFonts w:ascii="Times New Roman" w:hAnsi="Times New Roman"/>
          <w:b/>
          <w:bCs/>
          <w:iCs/>
          <w:sz w:val="24"/>
          <w:szCs w:val="24"/>
        </w:rPr>
        <w:t xml:space="preserve">     1.5.  </w:t>
      </w:r>
      <w:r w:rsidR="00197E24" w:rsidRPr="00B87455">
        <w:rPr>
          <w:rFonts w:ascii="Times New Roman" w:hAnsi="Times New Roman"/>
          <w:b/>
          <w:bCs/>
          <w:iCs/>
          <w:sz w:val="24"/>
          <w:szCs w:val="24"/>
        </w:rPr>
        <w:t xml:space="preserve">Popis cílového stavu </w:t>
      </w:r>
    </w:p>
    <w:p w:rsidR="00A0757B" w:rsidRDefault="008904F9" w:rsidP="00F47500">
      <w:pPr>
        <w:ind w:left="360"/>
        <w:jc w:val="both"/>
        <w:rPr>
          <w:rFonts w:ascii="Times New Roman" w:hAnsi="Times New Roman"/>
          <w:sz w:val="24"/>
          <w:szCs w:val="24"/>
        </w:rPr>
      </w:pPr>
      <w:r w:rsidRPr="00B87455">
        <w:rPr>
          <w:rFonts w:ascii="Times New Roman" w:hAnsi="Times New Roman"/>
          <w:sz w:val="24"/>
          <w:szCs w:val="24"/>
        </w:rPr>
        <w:t>Stav, který lze považovat u</w:t>
      </w:r>
      <w:r w:rsidR="0038289E" w:rsidRPr="00B87455">
        <w:rPr>
          <w:rFonts w:ascii="Times New Roman" w:hAnsi="Times New Roman"/>
          <w:sz w:val="24"/>
          <w:szCs w:val="24"/>
        </w:rPr>
        <w:t> </w:t>
      </w:r>
      <w:r w:rsidRPr="00B87455">
        <w:rPr>
          <w:rFonts w:ascii="Times New Roman" w:hAnsi="Times New Roman"/>
          <w:sz w:val="24"/>
          <w:szCs w:val="24"/>
        </w:rPr>
        <w:t>předkládaného záměru za cílový</w:t>
      </w:r>
      <w:r w:rsidR="009E47BD" w:rsidRPr="00B87455">
        <w:rPr>
          <w:rFonts w:ascii="Times New Roman" w:hAnsi="Times New Roman"/>
          <w:sz w:val="24"/>
          <w:szCs w:val="24"/>
        </w:rPr>
        <w:t>,</w:t>
      </w:r>
      <w:r w:rsidRPr="00B87455">
        <w:rPr>
          <w:rFonts w:ascii="Times New Roman" w:hAnsi="Times New Roman"/>
          <w:sz w:val="24"/>
          <w:szCs w:val="24"/>
        </w:rPr>
        <w:t xml:space="preserve"> je zvýšení právní</w:t>
      </w:r>
      <w:r w:rsidR="009B5FCE" w:rsidRPr="00B87455">
        <w:rPr>
          <w:rFonts w:ascii="Times New Roman" w:hAnsi="Times New Roman"/>
          <w:sz w:val="24"/>
          <w:szCs w:val="24"/>
        </w:rPr>
        <w:t xml:space="preserve"> </w:t>
      </w:r>
      <w:r w:rsidR="00AC022E" w:rsidRPr="00B87455">
        <w:rPr>
          <w:rFonts w:ascii="Times New Roman" w:hAnsi="Times New Roman"/>
          <w:sz w:val="24"/>
          <w:szCs w:val="24"/>
        </w:rPr>
        <w:t xml:space="preserve">jistoty </w:t>
      </w:r>
      <w:r w:rsidR="00A00F50" w:rsidRPr="00B87455">
        <w:rPr>
          <w:rFonts w:ascii="Times New Roman" w:hAnsi="Times New Roman"/>
          <w:sz w:val="24"/>
          <w:szCs w:val="24"/>
        </w:rPr>
        <w:t>velkého okruhu podnikatelsk</w:t>
      </w:r>
      <w:r w:rsidR="007A269B" w:rsidRPr="00B87455">
        <w:rPr>
          <w:rFonts w:ascii="Times New Roman" w:hAnsi="Times New Roman"/>
          <w:sz w:val="24"/>
          <w:szCs w:val="24"/>
        </w:rPr>
        <w:t>ých subjektů napříč celým</w:t>
      </w:r>
      <w:r w:rsidR="00EF5A2A" w:rsidRPr="00B87455">
        <w:rPr>
          <w:rFonts w:ascii="Times New Roman" w:hAnsi="Times New Roman"/>
          <w:sz w:val="24"/>
          <w:szCs w:val="24"/>
        </w:rPr>
        <w:t xml:space="preserve"> spektr</w:t>
      </w:r>
      <w:r w:rsidR="007A269B" w:rsidRPr="00B87455">
        <w:rPr>
          <w:rFonts w:ascii="Times New Roman" w:hAnsi="Times New Roman"/>
          <w:sz w:val="24"/>
          <w:szCs w:val="24"/>
        </w:rPr>
        <w:t>em</w:t>
      </w:r>
      <w:r w:rsidR="00EF5A2A" w:rsidRPr="00B87455">
        <w:rPr>
          <w:rFonts w:ascii="Times New Roman" w:hAnsi="Times New Roman"/>
          <w:sz w:val="24"/>
          <w:szCs w:val="24"/>
        </w:rPr>
        <w:t xml:space="preserve"> podnikatelských odvětví</w:t>
      </w:r>
      <w:r w:rsidR="00A00F50" w:rsidRPr="00B87455">
        <w:rPr>
          <w:rFonts w:ascii="Times New Roman" w:hAnsi="Times New Roman"/>
          <w:sz w:val="24"/>
          <w:szCs w:val="24"/>
        </w:rPr>
        <w:t>, kter</w:t>
      </w:r>
      <w:r w:rsidR="00EF5A2A" w:rsidRPr="00B87455">
        <w:rPr>
          <w:rFonts w:ascii="Times New Roman" w:hAnsi="Times New Roman"/>
          <w:sz w:val="24"/>
          <w:szCs w:val="24"/>
        </w:rPr>
        <w:t>ý</w:t>
      </w:r>
      <w:r w:rsidR="00A00F50" w:rsidRPr="00B87455">
        <w:rPr>
          <w:rFonts w:ascii="Times New Roman" w:hAnsi="Times New Roman"/>
          <w:sz w:val="24"/>
          <w:szCs w:val="24"/>
        </w:rPr>
        <w:t xml:space="preserve"> se potenciálně při extenzivním výkladu zákona dostává </w:t>
      </w:r>
      <w:r w:rsidR="00A9010C" w:rsidRPr="00B87455">
        <w:rPr>
          <w:rFonts w:ascii="Times New Roman" w:hAnsi="Times New Roman"/>
          <w:sz w:val="24"/>
          <w:szCs w:val="24"/>
        </w:rPr>
        <w:t xml:space="preserve">do </w:t>
      </w:r>
      <w:r w:rsidR="00A00F50" w:rsidRPr="00B87455">
        <w:rPr>
          <w:rFonts w:ascii="Times New Roman" w:hAnsi="Times New Roman"/>
          <w:sz w:val="24"/>
          <w:szCs w:val="24"/>
        </w:rPr>
        <w:t>rizika, že na n</w:t>
      </w:r>
      <w:r w:rsidR="00EF5A2A" w:rsidRPr="00B87455">
        <w:rPr>
          <w:rFonts w:ascii="Times New Roman" w:hAnsi="Times New Roman"/>
          <w:sz w:val="24"/>
          <w:szCs w:val="24"/>
        </w:rPr>
        <w:t>ěj</w:t>
      </w:r>
      <w:r w:rsidR="00A00F50" w:rsidRPr="00B87455">
        <w:rPr>
          <w:rFonts w:ascii="Times New Roman" w:hAnsi="Times New Roman"/>
          <w:sz w:val="24"/>
          <w:szCs w:val="24"/>
        </w:rPr>
        <w:t xml:space="preserve"> bude pohlíženo jako na konfliktní a</w:t>
      </w:r>
      <w:r w:rsidR="0038289E" w:rsidRPr="00B87455">
        <w:rPr>
          <w:rFonts w:ascii="Times New Roman" w:hAnsi="Times New Roman"/>
          <w:sz w:val="24"/>
          <w:szCs w:val="24"/>
        </w:rPr>
        <w:t> </w:t>
      </w:r>
      <w:r w:rsidR="00A00F50" w:rsidRPr="00B87455">
        <w:rPr>
          <w:rFonts w:ascii="Times New Roman" w:hAnsi="Times New Roman"/>
          <w:sz w:val="24"/>
          <w:szCs w:val="24"/>
        </w:rPr>
        <w:t xml:space="preserve">permanentně </w:t>
      </w:r>
      <w:r w:rsidR="00A9010C" w:rsidRPr="00B87455">
        <w:rPr>
          <w:rFonts w:ascii="Times New Roman" w:hAnsi="Times New Roman"/>
          <w:sz w:val="24"/>
          <w:szCs w:val="24"/>
        </w:rPr>
        <w:t xml:space="preserve">fungující </w:t>
      </w:r>
      <w:r w:rsidR="00A00F50" w:rsidRPr="00B87455">
        <w:rPr>
          <w:rFonts w:ascii="Times New Roman" w:hAnsi="Times New Roman"/>
          <w:sz w:val="24"/>
          <w:szCs w:val="24"/>
        </w:rPr>
        <w:t>v</w:t>
      </w:r>
      <w:r w:rsidR="0038289E" w:rsidRPr="00B87455">
        <w:rPr>
          <w:rFonts w:ascii="Times New Roman" w:hAnsi="Times New Roman"/>
          <w:sz w:val="24"/>
          <w:szCs w:val="24"/>
        </w:rPr>
        <w:t> </w:t>
      </w:r>
      <w:r w:rsidR="00A00F50" w:rsidRPr="00B87455">
        <w:rPr>
          <w:rFonts w:ascii="Times New Roman" w:hAnsi="Times New Roman"/>
          <w:sz w:val="24"/>
          <w:szCs w:val="24"/>
        </w:rPr>
        <w:t>rozporu s</w:t>
      </w:r>
      <w:r w:rsidR="0038289E" w:rsidRPr="00B87455">
        <w:rPr>
          <w:rFonts w:ascii="Times New Roman" w:hAnsi="Times New Roman"/>
          <w:sz w:val="24"/>
          <w:szCs w:val="24"/>
        </w:rPr>
        <w:t> </w:t>
      </w:r>
      <w:r w:rsidR="00A00F50" w:rsidRPr="00B87455">
        <w:rPr>
          <w:rFonts w:ascii="Times New Roman" w:hAnsi="Times New Roman"/>
          <w:sz w:val="24"/>
          <w:szCs w:val="24"/>
        </w:rPr>
        <w:t>právní normou, jakkoli podstata je</w:t>
      </w:r>
      <w:r w:rsidR="00EF5A2A" w:rsidRPr="00B87455">
        <w:rPr>
          <w:rFonts w:ascii="Times New Roman" w:hAnsi="Times New Roman"/>
          <w:sz w:val="24"/>
          <w:szCs w:val="24"/>
        </w:rPr>
        <w:t>ho</w:t>
      </w:r>
      <w:r w:rsidR="00A00F50" w:rsidRPr="00B87455">
        <w:rPr>
          <w:rFonts w:ascii="Times New Roman" w:hAnsi="Times New Roman"/>
          <w:sz w:val="24"/>
          <w:szCs w:val="24"/>
        </w:rPr>
        <w:t xml:space="preserve"> činnosti nenavozuje situace, které poškozují právo a</w:t>
      </w:r>
      <w:r w:rsidR="0038289E" w:rsidRPr="00B87455">
        <w:rPr>
          <w:rFonts w:ascii="Times New Roman" w:hAnsi="Times New Roman"/>
          <w:sz w:val="24"/>
          <w:szCs w:val="24"/>
        </w:rPr>
        <w:t> </w:t>
      </w:r>
      <w:r w:rsidR="00A00F50" w:rsidRPr="00B87455">
        <w:rPr>
          <w:rFonts w:ascii="Times New Roman" w:hAnsi="Times New Roman"/>
          <w:sz w:val="24"/>
          <w:szCs w:val="24"/>
        </w:rPr>
        <w:t>zájmy státu zakotvené</w:t>
      </w:r>
      <w:r w:rsidR="00A9010C" w:rsidRPr="00B87455">
        <w:rPr>
          <w:rFonts w:ascii="Times New Roman" w:hAnsi="Times New Roman"/>
          <w:sz w:val="24"/>
          <w:szCs w:val="24"/>
        </w:rPr>
        <w:t xml:space="preserve"> v</w:t>
      </w:r>
      <w:r w:rsidR="0038289E" w:rsidRPr="00B87455">
        <w:rPr>
          <w:rFonts w:ascii="Times New Roman" w:hAnsi="Times New Roman"/>
          <w:sz w:val="24"/>
          <w:szCs w:val="24"/>
        </w:rPr>
        <w:t> </w:t>
      </w:r>
      <w:r w:rsidR="00A9010C" w:rsidRPr="00B87455">
        <w:rPr>
          <w:rFonts w:ascii="Times New Roman" w:hAnsi="Times New Roman"/>
          <w:sz w:val="24"/>
          <w:szCs w:val="24"/>
        </w:rPr>
        <w:t>zákoně</w:t>
      </w:r>
      <w:r w:rsidR="00AC022E" w:rsidRPr="00B87455">
        <w:rPr>
          <w:rFonts w:ascii="Times New Roman" w:hAnsi="Times New Roman"/>
          <w:sz w:val="24"/>
          <w:szCs w:val="24"/>
        </w:rPr>
        <w:t xml:space="preserve">. </w:t>
      </w:r>
      <w:r w:rsidR="00EF5A2A" w:rsidRPr="00B87455">
        <w:rPr>
          <w:rFonts w:ascii="Times New Roman" w:hAnsi="Times New Roman"/>
          <w:sz w:val="24"/>
          <w:szCs w:val="24"/>
        </w:rPr>
        <w:t xml:space="preserve">Korekce </w:t>
      </w:r>
      <w:r w:rsidR="00A00F50" w:rsidRPr="00B87455">
        <w:rPr>
          <w:rFonts w:ascii="Times New Roman" w:hAnsi="Times New Roman"/>
          <w:sz w:val="24"/>
          <w:szCs w:val="24"/>
        </w:rPr>
        <w:t xml:space="preserve">takového </w:t>
      </w:r>
      <w:r w:rsidR="00EF5A2A" w:rsidRPr="00B87455">
        <w:rPr>
          <w:rFonts w:ascii="Times New Roman" w:hAnsi="Times New Roman"/>
          <w:sz w:val="24"/>
          <w:szCs w:val="24"/>
        </w:rPr>
        <w:t xml:space="preserve">nezaviněného postavení </w:t>
      </w:r>
      <w:r w:rsidR="00A00F50" w:rsidRPr="00B87455">
        <w:rPr>
          <w:rFonts w:ascii="Times New Roman" w:hAnsi="Times New Roman"/>
          <w:sz w:val="24"/>
          <w:szCs w:val="24"/>
        </w:rPr>
        <w:t>je žádoucí.</w:t>
      </w:r>
      <w:r w:rsidR="000E613F" w:rsidRPr="00B87455">
        <w:rPr>
          <w:rFonts w:ascii="Times New Roman" w:hAnsi="Times New Roman"/>
          <w:sz w:val="24"/>
          <w:szCs w:val="24"/>
        </w:rPr>
        <w:t xml:space="preserve"> Současně je naprosto vhodné a</w:t>
      </w:r>
      <w:r w:rsidR="0038289E" w:rsidRPr="00B87455">
        <w:rPr>
          <w:rFonts w:ascii="Times New Roman" w:hAnsi="Times New Roman"/>
          <w:sz w:val="24"/>
          <w:szCs w:val="24"/>
        </w:rPr>
        <w:t> </w:t>
      </w:r>
      <w:r w:rsidR="000E613F" w:rsidRPr="00B87455">
        <w:rPr>
          <w:rFonts w:ascii="Times New Roman" w:hAnsi="Times New Roman"/>
          <w:sz w:val="24"/>
          <w:szCs w:val="24"/>
        </w:rPr>
        <w:t>oprávněné uspořádání rovných podmínek při nakládání s</w:t>
      </w:r>
      <w:r w:rsidR="0038289E" w:rsidRPr="00B87455">
        <w:rPr>
          <w:rFonts w:ascii="Times New Roman" w:hAnsi="Times New Roman"/>
          <w:sz w:val="24"/>
          <w:szCs w:val="24"/>
        </w:rPr>
        <w:t> </w:t>
      </w:r>
      <w:r w:rsidR="000E613F" w:rsidRPr="00B87455">
        <w:rPr>
          <w:rFonts w:ascii="Times New Roman" w:hAnsi="Times New Roman"/>
          <w:sz w:val="24"/>
          <w:szCs w:val="24"/>
        </w:rPr>
        <w:t>pohonnými hmotami mezi podnikatelskými skupinami provozujícími čerpací stanice pohonných hmot pro veřejnost a</w:t>
      </w:r>
      <w:r w:rsidR="0038289E" w:rsidRPr="00B87455">
        <w:rPr>
          <w:rFonts w:ascii="Times New Roman" w:hAnsi="Times New Roman"/>
          <w:sz w:val="24"/>
          <w:szCs w:val="24"/>
        </w:rPr>
        <w:t> </w:t>
      </w:r>
      <w:r w:rsidR="000E613F" w:rsidRPr="00B87455">
        <w:rPr>
          <w:rFonts w:ascii="Times New Roman" w:hAnsi="Times New Roman"/>
          <w:sz w:val="24"/>
          <w:szCs w:val="24"/>
        </w:rPr>
        <w:t xml:space="preserve">skupinou provozující stanice </w:t>
      </w:r>
      <w:r w:rsidR="009B5FCE" w:rsidRPr="00B87455">
        <w:rPr>
          <w:rFonts w:ascii="Times New Roman" w:hAnsi="Times New Roman"/>
          <w:sz w:val="24"/>
          <w:szCs w:val="24"/>
        </w:rPr>
        <w:t xml:space="preserve">pouze </w:t>
      </w:r>
      <w:r w:rsidR="000E613F" w:rsidRPr="00B87455">
        <w:rPr>
          <w:rFonts w:ascii="Times New Roman" w:hAnsi="Times New Roman"/>
          <w:sz w:val="24"/>
          <w:szCs w:val="24"/>
        </w:rPr>
        <w:t>pro vlastní potřebu resp. potřebu spřízněných podnikatelských subjektů. Obě skupiny nakládají s</w:t>
      </w:r>
      <w:r w:rsidR="0038289E" w:rsidRPr="00B87455">
        <w:rPr>
          <w:rFonts w:ascii="Times New Roman" w:hAnsi="Times New Roman"/>
          <w:sz w:val="24"/>
          <w:szCs w:val="24"/>
        </w:rPr>
        <w:t> </w:t>
      </w:r>
      <w:r w:rsidR="000E613F" w:rsidRPr="00B87455">
        <w:rPr>
          <w:rFonts w:ascii="Times New Roman" w:hAnsi="Times New Roman"/>
          <w:sz w:val="24"/>
          <w:szCs w:val="24"/>
        </w:rPr>
        <w:t>věcně těmi samými typy pohonných hmot, mající stejný ekonomický potenciál, plnící stejnou funkci v</w:t>
      </w:r>
      <w:r w:rsidR="0038289E" w:rsidRPr="00B87455">
        <w:rPr>
          <w:rFonts w:ascii="Times New Roman" w:hAnsi="Times New Roman"/>
          <w:sz w:val="24"/>
          <w:szCs w:val="24"/>
        </w:rPr>
        <w:t> </w:t>
      </w:r>
      <w:r w:rsidR="000E613F" w:rsidRPr="00B87455">
        <w:rPr>
          <w:rFonts w:ascii="Times New Roman" w:hAnsi="Times New Roman"/>
          <w:sz w:val="24"/>
          <w:szCs w:val="24"/>
        </w:rPr>
        <w:t>provozu vozidel a</w:t>
      </w:r>
      <w:r w:rsidR="0038289E" w:rsidRPr="00B87455">
        <w:rPr>
          <w:rFonts w:ascii="Times New Roman" w:hAnsi="Times New Roman"/>
          <w:sz w:val="24"/>
          <w:szCs w:val="24"/>
        </w:rPr>
        <w:t> </w:t>
      </w:r>
      <w:r w:rsidR="000708FD" w:rsidRPr="00B87455">
        <w:rPr>
          <w:rFonts w:ascii="Times New Roman" w:hAnsi="Times New Roman"/>
          <w:sz w:val="24"/>
          <w:szCs w:val="24"/>
        </w:rPr>
        <w:t xml:space="preserve">představující </w:t>
      </w:r>
      <w:r w:rsidR="000E613F" w:rsidRPr="00B87455">
        <w:rPr>
          <w:rFonts w:ascii="Times New Roman" w:hAnsi="Times New Roman"/>
          <w:sz w:val="24"/>
          <w:szCs w:val="24"/>
        </w:rPr>
        <w:t>stejn</w:t>
      </w:r>
      <w:r w:rsidR="000708FD" w:rsidRPr="00B87455">
        <w:rPr>
          <w:rFonts w:ascii="Times New Roman" w:hAnsi="Times New Roman"/>
          <w:sz w:val="24"/>
          <w:szCs w:val="24"/>
        </w:rPr>
        <w:t xml:space="preserve">á </w:t>
      </w:r>
      <w:r w:rsidR="000E613F" w:rsidRPr="00B87455">
        <w:rPr>
          <w:rFonts w:ascii="Times New Roman" w:hAnsi="Times New Roman"/>
          <w:sz w:val="24"/>
          <w:szCs w:val="24"/>
        </w:rPr>
        <w:t>rizik</w:t>
      </w:r>
      <w:r w:rsidR="000708FD" w:rsidRPr="00B87455">
        <w:rPr>
          <w:rFonts w:ascii="Times New Roman" w:hAnsi="Times New Roman"/>
          <w:sz w:val="24"/>
          <w:szCs w:val="24"/>
        </w:rPr>
        <w:t>a</w:t>
      </w:r>
      <w:r w:rsidR="000E613F" w:rsidRPr="00B87455">
        <w:rPr>
          <w:rFonts w:ascii="Times New Roman" w:hAnsi="Times New Roman"/>
          <w:sz w:val="24"/>
          <w:szCs w:val="24"/>
        </w:rPr>
        <w:t xml:space="preserve"> pro zdraví, majetek osob a</w:t>
      </w:r>
      <w:r w:rsidR="0038289E" w:rsidRPr="00B87455">
        <w:rPr>
          <w:rFonts w:ascii="Times New Roman" w:hAnsi="Times New Roman"/>
          <w:sz w:val="24"/>
          <w:szCs w:val="24"/>
        </w:rPr>
        <w:t> </w:t>
      </w:r>
      <w:r w:rsidR="000E613F" w:rsidRPr="00B87455">
        <w:rPr>
          <w:rFonts w:ascii="Times New Roman" w:hAnsi="Times New Roman"/>
          <w:sz w:val="24"/>
          <w:szCs w:val="24"/>
        </w:rPr>
        <w:t xml:space="preserve">životní prostředí. Není </w:t>
      </w:r>
      <w:r w:rsidR="008D70F1" w:rsidRPr="00B87455">
        <w:rPr>
          <w:rFonts w:ascii="Times New Roman" w:hAnsi="Times New Roman"/>
          <w:sz w:val="24"/>
          <w:szCs w:val="24"/>
        </w:rPr>
        <w:t>účelné mezi těmito dvěma podnikatelskými skupinami rozlišovat nad rámec rozumných požadavků, daných</w:t>
      </w:r>
      <w:r w:rsidR="00490C79" w:rsidRPr="00B87455">
        <w:rPr>
          <w:rFonts w:ascii="Times New Roman" w:hAnsi="Times New Roman"/>
          <w:sz w:val="24"/>
          <w:szCs w:val="24"/>
        </w:rPr>
        <w:t xml:space="preserve"> zejména </w:t>
      </w:r>
      <w:r w:rsidR="008D70F1" w:rsidRPr="00B87455">
        <w:rPr>
          <w:rFonts w:ascii="Times New Roman" w:hAnsi="Times New Roman"/>
          <w:sz w:val="24"/>
          <w:szCs w:val="24"/>
        </w:rPr>
        <w:t>tím, že jedna skupina slouží obecné veřejnosti a</w:t>
      </w:r>
      <w:r w:rsidR="0038289E" w:rsidRPr="00B87455">
        <w:rPr>
          <w:rFonts w:ascii="Times New Roman" w:hAnsi="Times New Roman"/>
          <w:sz w:val="24"/>
          <w:szCs w:val="24"/>
        </w:rPr>
        <w:t> </w:t>
      </w:r>
      <w:r w:rsidR="008D70F1" w:rsidRPr="00B87455">
        <w:rPr>
          <w:rFonts w:ascii="Times New Roman" w:hAnsi="Times New Roman"/>
          <w:sz w:val="24"/>
          <w:szCs w:val="24"/>
        </w:rPr>
        <w:t>druhá pouze vlastním podnikatelským potřebám. Dostatečné rozlišení tkví v</w:t>
      </w:r>
      <w:r w:rsidR="0038289E" w:rsidRPr="00B87455">
        <w:rPr>
          <w:rFonts w:ascii="Times New Roman" w:hAnsi="Times New Roman"/>
          <w:sz w:val="24"/>
          <w:szCs w:val="24"/>
        </w:rPr>
        <w:t> </w:t>
      </w:r>
      <w:r w:rsidR="008D70F1" w:rsidRPr="00B87455">
        <w:rPr>
          <w:rFonts w:ascii="Times New Roman" w:hAnsi="Times New Roman"/>
          <w:sz w:val="24"/>
          <w:szCs w:val="24"/>
        </w:rPr>
        <w:t>kontrolní činnosti státu, kdy mimo společné zájmy fiskální a</w:t>
      </w:r>
      <w:r w:rsidR="0038289E" w:rsidRPr="00B87455">
        <w:rPr>
          <w:rFonts w:ascii="Times New Roman" w:hAnsi="Times New Roman"/>
          <w:sz w:val="24"/>
          <w:szCs w:val="24"/>
        </w:rPr>
        <w:t> </w:t>
      </w:r>
      <w:r w:rsidR="008D70F1" w:rsidRPr="00B87455">
        <w:rPr>
          <w:rFonts w:ascii="Times New Roman" w:hAnsi="Times New Roman"/>
          <w:sz w:val="24"/>
          <w:szCs w:val="24"/>
        </w:rPr>
        <w:t>daňové u</w:t>
      </w:r>
      <w:r w:rsidR="0038289E" w:rsidRPr="00B87455">
        <w:rPr>
          <w:rFonts w:ascii="Times New Roman" w:hAnsi="Times New Roman"/>
          <w:sz w:val="24"/>
          <w:szCs w:val="24"/>
        </w:rPr>
        <w:t> </w:t>
      </w:r>
      <w:r w:rsidR="008D70F1" w:rsidRPr="00B87455">
        <w:rPr>
          <w:rFonts w:ascii="Times New Roman" w:hAnsi="Times New Roman"/>
          <w:sz w:val="24"/>
          <w:szCs w:val="24"/>
        </w:rPr>
        <w:t>první skupiny ještě zastupuje zájmy spotřebitelů kontrolou kvality prodávaných pohonných hmot.</w:t>
      </w:r>
      <w:r w:rsidR="009B5FCE" w:rsidRPr="00B87455">
        <w:rPr>
          <w:rFonts w:ascii="Times New Roman" w:hAnsi="Times New Roman"/>
          <w:sz w:val="24"/>
          <w:szCs w:val="24"/>
        </w:rPr>
        <w:t xml:space="preserve"> </w:t>
      </w:r>
      <w:r w:rsidR="0065264C" w:rsidRPr="00B87455">
        <w:rPr>
          <w:rFonts w:ascii="Times New Roman" w:hAnsi="Times New Roman"/>
          <w:sz w:val="24"/>
          <w:szCs w:val="24"/>
        </w:rPr>
        <w:t>Ostatní povinnosti obou podnikatelských skupin mají být, s</w:t>
      </w:r>
      <w:r w:rsidR="0038289E" w:rsidRPr="00B87455">
        <w:rPr>
          <w:rFonts w:ascii="Times New Roman" w:hAnsi="Times New Roman"/>
          <w:sz w:val="24"/>
          <w:szCs w:val="24"/>
        </w:rPr>
        <w:t> </w:t>
      </w:r>
      <w:r w:rsidR="0065264C" w:rsidRPr="00B87455">
        <w:rPr>
          <w:rFonts w:ascii="Times New Roman" w:hAnsi="Times New Roman"/>
          <w:sz w:val="24"/>
          <w:szCs w:val="24"/>
        </w:rPr>
        <w:t xml:space="preserve">ohledem na </w:t>
      </w:r>
      <w:r w:rsidR="003D4D64" w:rsidRPr="00B87455">
        <w:rPr>
          <w:rFonts w:ascii="Times New Roman" w:hAnsi="Times New Roman"/>
          <w:sz w:val="24"/>
          <w:szCs w:val="24"/>
        </w:rPr>
        <w:t xml:space="preserve">stejné </w:t>
      </w:r>
      <w:r w:rsidR="0065264C" w:rsidRPr="00B87455">
        <w:rPr>
          <w:rFonts w:ascii="Times New Roman" w:hAnsi="Times New Roman"/>
          <w:sz w:val="24"/>
          <w:szCs w:val="24"/>
        </w:rPr>
        <w:t>obchodované komodity, v</w:t>
      </w:r>
      <w:r w:rsidR="0038289E" w:rsidRPr="00B87455">
        <w:rPr>
          <w:rFonts w:ascii="Times New Roman" w:hAnsi="Times New Roman"/>
          <w:sz w:val="24"/>
          <w:szCs w:val="24"/>
        </w:rPr>
        <w:t> </w:t>
      </w:r>
      <w:r w:rsidR="0065264C" w:rsidRPr="00B87455">
        <w:rPr>
          <w:rFonts w:ascii="Times New Roman" w:hAnsi="Times New Roman"/>
          <w:sz w:val="24"/>
          <w:szCs w:val="24"/>
        </w:rPr>
        <w:t>rozumné míře obdobné.</w:t>
      </w:r>
    </w:p>
    <w:p w:rsidR="008904F9" w:rsidRPr="00B87455" w:rsidRDefault="00867438" w:rsidP="00F47500">
      <w:pPr>
        <w:ind w:left="360"/>
        <w:jc w:val="both"/>
        <w:rPr>
          <w:rFonts w:ascii="Times New Roman" w:hAnsi="Times New Roman"/>
          <w:sz w:val="24"/>
          <w:szCs w:val="24"/>
        </w:rPr>
      </w:pPr>
      <w:r w:rsidRPr="00B87455">
        <w:rPr>
          <w:rFonts w:ascii="Times New Roman" w:hAnsi="Times New Roman"/>
          <w:sz w:val="24"/>
          <w:szCs w:val="24"/>
        </w:rPr>
        <w:t xml:space="preserve">Oblast </w:t>
      </w:r>
      <w:proofErr w:type="spellStart"/>
      <w:r w:rsidRPr="00B87455">
        <w:rPr>
          <w:rFonts w:ascii="Times New Roman" w:hAnsi="Times New Roman"/>
          <w:sz w:val="24"/>
          <w:szCs w:val="24"/>
        </w:rPr>
        <w:t>elektromobility</w:t>
      </w:r>
      <w:proofErr w:type="spellEnd"/>
      <w:r w:rsidRPr="00B87455">
        <w:rPr>
          <w:rFonts w:ascii="Times New Roman" w:hAnsi="Times New Roman"/>
          <w:sz w:val="24"/>
          <w:szCs w:val="24"/>
        </w:rPr>
        <w:t xml:space="preserve"> </w:t>
      </w:r>
      <w:r w:rsidR="0010003B" w:rsidRPr="00B87455">
        <w:rPr>
          <w:rFonts w:ascii="Times New Roman" w:hAnsi="Times New Roman"/>
          <w:sz w:val="24"/>
          <w:szCs w:val="24"/>
        </w:rPr>
        <w:t xml:space="preserve">je nově vznikající podnikatelská činnost, jejíž podstatné rysy jsou předmětem postupného vývoje. </w:t>
      </w:r>
      <w:r w:rsidR="00AC022E" w:rsidRPr="00B87455">
        <w:rPr>
          <w:rFonts w:ascii="Times New Roman" w:hAnsi="Times New Roman"/>
          <w:sz w:val="24"/>
          <w:szCs w:val="24"/>
        </w:rPr>
        <w:t xml:space="preserve">Právní </w:t>
      </w:r>
      <w:r w:rsidR="0010003B" w:rsidRPr="00B87455">
        <w:rPr>
          <w:rFonts w:ascii="Times New Roman" w:hAnsi="Times New Roman"/>
          <w:sz w:val="24"/>
          <w:szCs w:val="24"/>
        </w:rPr>
        <w:t xml:space="preserve">rámec je stanoven </w:t>
      </w:r>
      <w:r w:rsidR="00C95CAD" w:rsidRPr="00B87455">
        <w:rPr>
          <w:rFonts w:ascii="Times New Roman" w:hAnsi="Times New Roman"/>
          <w:sz w:val="24"/>
          <w:szCs w:val="24"/>
        </w:rPr>
        <w:t xml:space="preserve">převážně </w:t>
      </w:r>
      <w:r w:rsidR="0010003B" w:rsidRPr="00B87455">
        <w:rPr>
          <w:rFonts w:ascii="Times New Roman" w:hAnsi="Times New Roman"/>
          <w:sz w:val="24"/>
          <w:szCs w:val="24"/>
        </w:rPr>
        <w:t>evropskou legislativou transponovanou do národních předpisů. Cílové stavy právního prostředí vznikají postupně, jak průběžně dochází k</w:t>
      </w:r>
      <w:r w:rsidR="0038289E" w:rsidRPr="00B87455">
        <w:rPr>
          <w:rFonts w:ascii="Times New Roman" w:hAnsi="Times New Roman"/>
          <w:sz w:val="24"/>
          <w:szCs w:val="24"/>
        </w:rPr>
        <w:t> </w:t>
      </w:r>
      <w:r w:rsidR="0010003B" w:rsidRPr="00B87455">
        <w:rPr>
          <w:rFonts w:ascii="Times New Roman" w:hAnsi="Times New Roman"/>
          <w:sz w:val="24"/>
          <w:szCs w:val="24"/>
        </w:rPr>
        <w:t>rozvoji toho</w:t>
      </w:r>
      <w:r w:rsidR="004871BA" w:rsidRPr="00B87455">
        <w:rPr>
          <w:rFonts w:ascii="Times New Roman" w:hAnsi="Times New Roman"/>
          <w:sz w:val="24"/>
          <w:szCs w:val="24"/>
        </w:rPr>
        <w:t>to</w:t>
      </w:r>
      <w:r w:rsidR="0010003B" w:rsidRPr="00B87455">
        <w:rPr>
          <w:rFonts w:ascii="Times New Roman" w:hAnsi="Times New Roman"/>
          <w:sz w:val="24"/>
          <w:szCs w:val="24"/>
        </w:rPr>
        <w:t xml:space="preserve"> podnikatelského oboru a</w:t>
      </w:r>
      <w:r w:rsidR="0038289E" w:rsidRPr="00B87455">
        <w:rPr>
          <w:rFonts w:ascii="Times New Roman" w:hAnsi="Times New Roman"/>
          <w:sz w:val="24"/>
          <w:szCs w:val="24"/>
        </w:rPr>
        <w:t> </w:t>
      </w:r>
      <w:r w:rsidR="0010003B" w:rsidRPr="00B87455">
        <w:rPr>
          <w:rFonts w:ascii="Times New Roman" w:hAnsi="Times New Roman"/>
          <w:sz w:val="24"/>
          <w:szCs w:val="24"/>
        </w:rPr>
        <w:t>jak vyžadují praktické zkušenosti. Základ právního rámce nakládání s</w:t>
      </w:r>
      <w:r w:rsidR="0038289E" w:rsidRPr="00B87455">
        <w:rPr>
          <w:rFonts w:ascii="Times New Roman" w:hAnsi="Times New Roman"/>
          <w:sz w:val="24"/>
          <w:szCs w:val="24"/>
        </w:rPr>
        <w:t> </w:t>
      </w:r>
      <w:r w:rsidR="009E47BD" w:rsidRPr="00B87455">
        <w:rPr>
          <w:rFonts w:ascii="Times New Roman" w:hAnsi="Times New Roman"/>
          <w:sz w:val="24"/>
          <w:szCs w:val="24"/>
        </w:rPr>
        <w:t xml:space="preserve"> elektrickou</w:t>
      </w:r>
      <w:r w:rsidR="0010003B" w:rsidRPr="00B87455">
        <w:rPr>
          <w:rFonts w:ascii="Times New Roman" w:hAnsi="Times New Roman"/>
          <w:sz w:val="24"/>
          <w:szCs w:val="24"/>
        </w:rPr>
        <w:t xml:space="preserve"> energií je </w:t>
      </w:r>
      <w:r w:rsidR="009E47BD" w:rsidRPr="00B87455">
        <w:rPr>
          <w:rFonts w:ascii="Times New Roman" w:hAnsi="Times New Roman"/>
          <w:sz w:val="24"/>
          <w:szCs w:val="24"/>
        </w:rPr>
        <w:t>za</w:t>
      </w:r>
      <w:r w:rsidR="0010003B" w:rsidRPr="00B87455">
        <w:rPr>
          <w:rFonts w:ascii="Times New Roman" w:hAnsi="Times New Roman"/>
          <w:sz w:val="24"/>
          <w:szCs w:val="24"/>
        </w:rPr>
        <w:t>kotven v</w:t>
      </w:r>
      <w:r w:rsidR="0038289E" w:rsidRPr="00B87455">
        <w:rPr>
          <w:rFonts w:ascii="Times New Roman" w:hAnsi="Times New Roman"/>
          <w:sz w:val="24"/>
          <w:szCs w:val="24"/>
        </w:rPr>
        <w:t> </w:t>
      </w:r>
      <w:r w:rsidR="0061749B" w:rsidRPr="00B87455">
        <w:rPr>
          <w:rFonts w:ascii="Times New Roman" w:hAnsi="Times New Roman"/>
          <w:sz w:val="24"/>
          <w:szCs w:val="24"/>
        </w:rPr>
        <w:t>zákoně č.</w:t>
      </w:r>
      <w:r w:rsidR="00A0757B">
        <w:rPr>
          <w:rFonts w:ascii="Times New Roman" w:hAnsi="Times New Roman"/>
          <w:sz w:val="24"/>
          <w:szCs w:val="24"/>
        </w:rPr>
        <w:t> </w:t>
      </w:r>
      <w:r w:rsidR="0061749B" w:rsidRPr="00B87455">
        <w:rPr>
          <w:rFonts w:ascii="Times New Roman" w:hAnsi="Times New Roman"/>
          <w:sz w:val="24"/>
          <w:szCs w:val="24"/>
        </w:rPr>
        <w:t>458/2000 Sb. (</w:t>
      </w:r>
      <w:r w:rsidR="0010003B" w:rsidRPr="00B87455">
        <w:rPr>
          <w:rFonts w:ascii="Times New Roman" w:hAnsi="Times New Roman"/>
          <w:sz w:val="24"/>
          <w:szCs w:val="24"/>
        </w:rPr>
        <w:t>energetick</w:t>
      </w:r>
      <w:r w:rsidR="0061749B" w:rsidRPr="00B87455">
        <w:rPr>
          <w:rFonts w:ascii="Times New Roman" w:hAnsi="Times New Roman"/>
          <w:sz w:val="24"/>
          <w:szCs w:val="24"/>
        </w:rPr>
        <w:t>ý</w:t>
      </w:r>
      <w:r w:rsidR="0010003B" w:rsidRPr="00B87455">
        <w:rPr>
          <w:rFonts w:ascii="Times New Roman" w:hAnsi="Times New Roman"/>
          <w:sz w:val="24"/>
          <w:szCs w:val="24"/>
        </w:rPr>
        <w:t xml:space="preserve"> zákon</w:t>
      </w:r>
      <w:r w:rsidR="0061749B" w:rsidRPr="00B87455">
        <w:rPr>
          <w:rFonts w:ascii="Times New Roman" w:hAnsi="Times New Roman"/>
          <w:sz w:val="24"/>
          <w:szCs w:val="24"/>
        </w:rPr>
        <w:t>) v</w:t>
      </w:r>
      <w:r w:rsidR="0038289E" w:rsidRPr="00B87455">
        <w:rPr>
          <w:rFonts w:ascii="Times New Roman" w:hAnsi="Times New Roman"/>
          <w:sz w:val="24"/>
          <w:szCs w:val="24"/>
        </w:rPr>
        <w:t> </w:t>
      </w:r>
      <w:r w:rsidR="0061749B" w:rsidRPr="00B87455">
        <w:rPr>
          <w:rFonts w:ascii="Times New Roman" w:hAnsi="Times New Roman"/>
          <w:sz w:val="24"/>
          <w:szCs w:val="24"/>
        </w:rPr>
        <w:t>platném znění.</w:t>
      </w:r>
      <w:r w:rsidR="0010003B" w:rsidRPr="00B87455">
        <w:rPr>
          <w:rFonts w:ascii="Times New Roman" w:hAnsi="Times New Roman"/>
          <w:sz w:val="24"/>
          <w:szCs w:val="24"/>
        </w:rPr>
        <w:t xml:space="preserve"> První právní úprava infrastruktury</w:t>
      </w:r>
      <w:r w:rsidR="009E47BD" w:rsidRPr="00B87455">
        <w:rPr>
          <w:rFonts w:ascii="Times New Roman" w:hAnsi="Times New Roman"/>
          <w:sz w:val="24"/>
          <w:szCs w:val="24"/>
        </w:rPr>
        <w:t xml:space="preserve"> </w:t>
      </w:r>
      <w:proofErr w:type="spellStart"/>
      <w:r w:rsidR="009E47BD" w:rsidRPr="00B87455">
        <w:rPr>
          <w:rFonts w:ascii="Times New Roman" w:hAnsi="Times New Roman"/>
          <w:sz w:val="24"/>
          <w:szCs w:val="24"/>
        </w:rPr>
        <w:t>elektromobility</w:t>
      </w:r>
      <w:proofErr w:type="spellEnd"/>
      <w:r w:rsidR="0010003B" w:rsidRPr="00B87455">
        <w:rPr>
          <w:rFonts w:ascii="Times New Roman" w:hAnsi="Times New Roman"/>
          <w:sz w:val="24"/>
          <w:szCs w:val="24"/>
        </w:rPr>
        <w:t>, tedy dobíjecích stanic, byla zal</w:t>
      </w:r>
      <w:r w:rsidR="00EC7FD8" w:rsidRPr="00B87455">
        <w:rPr>
          <w:rFonts w:ascii="Times New Roman" w:hAnsi="Times New Roman"/>
          <w:sz w:val="24"/>
          <w:szCs w:val="24"/>
        </w:rPr>
        <w:t>ožena transpozicí směrnice Evro</w:t>
      </w:r>
      <w:r w:rsidR="0010003B" w:rsidRPr="00B87455">
        <w:rPr>
          <w:rFonts w:ascii="Times New Roman" w:hAnsi="Times New Roman"/>
          <w:sz w:val="24"/>
          <w:szCs w:val="24"/>
        </w:rPr>
        <w:t>pského parlamentu a</w:t>
      </w:r>
      <w:r w:rsidR="0038289E" w:rsidRPr="00B87455">
        <w:rPr>
          <w:rFonts w:ascii="Times New Roman" w:hAnsi="Times New Roman"/>
          <w:sz w:val="24"/>
          <w:szCs w:val="24"/>
        </w:rPr>
        <w:t> </w:t>
      </w:r>
      <w:r w:rsidR="0010003B" w:rsidRPr="00B87455">
        <w:rPr>
          <w:rFonts w:ascii="Times New Roman" w:hAnsi="Times New Roman"/>
          <w:sz w:val="24"/>
          <w:szCs w:val="24"/>
        </w:rPr>
        <w:t>Rady 2</w:t>
      </w:r>
      <w:r w:rsidR="00EC7FD8" w:rsidRPr="00B87455">
        <w:rPr>
          <w:rFonts w:ascii="Times New Roman" w:hAnsi="Times New Roman"/>
          <w:sz w:val="24"/>
          <w:szCs w:val="24"/>
        </w:rPr>
        <w:t>014/94/EU ze dne 22. října 2014 do zákona o</w:t>
      </w:r>
      <w:r w:rsidR="0038289E" w:rsidRPr="00B87455">
        <w:rPr>
          <w:rFonts w:ascii="Times New Roman" w:hAnsi="Times New Roman"/>
          <w:sz w:val="24"/>
          <w:szCs w:val="24"/>
        </w:rPr>
        <w:t> </w:t>
      </w:r>
      <w:r w:rsidR="00EC7FD8" w:rsidRPr="00B87455">
        <w:rPr>
          <w:rFonts w:ascii="Times New Roman" w:hAnsi="Times New Roman"/>
          <w:sz w:val="24"/>
          <w:szCs w:val="24"/>
        </w:rPr>
        <w:t xml:space="preserve">pohonných hmotách jeho novelou, </w:t>
      </w:r>
      <w:r w:rsidR="009E47BD" w:rsidRPr="00B87455">
        <w:rPr>
          <w:rFonts w:ascii="Times New Roman" w:hAnsi="Times New Roman"/>
          <w:sz w:val="24"/>
          <w:szCs w:val="24"/>
        </w:rPr>
        <w:t>vydanou ve Sbírce zákon</w:t>
      </w:r>
      <w:r w:rsidR="002E3421" w:rsidRPr="00B87455">
        <w:rPr>
          <w:rFonts w:ascii="Times New Roman" w:hAnsi="Times New Roman"/>
          <w:sz w:val="24"/>
          <w:szCs w:val="24"/>
        </w:rPr>
        <w:t>ů</w:t>
      </w:r>
      <w:r w:rsidR="009B5FCE" w:rsidRPr="00B87455">
        <w:rPr>
          <w:rFonts w:ascii="Times New Roman" w:hAnsi="Times New Roman"/>
          <w:sz w:val="24"/>
          <w:szCs w:val="24"/>
        </w:rPr>
        <w:t xml:space="preserve"> </w:t>
      </w:r>
      <w:r w:rsidR="009E47BD" w:rsidRPr="00B87455">
        <w:rPr>
          <w:rFonts w:ascii="Times New Roman" w:hAnsi="Times New Roman"/>
          <w:sz w:val="24"/>
          <w:szCs w:val="24"/>
        </w:rPr>
        <w:t xml:space="preserve">pod </w:t>
      </w:r>
      <w:r w:rsidR="00EC7FD8" w:rsidRPr="00B87455">
        <w:rPr>
          <w:rFonts w:ascii="Times New Roman" w:hAnsi="Times New Roman"/>
          <w:sz w:val="24"/>
          <w:szCs w:val="24"/>
        </w:rPr>
        <w:t xml:space="preserve">č. </w:t>
      </w:r>
      <w:r w:rsidR="00E65FA4" w:rsidRPr="00B87455">
        <w:rPr>
          <w:rFonts w:ascii="Times New Roman" w:hAnsi="Times New Roman"/>
          <w:sz w:val="24"/>
          <w:szCs w:val="24"/>
        </w:rPr>
        <w:t>157/2017 Sb. Zejména s</w:t>
      </w:r>
      <w:r w:rsidR="0038289E" w:rsidRPr="00B87455">
        <w:rPr>
          <w:rFonts w:ascii="Times New Roman" w:hAnsi="Times New Roman"/>
          <w:sz w:val="24"/>
          <w:szCs w:val="24"/>
        </w:rPr>
        <w:t> </w:t>
      </w:r>
      <w:r w:rsidR="00E65FA4" w:rsidRPr="00B87455">
        <w:rPr>
          <w:rFonts w:ascii="Times New Roman" w:hAnsi="Times New Roman"/>
          <w:sz w:val="24"/>
          <w:szCs w:val="24"/>
        </w:rPr>
        <w:t>ohledem na požadavky Evropské komise k</w:t>
      </w:r>
      <w:r w:rsidR="0038289E" w:rsidRPr="00B87455">
        <w:rPr>
          <w:rFonts w:ascii="Times New Roman" w:hAnsi="Times New Roman"/>
          <w:sz w:val="24"/>
          <w:szCs w:val="24"/>
        </w:rPr>
        <w:t> </w:t>
      </w:r>
      <w:r w:rsidR="00E65FA4" w:rsidRPr="00B87455">
        <w:rPr>
          <w:rFonts w:ascii="Times New Roman" w:hAnsi="Times New Roman"/>
          <w:sz w:val="24"/>
          <w:szCs w:val="24"/>
        </w:rPr>
        <w:t xml:space="preserve">formátu dat požadovaných po členských státech je nezbytné upravit strukturu evidence dobíjecích stanic pro </w:t>
      </w:r>
      <w:proofErr w:type="spellStart"/>
      <w:r w:rsidR="00E65FA4" w:rsidRPr="00B87455">
        <w:rPr>
          <w:rFonts w:ascii="Times New Roman" w:hAnsi="Times New Roman"/>
          <w:sz w:val="24"/>
          <w:szCs w:val="24"/>
        </w:rPr>
        <w:t>elektromobilitu</w:t>
      </w:r>
      <w:proofErr w:type="spellEnd"/>
      <w:r w:rsidR="00E65FA4" w:rsidRPr="00B87455">
        <w:rPr>
          <w:rFonts w:ascii="Times New Roman" w:hAnsi="Times New Roman"/>
          <w:sz w:val="24"/>
          <w:szCs w:val="24"/>
        </w:rPr>
        <w:t>, vedenou Ministerstvem průmyslu a</w:t>
      </w:r>
      <w:r w:rsidR="0038289E" w:rsidRPr="00B87455">
        <w:rPr>
          <w:rFonts w:ascii="Times New Roman" w:hAnsi="Times New Roman"/>
          <w:sz w:val="24"/>
          <w:szCs w:val="24"/>
        </w:rPr>
        <w:t> </w:t>
      </w:r>
      <w:r w:rsidR="00E65FA4" w:rsidRPr="00B87455">
        <w:rPr>
          <w:rFonts w:ascii="Times New Roman" w:hAnsi="Times New Roman"/>
          <w:sz w:val="24"/>
          <w:szCs w:val="24"/>
        </w:rPr>
        <w:t xml:space="preserve">obchodu. Navrhované řešení tedy musí reflektovat </w:t>
      </w:r>
      <w:r w:rsidR="00C95CAD" w:rsidRPr="00B87455">
        <w:rPr>
          <w:rFonts w:ascii="Times New Roman" w:hAnsi="Times New Roman"/>
          <w:sz w:val="24"/>
          <w:szCs w:val="24"/>
        </w:rPr>
        <w:t xml:space="preserve">současné </w:t>
      </w:r>
      <w:r w:rsidR="00E65FA4" w:rsidRPr="00B87455">
        <w:rPr>
          <w:rFonts w:ascii="Times New Roman" w:hAnsi="Times New Roman"/>
          <w:sz w:val="24"/>
          <w:szCs w:val="24"/>
        </w:rPr>
        <w:t>požadavky detailů evidence</w:t>
      </w:r>
      <w:r w:rsidR="00E43F73" w:rsidRPr="00B87455">
        <w:rPr>
          <w:rFonts w:ascii="Times New Roman" w:hAnsi="Times New Roman"/>
          <w:sz w:val="24"/>
          <w:szCs w:val="24"/>
        </w:rPr>
        <w:t xml:space="preserve"> pro plnění mezinárodních závazků</w:t>
      </w:r>
      <w:r w:rsidR="00E65FA4" w:rsidRPr="00B87455">
        <w:rPr>
          <w:rFonts w:ascii="Times New Roman" w:hAnsi="Times New Roman"/>
          <w:sz w:val="24"/>
          <w:szCs w:val="24"/>
        </w:rPr>
        <w:t>.</w:t>
      </w:r>
      <w:r w:rsidR="009B5FCE" w:rsidRPr="00B87455">
        <w:rPr>
          <w:rFonts w:ascii="Times New Roman" w:hAnsi="Times New Roman"/>
          <w:sz w:val="24"/>
          <w:szCs w:val="24"/>
        </w:rPr>
        <w:t xml:space="preserve"> </w:t>
      </w:r>
      <w:r w:rsidR="00E43F73" w:rsidRPr="00B87455">
        <w:rPr>
          <w:rFonts w:ascii="Times New Roman" w:hAnsi="Times New Roman"/>
          <w:sz w:val="24"/>
          <w:szCs w:val="24"/>
        </w:rPr>
        <w:t>Dosažení aktuálně definovaného známého cílového stavu</w:t>
      </w:r>
      <w:r w:rsidR="009A21C9" w:rsidRPr="00B87455">
        <w:rPr>
          <w:rFonts w:ascii="Times New Roman" w:hAnsi="Times New Roman"/>
          <w:sz w:val="24"/>
          <w:szCs w:val="24"/>
        </w:rPr>
        <w:t xml:space="preserve"> není možné bez spoluúčasti skupiny </w:t>
      </w:r>
      <w:r w:rsidR="00E43F73" w:rsidRPr="00B87455">
        <w:rPr>
          <w:rFonts w:ascii="Times New Roman" w:hAnsi="Times New Roman"/>
          <w:sz w:val="24"/>
          <w:szCs w:val="24"/>
        </w:rPr>
        <w:t xml:space="preserve">podnikatelských </w:t>
      </w:r>
      <w:r w:rsidR="009A21C9" w:rsidRPr="00B87455">
        <w:rPr>
          <w:rFonts w:ascii="Times New Roman" w:hAnsi="Times New Roman"/>
          <w:sz w:val="24"/>
          <w:szCs w:val="24"/>
        </w:rPr>
        <w:t xml:space="preserve">subjektů, které vlastní či </w:t>
      </w:r>
      <w:r w:rsidR="009A21C9" w:rsidRPr="00B87455">
        <w:rPr>
          <w:rFonts w:ascii="Times New Roman" w:hAnsi="Times New Roman"/>
          <w:sz w:val="24"/>
          <w:szCs w:val="24"/>
        </w:rPr>
        <w:lastRenderedPageBreak/>
        <w:t xml:space="preserve">provozují dobíjecí stanice. Přesné údaje nutné pro evidenci nelze získat jinak, než podaným hlášením </w:t>
      </w:r>
      <w:r w:rsidR="00202DC6" w:rsidRPr="00B87455">
        <w:rPr>
          <w:rFonts w:ascii="Times New Roman" w:hAnsi="Times New Roman"/>
          <w:sz w:val="24"/>
          <w:szCs w:val="24"/>
        </w:rPr>
        <w:t>orgánu státní správy</w:t>
      </w:r>
      <w:r w:rsidR="009A21C9" w:rsidRPr="00B87455">
        <w:rPr>
          <w:rFonts w:ascii="Times New Roman" w:hAnsi="Times New Roman"/>
          <w:sz w:val="24"/>
          <w:szCs w:val="24"/>
        </w:rPr>
        <w:t>.</w:t>
      </w:r>
    </w:p>
    <w:p w:rsidR="00851DFF" w:rsidRPr="00B87455" w:rsidRDefault="00851DFF" w:rsidP="00F47500">
      <w:pPr>
        <w:ind w:left="360"/>
        <w:jc w:val="both"/>
        <w:rPr>
          <w:rFonts w:ascii="Times New Roman" w:hAnsi="Times New Roman"/>
          <w:sz w:val="24"/>
          <w:szCs w:val="24"/>
        </w:rPr>
      </w:pPr>
      <w:r w:rsidRPr="00B87455">
        <w:rPr>
          <w:rFonts w:ascii="Times New Roman" w:hAnsi="Times New Roman"/>
          <w:sz w:val="24"/>
          <w:szCs w:val="24"/>
        </w:rPr>
        <w:t xml:space="preserve">Cílový stav, resp. popis jeho jednotlivých atributů, byl formulován obsáhlými konzultacemi </w:t>
      </w:r>
      <w:r w:rsidR="00914A45" w:rsidRPr="00B87455">
        <w:rPr>
          <w:rFonts w:ascii="Times New Roman" w:hAnsi="Times New Roman"/>
          <w:sz w:val="24"/>
          <w:szCs w:val="24"/>
        </w:rPr>
        <w:t xml:space="preserve">uvnitř </w:t>
      </w:r>
      <w:r w:rsidRPr="00B87455">
        <w:rPr>
          <w:rFonts w:ascii="Times New Roman" w:hAnsi="Times New Roman"/>
          <w:sz w:val="24"/>
          <w:szCs w:val="24"/>
        </w:rPr>
        <w:t xml:space="preserve">státní správy, ale zejména </w:t>
      </w:r>
      <w:r w:rsidR="00914A45" w:rsidRPr="00B87455">
        <w:rPr>
          <w:rFonts w:ascii="Times New Roman" w:hAnsi="Times New Roman"/>
          <w:sz w:val="24"/>
          <w:szCs w:val="24"/>
        </w:rPr>
        <w:t xml:space="preserve">se </w:t>
      </w:r>
      <w:r w:rsidRPr="00B87455">
        <w:rPr>
          <w:rFonts w:ascii="Times New Roman" w:hAnsi="Times New Roman"/>
          <w:sz w:val="24"/>
          <w:szCs w:val="24"/>
        </w:rPr>
        <w:t>zástupci podnikatelské veřejnosti. Nevyužití příležitosti se k</w:t>
      </w:r>
      <w:r w:rsidR="0038289E" w:rsidRPr="00B87455">
        <w:rPr>
          <w:rFonts w:ascii="Times New Roman" w:hAnsi="Times New Roman"/>
          <w:sz w:val="24"/>
          <w:szCs w:val="24"/>
        </w:rPr>
        <w:t> </w:t>
      </w:r>
      <w:r w:rsidRPr="00B87455">
        <w:rPr>
          <w:rFonts w:ascii="Times New Roman" w:hAnsi="Times New Roman"/>
          <w:sz w:val="24"/>
          <w:szCs w:val="24"/>
        </w:rPr>
        <w:t xml:space="preserve">cílovému stavu přiblížit by znamenalo promarněnou příležitost </w:t>
      </w:r>
      <w:r w:rsidR="00914A45" w:rsidRPr="00B87455">
        <w:rPr>
          <w:rFonts w:ascii="Times New Roman" w:hAnsi="Times New Roman"/>
          <w:sz w:val="24"/>
          <w:szCs w:val="24"/>
        </w:rPr>
        <w:t xml:space="preserve">možné </w:t>
      </w:r>
      <w:r w:rsidRPr="00B87455">
        <w:rPr>
          <w:rFonts w:ascii="Times New Roman" w:hAnsi="Times New Roman"/>
          <w:sz w:val="24"/>
          <w:szCs w:val="24"/>
        </w:rPr>
        <w:t>nápravy aktuálních nedostat</w:t>
      </w:r>
      <w:r w:rsidR="00897A22" w:rsidRPr="00B87455">
        <w:rPr>
          <w:rFonts w:ascii="Times New Roman" w:hAnsi="Times New Roman"/>
          <w:sz w:val="24"/>
          <w:szCs w:val="24"/>
        </w:rPr>
        <w:t>ků</w:t>
      </w:r>
      <w:r w:rsidRPr="00B87455">
        <w:rPr>
          <w:rFonts w:ascii="Times New Roman" w:hAnsi="Times New Roman"/>
          <w:sz w:val="24"/>
          <w:szCs w:val="24"/>
        </w:rPr>
        <w:t xml:space="preserve"> podnikatelského prostředí a</w:t>
      </w:r>
      <w:r w:rsidR="0038289E" w:rsidRPr="00B87455">
        <w:rPr>
          <w:rFonts w:ascii="Times New Roman" w:hAnsi="Times New Roman"/>
          <w:sz w:val="24"/>
          <w:szCs w:val="24"/>
        </w:rPr>
        <w:t> </w:t>
      </w:r>
      <w:r w:rsidR="00D2509A" w:rsidRPr="00B87455">
        <w:rPr>
          <w:rFonts w:ascii="Times New Roman" w:hAnsi="Times New Roman"/>
          <w:sz w:val="24"/>
          <w:szCs w:val="24"/>
        </w:rPr>
        <w:t xml:space="preserve">žádoucího </w:t>
      </w:r>
      <w:r w:rsidRPr="00B87455">
        <w:rPr>
          <w:rFonts w:ascii="Times New Roman" w:hAnsi="Times New Roman"/>
          <w:sz w:val="24"/>
          <w:szCs w:val="24"/>
        </w:rPr>
        <w:t>posílení právního rámce podnikání v</w:t>
      </w:r>
      <w:r w:rsidR="0038289E" w:rsidRPr="00B87455">
        <w:rPr>
          <w:rFonts w:ascii="Times New Roman" w:hAnsi="Times New Roman"/>
          <w:sz w:val="24"/>
          <w:szCs w:val="24"/>
        </w:rPr>
        <w:t> </w:t>
      </w:r>
      <w:r w:rsidRPr="00B87455">
        <w:rPr>
          <w:rFonts w:ascii="Times New Roman" w:hAnsi="Times New Roman"/>
          <w:sz w:val="24"/>
          <w:szCs w:val="24"/>
        </w:rPr>
        <w:t>oboru nakládání s</w:t>
      </w:r>
      <w:r w:rsidR="0038289E" w:rsidRPr="00B87455">
        <w:rPr>
          <w:rFonts w:ascii="Times New Roman" w:hAnsi="Times New Roman"/>
          <w:sz w:val="24"/>
          <w:szCs w:val="24"/>
        </w:rPr>
        <w:t> </w:t>
      </w:r>
      <w:r w:rsidRPr="00B87455">
        <w:rPr>
          <w:rFonts w:ascii="Times New Roman" w:hAnsi="Times New Roman"/>
          <w:sz w:val="24"/>
          <w:szCs w:val="24"/>
        </w:rPr>
        <w:t>pohonnými hmotami.</w:t>
      </w:r>
    </w:p>
    <w:p w:rsidR="006A7CC6" w:rsidRPr="00B87455" w:rsidRDefault="006A7CC6" w:rsidP="00A00F50">
      <w:pPr>
        <w:ind w:left="360"/>
        <w:rPr>
          <w:rFonts w:ascii="Times New Roman" w:hAnsi="Times New Roman"/>
          <w:sz w:val="24"/>
          <w:szCs w:val="24"/>
        </w:rPr>
      </w:pPr>
    </w:p>
    <w:p w:rsidR="006A7CC6" w:rsidRPr="00B87455" w:rsidRDefault="006A7CC6" w:rsidP="006348C8">
      <w:pPr>
        <w:ind w:left="360"/>
        <w:rPr>
          <w:rFonts w:ascii="Times New Roman" w:hAnsi="Times New Roman"/>
          <w:b/>
          <w:sz w:val="24"/>
          <w:szCs w:val="24"/>
        </w:rPr>
      </w:pPr>
      <w:r w:rsidRPr="00B87455">
        <w:rPr>
          <w:rFonts w:ascii="Times New Roman" w:hAnsi="Times New Roman"/>
          <w:b/>
          <w:sz w:val="24"/>
          <w:szCs w:val="24"/>
        </w:rPr>
        <w:t>1.6. Zhodnocení rizika</w:t>
      </w:r>
    </w:p>
    <w:p w:rsidR="006A7CC6" w:rsidRPr="00B87455" w:rsidRDefault="006A7CC6" w:rsidP="006348C8">
      <w:pPr>
        <w:ind w:left="360"/>
        <w:jc w:val="both"/>
        <w:rPr>
          <w:rFonts w:ascii="Times New Roman" w:hAnsi="Times New Roman"/>
          <w:sz w:val="24"/>
          <w:szCs w:val="24"/>
        </w:rPr>
      </w:pPr>
      <w:r w:rsidRPr="00B87455">
        <w:rPr>
          <w:rFonts w:ascii="Times New Roman" w:hAnsi="Times New Roman"/>
          <w:sz w:val="24"/>
          <w:szCs w:val="24"/>
        </w:rPr>
        <w:t>Rizika plynoucí z</w:t>
      </w:r>
      <w:r w:rsidR="0038289E" w:rsidRPr="00B87455">
        <w:rPr>
          <w:rFonts w:ascii="Times New Roman" w:hAnsi="Times New Roman"/>
          <w:sz w:val="24"/>
          <w:szCs w:val="24"/>
        </w:rPr>
        <w:t> </w:t>
      </w:r>
      <w:r w:rsidRPr="00B87455">
        <w:rPr>
          <w:rFonts w:ascii="Times New Roman" w:hAnsi="Times New Roman"/>
          <w:sz w:val="24"/>
          <w:szCs w:val="24"/>
        </w:rPr>
        <w:t>neřešení aktuálního sta</w:t>
      </w:r>
      <w:r w:rsidR="00202DC6" w:rsidRPr="00B87455">
        <w:rPr>
          <w:rFonts w:ascii="Times New Roman" w:hAnsi="Times New Roman"/>
          <w:sz w:val="24"/>
          <w:szCs w:val="24"/>
        </w:rPr>
        <w:t>vu lze spatřovat jak v</w:t>
      </w:r>
      <w:r w:rsidR="0038289E" w:rsidRPr="00B87455">
        <w:rPr>
          <w:rFonts w:ascii="Times New Roman" w:hAnsi="Times New Roman"/>
          <w:sz w:val="24"/>
          <w:szCs w:val="24"/>
        </w:rPr>
        <w:t> </w:t>
      </w:r>
      <w:r w:rsidR="00202DC6" w:rsidRPr="00B87455">
        <w:rPr>
          <w:rFonts w:ascii="Times New Roman" w:hAnsi="Times New Roman"/>
          <w:sz w:val="24"/>
          <w:szCs w:val="24"/>
        </w:rPr>
        <w:t xml:space="preserve">právním, </w:t>
      </w:r>
      <w:r w:rsidRPr="00B87455">
        <w:rPr>
          <w:rFonts w:ascii="Times New Roman" w:hAnsi="Times New Roman"/>
          <w:sz w:val="24"/>
          <w:szCs w:val="24"/>
        </w:rPr>
        <w:t>tak věcném ohledu</w:t>
      </w:r>
      <w:r w:rsidR="00F730CB" w:rsidRPr="00B87455">
        <w:rPr>
          <w:rFonts w:ascii="Times New Roman" w:hAnsi="Times New Roman"/>
          <w:sz w:val="24"/>
          <w:szCs w:val="24"/>
        </w:rPr>
        <w:t xml:space="preserve">. </w:t>
      </w:r>
      <w:r w:rsidR="00E35C6F" w:rsidRPr="00B87455">
        <w:rPr>
          <w:rFonts w:ascii="Times New Roman" w:hAnsi="Times New Roman"/>
          <w:sz w:val="24"/>
          <w:szCs w:val="24"/>
        </w:rPr>
        <w:t>Různorodý c</w:t>
      </w:r>
      <w:r w:rsidR="00F730CB" w:rsidRPr="00B87455">
        <w:rPr>
          <w:rFonts w:ascii="Times New Roman" w:hAnsi="Times New Roman"/>
          <w:sz w:val="24"/>
          <w:szCs w:val="24"/>
        </w:rPr>
        <w:t>harakter</w:t>
      </w:r>
      <w:r w:rsidR="00972BE5" w:rsidRPr="00B87455">
        <w:rPr>
          <w:rFonts w:ascii="Times New Roman" w:hAnsi="Times New Roman"/>
          <w:sz w:val="24"/>
          <w:szCs w:val="24"/>
        </w:rPr>
        <w:t>, dopad</w:t>
      </w:r>
      <w:r w:rsidR="00E35C6F" w:rsidRPr="00B87455">
        <w:rPr>
          <w:rFonts w:ascii="Times New Roman" w:hAnsi="Times New Roman"/>
          <w:sz w:val="24"/>
          <w:szCs w:val="24"/>
        </w:rPr>
        <w:t>y</w:t>
      </w:r>
      <w:r w:rsidR="00972BE5" w:rsidRPr="00B87455">
        <w:rPr>
          <w:rFonts w:ascii="Times New Roman" w:hAnsi="Times New Roman"/>
          <w:sz w:val="24"/>
          <w:szCs w:val="24"/>
        </w:rPr>
        <w:t xml:space="preserve"> a</w:t>
      </w:r>
      <w:r w:rsidR="0038289E" w:rsidRPr="00B87455">
        <w:rPr>
          <w:rFonts w:ascii="Times New Roman" w:hAnsi="Times New Roman"/>
          <w:sz w:val="24"/>
          <w:szCs w:val="24"/>
        </w:rPr>
        <w:t> </w:t>
      </w:r>
      <w:r w:rsidR="00972BE5" w:rsidRPr="00B87455">
        <w:rPr>
          <w:rFonts w:ascii="Times New Roman" w:hAnsi="Times New Roman"/>
          <w:sz w:val="24"/>
          <w:szCs w:val="24"/>
        </w:rPr>
        <w:t>záj</w:t>
      </w:r>
      <w:r w:rsidR="00E35C6F" w:rsidRPr="00B87455">
        <w:rPr>
          <w:rFonts w:ascii="Times New Roman" w:hAnsi="Times New Roman"/>
          <w:sz w:val="24"/>
          <w:szCs w:val="24"/>
        </w:rPr>
        <w:t>my</w:t>
      </w:r>
      <w:r w:rsidR="00972BE5" w:rsidRPr="00B87455">
        <w:rPr>
          <w:rFonts w:ascii="Times New Roman" w:hAnsi="Times New Roman"/>
          <w:sz w:val="24"/>
          <w:szCs w:val="24"/>
        </w:rPr>
        <w:t xml:space="preserve"> na řešení</w:t>
      </w:r>
      <w:r w:rsidR="00F730CB" w:rsidRPr="00B87455">
        <w:rPr>
          <w:rFonts w:ascii="Times New Roman" w:hAnsi="Times New Roman"/>
          <w:sz w:val="24"/>
          <w:szCs w:val="24"/>
        </w:rPr>
        <w:t>, v</w:t>
      </w:r>
      <w:r w:rsidR="0038289E" w:rsidRPr="00B87455">
        <w:rPr>
          <w:rFonts w:ascii="Times New Roman" w:hAnsi="Times New Roman"/>
          <w:sz w:val="24"/>
          <w:szCs w:val="24"/>
        </w:rPr>
        <w:t> </w:t>
      </w:r>
      <w:r w:rsidR="00F730CB" w:rsidRPr="00B87455">
        <w:rPr>
          <w:rFonts w:ascii="Times New Roman" w:hAnsi="Times New Roman"/>
          <w:sz w:val="24"/>
          <w:szCs w:val="24"/>
        </w:rPr>
        <w:t>průběhu času praxí nashromážděných problematických oblastí uplatňování zákona o</w:t>
      </w:r>
      <w:r w:rsidR="0038289E" w:rsidRPr="00B87455">
        <w:rPr>
          <w:rFonts w:ascii="Times New Roman" w:hAnsi="Times New Roman"/>
          <w:sz w:val="24"/>
          <w:szCs w:val="24"/>
        </w:rPr>
        <w:t> </w:t>
      </w:r>
      <w:r w:rsidR="00F730CB" w:rsidRPr="00B87455">
        <w:rPr>
          <w:rFonts w:ascii="Times New Roman" w:hAnsi="Times New Roman"/>
          <w:sz w:val="24"/>
          <w:szCs w:val="24"/>
        </w:rPr>
        <w:t>pohonných hmotách, nelze popsat jednoduchým formátem.</w:t>
      </w:r>
      <w:r w:rsidR="00972BE5" w:rsidRPr="00B87455">
        <w:rPr>
          <w:rFonts w:ascii="Times New Roman" w:hAnsi="Times New Roman"/>
          <w:sz w:val="24"/>
          <w:szCs w:val="24"/>
        </w:rPr>
        <w:t xml:space="preserve"> Liší se z</w:t>
      </w:r>
      <w:r w:rsidR="0038289E" w:rsidRPr="00B87455">
        <w:rPr>
          <w:rFonts w:ascii="Times New Roman" w:hAnsi="Times New Roman"/>
          <w:sz w:val="24"/>
          <w:szCs w:val="24"/>
        </w:rPr>
        <w:t> </w:t>
      </w:r>
      <w:r w:rsidR="00972BE5" w:rsidRPr="00B87455">
        <w:rPr>
          <w:rFonts w:ascii="Times New Roman" w:hAnsi="Times New Roman"/>
          <w:sz w:val="24"/>
          <w:szCs w:val="24"/>
        </w:rPr>
        <w:t>pohledu státní správy a</w:t>
      </w:r>
      <w:r w:rsidR="0038289E" w:rsidRPr="00B87455">
        <w:rPr>
          <w:rFonts w:ascii="Times New Roman" w:hAnsi="Times New Roman"/>
          <w:sz w:val="24"/>
          <w:szCs w:val="24"/>
        </w:rPr>
        <w:t> </w:t>
      </w:r>
      <w:r w:rsidR="002C134C" w:rsidRPr="00B87455">
        <w:rPr>
          <w:rFonts w:ascii="Times New Roman" w:hAnsi="Times New Roman"/>
          <w:sz w:val="24"/>
          <w:szCs w:val="24"/>
        </w:rPr>
        <w:t>z</w:t>
      </w:r>
      <w:r w:rsidR="0038289E" w:rsidRPr="00B87455">
        <w:rPr>
          <w:rFonts w:ascii="Times New Roman" w:hAnsi="Times New Roman"/>
          <w:sz w:val="24"/>
          <w:szCs w:val="24"/>
        </w:rPr>
        <w:t> </w:t>
      </w:r>
      <w:r w:rsidR="00972BE5" w:rsidRPr="00B87455">
        <w:rPr>
          <w:rFonts w:ascii="Times New Roman" w:hAnsi="Times New Roman"/>
          <w:sz w:val="24"/>
          <w:szCs w:val="24"/>
        </w:rPr>
        <w:t>pohledu podnikatelské veřejnosti.</w:t>
      </w:r>
      <w:r w:rsidR="004A1D7C" w:rsidRPr="00B87455">
        <w:rPr>
          <w:rFonts w:ascii="Times New Roman" w:hAnsi="Times New Roman"/>
          <w:sz w:val="24"/>
          <w:szCs w:val="24"/>
        </w:rPr>
        <w:t xml:space="preserve"> </w:t>
      </w:r>
      <w:r w:rsidR="009A0010" w:rsidRPr="00B87455">
        <w:rPr>
          <w:rFonts w:ascii="Times New Roman" w:hAnsi="Times New Roman"/>
          <w:sz w:val="24"/>
          <w:szCs w:val="24"/>
        </w:rPr>
        <w:t>K</w:t>
      </w:r>
      <w:r w:rsidR="0038289E" w:rsidRPr="00B87455">
        <w:rPr>
          <w:rFonts w:ascii="Times New Roman" w:hAnsi="Times New Roman"/>
          <w:sz w:val="24"/>
          <w:szCs w:val="24"/>
        </w:rPr>
        <w:t> </w:t>
      </w:r>
      <w:r w:rsidR="009A0010" w:rsidRPr="00B87455">
        <w:rPr>
          <w:rFonts w:ascii="Times New Roman" w:hAnsi="Times New Roman"/>
          <w:sz w:val="24"/>
          <w:szCs w:val="24"/>
        </w:rPr>
        <w:t xml:space="preserve">získání </w:t>
      </w:r>
      <w:r w:rsidR="00972BE5" w:rsidRPr="00B87455">
        <w:rPr>
          <w:rFonts w:ascii="Times New Roman" w:hAnsi="Times New Roman"/>
          <w:sz w:val="24"/>
          <w:szCs w:val="24"/>
        </w:rPr>
        <w:t xml:space="preserve">základního </w:t>
      </w:r>
      <w:r w:rsidR="009A0010" w:rsidRPr="00B87455">
        <w:rPr>
          <w:rFonts w:ascii="Times New Roman" w:hAnsi="Times New Roman"/>
          <w:sz w:val="24"/>
          <w:szCs w:val="24"/>
        </w:rPr>
        <w:t xml:space="preserve">přehledu </w:t>
      </w:r>
      <w:r w:rsidR="00972BE5" w:rsidRPr="00B87455">
        <w:rPr>
          <w:rFonts w:ascii="Times New Roman" w:hAnsi="Times New Roman"/>
          <w:sz w:val="24"/>
          <w:szCs w:val="24"/>
        </w:rPr>
        <w:t>z</w:t>
      </w:r>
      <w:r w:rsidR="0038289E" w:rsidRPr="00B87455">
        <w:rPr>
          <w:rFonts w:ascii="Times New Roman" w:hAnsi="Times New Roman"/>
          <w:sz w:val="24"/>
          <w:szCs w:val="24"/>
        </w:rPr>
        <w:t> </w:t>
      </w:r>
      <w:r w:rsidR="00972BE5" w:rsidRPr="00B87455">
        <w:rPr>
          <w:rFonts w:ascii="Times New Roman" w:hAnsi="Times New Roman"/>
          <w:sz w:val="24"/>
          <w:szCs w:val="24"/>
        </w:rPr>
        <w:t xml:space="preserve">podnikatelského pohledu </w:t>
      </w:r>
      <w:r w:rsidR="009A0010" w:rsidRPr="00B87455">
        <w:rPr>
          <w:rFonts w:ascii="Times New Roman" w:hAnsi="Times New Roman"/>
          <w:sz w:val="24"/>
          <w:szCs w:val="24"/>
        </w:rPr>
        <w:t>slouží tabulka č. 2</w:t>
      </w:r>
      <w:r w:rsidR="00914A45" w:rsidRPr="00B87455">
        <w:rPr>
          <w:rFonts w:ascii="Times New Roman" w:hAnsi="Times New Roman"/>
          <w:sz w:val="24"/>
          <w:szCs w:val="24"/>
        </w:rPr>
        <w:t>. I</w:t>
      </w:r>
      <w:r w:rsidR="004D6934" w:rsidRPr="00B87455">
        <w:rPr>
          <w:rFonts w:ascii="Times New Roman" w:hAnsi="Times New Roman"/>
          <w:sz w:val="24"/>
          <w:szCs w:val="24"/>
        </w:rPr>
        <w:t xml:space="preserve">ntegrální </w:t>
      </w:r>
      <w:r w:rsidR="00C606BE" w:rsidRPr="00B87455">
        <w:rPr>
          <w:rFonts w:ascii="Times New Roman" w:hAnsi="Times New Roman"/>
          <w:sz w:val="24"/>
          <w:szCs w:val="24"/>
        </w:rPr>
        <w:t>součástí právního rizika je vždy i</w:t>
      </w:r>
      <w:r w:rsidR="0038289E" w:rsidRPr="00B87455">
        <w:rPr>
          <w:rFonts w:ascii="Times New Roman" w:hAnsi="Times New Roman"/>
          <w:sz w:val="24"/>
          <w:szCs w:val="24"/>
        </w:rPr>
        <w:t> </w:t>
      </w:r>
      <w:r w:rsidR="00C606BE" w:rsidRPr="00B87455">
        <w:rPr>
          <w:rFonts w:ascii="Times New Roman" w:hAnsi="Times New Roman"/>
          <w:sz w:val="24"/>
          <w:szCs w:val="24"/>
        </w:rPr>
        <w:t>riziko věcné, což nezbytně ne</w:t>
      </w:r>
      <w:r w:rsidR="004D6934" w:rsidRPr="00B87455">
        <w:rPr>
          <w:rFonts w:ascii="Times New Roman" w:hAnsi="Times New Roman"/>
          <w:sz w:val="24"/>
          <w:szCs w:val="24"/>
        </w:rPr>
        <w:t>musí platit</w:t>
      </w:r>
      <w:r w:rsidR="00C606BE" w:rsidRPr="00B87455">
        <w:rPr>
          <w:rFonts w:ascii="Times New Roman" w:hAnsi="Times New Roman"/>
          <w:sz w:val="24"/>
          <w:szCs w:val="24"/>
        </w:rPr>
        <w:t xml:space="preserve"> naopak.</w:t>
      </w:r>
      <w:r w:rsidR="00972BE5" w:rsidRPr="00B87455">
        <w:rPr>
          <w:rFonts w:ascii="Times New Roman" w:hAnsi="Times New Roman"/>
          <w:sz w:val="24"/>
          <w:szCs w:val="24"/>
        </w:rPr>
        <w:t xml:space="preserve"> Přesto je logické, že existence věcného rizika a</w:t>
      </w:r>
      <w:r w:rsidR="0038289E" w:rsidRPr="00B87455">
        <w:rPr>
          <w:rFonts w:ascii="Times New Roman" w:hAnsi="Times New Roman"/>
          <w:sz w:val="24"/>
          <w:szCs w:val="24"/>
        </w:rPr>
        <w:t> </w:t>
      </w:r>
      <w:r w:rsidR="00972BE5" w:rsidRPr="00B87455">
        <w:rPr>
          <w:rFonts w:ascii="Times New Roman" w:hAnsi="Times New Roman"/>
          <w:sz w:val="24"/>
          <w:szCs w:val="24"/>
        </w:rPr>
        <w:t>jeho neřešení má dopad do právní odpovědnosti povinných subjektů.</w:t>
      </w:r>
    </w:p>
    <w:p w:rsidR="009A0010" w:rsidRPr="00B87455" w:rsidRDefault="00C606BE" w:rsidP="006348C8">
      <w:pPr>
        <w:ind w:firstLine="360"/>
        <w:rPr>
          <w:rFonts w:ascii="Times New Roman" w:hAnsi="Times New Roman"/>
          <w:i/>
          <w:sz w:val="24"/>
          <w:szCs w:val="24"/>
        </w:rPr>
      </w:pPr>
      <w:r w:rsidRPr="00B87455">
        <w:rPr>
          <w:rFonts w:ascii="Times New Roman" w:hAnsi="Times New Roman"/>
          <w:i/>
          <w:sz w:val="24"/>
          <w:szCs w:val="24"/>
        </w:rPr>
        <w:t>Tabulka č.</w:t>
      </w:r>
      <w:r w:rsidR="00F85E66">
        <w:rPr>
          <w:rFonts w:ascii="Times New Roman" w:hAnsi="Times New Roman"/>
          <w:i/>
          <w:sz w:val="24"/>
          <w:szCs w:val="24"/>
        </w:rPr>
        <w:t xml:space="preserve"> </w:t>
      </w:r>
      <w:r w:rsidRPr="00B87455">
        <w:rPr>
          <w:rFonts w:ascii="Times New Roman" w:hAnsi="Times New Roman"/>
          <w:i/>
          <w:sz w:val="24"/>
          <w:szCs w:val="24"/>
        </w:rPr>
        <w:t>2</w:t>
      </w:r>
    </w:p>
    <w:tbl>
      <w:tblPr>
        <w:tblStyle w:val="Mkatabulky"/>
        <w:tblW w:w="0" w:type="auto"/>
        <w:tblInd w:w="360" w:type="dxa"/>
        <w:tblLook w:val="04A0" w:firstRow="1" w:lastRow="0" w:firstColumn="1" w:lastColumn="0" w:noHBand="0" w:noVBand="1"/>
      </w:tblPr>
      <w:tblGrid>
        <w:gridCol w:w="4386"/>
        <w:gridCol w:w="4316"/>
      </w:tblGrid>
      <w:tr w:rsidR="00C606BE" w:rsidRPr="00B87455" w:rsidTr="005E52CF">
        <w:tc>
          <w:tcPr>
            <w:tcW w:w="4531" w:type="dxa"/>
          </w:tcPr>
          <w:p w:rsidR="00C606BE" w:rsidRPr="00B87455" w:rsidRDefault="00C606BE"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Oblast rizika z</w:t>
            </w:r>
            <w:r w:rsidR="0038289E" w:rsidRPr="00B87455">
              <w:rPr>
                <w:rFonts w:ascii="Times New Roman" w:hAnsi="Times New Roman"/>
                <w:bCs/>
                <w:iCs/>
                <w:sz w:val="24"/>
                <w:szCs w:val="24"/>
              </w:rPr>
              <w:t> </w:t>
            </w:r>
            <w:r w:rsidRPr="00B87455">
              <w:rPr>
                <w:rFonts w:ascii="Times New Roman" w:hAnsi="Times New Roman"/>
                <w:bCs/>
                <w:iCs/>
                <w:sz w:val="24"/>
                <w:szCs w:val="24"/>
              </w:rPr>
              <w:t>existujícího stavu</w:t>
            </w:r>
          </w:p>
        </w:tc>
        <w:tc>
          <w:tcPr>
            <w:tcW w:w="4531" w:type="dxa"/>
          </w:tcPr>
          <w:p w:rsidR="00C606BE" w:rsidRPr="00B87455" w:rsidRDefault="00C606BE" w:rsidP="00C606B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Převažující typ rizika</w:t>
            </w:r>
            <w:r w:rsidR="00FD1C00" w:rsidRPr="00B87455">
              <w:rPr>
                <w:rFonts w:ascii="Times New Roman" w:hAnsi="Times New Roman"/>
                <w:bCs/>
                <w:iCs/>
                <w:sz w:val="24"/>
                <w:szCs w:val="24"/>
              </w:rPr>
              <w:t xml:space="preserve"> privátního sektoru</w:t>
            </w:r>
          </w:p>
        </w:tc>
      </w:tr>
      <w:tr w:rsidR="00C606BE" w:rsidRPr="00B87455" w:rsidTr="005E52CF">
        <w:tc>
          <w:tcPr>
            <w:tcW w:w="4531" w:type="dxa"/>
          </w:tcPr>
          <w:p w:rsidR="00C606BE" w:rsidRPr="00B87455" w:rsidRDefault="00610007" w:rsidP="005E52CF">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Nedostatečná</w:t>
            </w:r>
            <w:r w:rsidR="00C606BE" w:rsidRPr="00B87455">
              <w:rPr>
                <w:rFonts w:ascii="Times New Roman" w:hAnsi="Times New Roman"/>
                <w:bCs/>
                <w:iCs/>
                <w:sz w:val="24"/>
                <w:szCs w:val="24"/>
              </w:rPr>
              <w:t> definice distributora pohonných hmot - zaměstnavatelé</w:t>
            </w:r>
          </w:p>
        </w:tc>
        <w:tc>
          <w:tcPr>
            <w:tcW w:w="4531" w:type="dxa"/>
          </w:tcPr>
          <w:p w:rsidR="00C606BE" w:rsidRPr="00B87455" w:rsidRDefault="00C606BE" w:rsidP="00C606B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 xml:space="preserve">Právní </w:t>
            </w:r>
          </w:p>
        </w:tc>
      </w:tr>
      <w:tr w:rsidR="00C606BE" w:rsidRPr="00B87455" w:rsidTr="005E52CF">
        <w:tc>
          <w:tcPr>
            <w:tcW w:w="4531" w:type="dxa"/>
          </w:tcPr>
          <w:p w:rsidR="00C606BE" w:rsidRPr="00B87455" w:rsidRDefault="00610007" w:rsidP="005E52CF">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Nedostatečná</w:t>
            </w:r>
            <w:r w:rsidR="00C606BE" w:rsidRPr="00B87455">
              <w:rPr>
                <w:rFonts w:ascii="Times New Roman" w:hAnsi="Times New Roman"/>
                <w:bCs/>
                <w:iCs/>
                <w:sz w:val="24"/>
                <w:szCs w:val="24"/>
              </w:rPr>
              <w:t> definice distributora pohonných hmot - pronajímatelé</w:t>
            </w:r>
          </w:p>
        </w:tc>
        <w:tc>
          <w:tcPr>
            <w:tcW w:w="4531" w:type="dxa"/>
          </w:tcPr>
          <w:p w:rsidR="00C606BE" w:rsidRPr="00B87455" w:rsidRDefault="00C606BE" w:rsidP="00C606B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Právní</w:t>
            </w:r>
          </w:p>
        </w:tc>
      </w:tr>
      <w:tr w:rsidR="00C606BE" w:rsidRPr="00B87455" w:rsidTr="005E52CF">
        <w:tc>
          <w:tcPr>
            <w:tcW w:w="4531" w:type="dxa"/>
          </w:tcPr>
          <w:p w:rsidR="00C606BE" w:rsidRPr="00B87455" w:rsidRDefault="00610007"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 xml:space="preserve">Nedostatečná </w:t>
            </w:r>
            <w:r w:rsidR="00C606BE" w:rsidRPr="00B87455">
              <w:rPr>
                <w:rFonts w:ascii="Times New Roman" w:hAnsi="Times New Roman"/>
                <w:bCs/>
                <w:iCs/>
                <w:sz w:val="24"/>
                <w:szCs w:val="24"/>
              </w:rPr>
              <w:t>definice distributora pohonných hmot – vydavatelé a</w:t>
            </w:r>
            <w:r w:rsidR="0038289E" w:rsidRPr="00B87455">
              <w:rPr>
                <w:rFonts w:ascii="Times New Roman" w:hAnsi="Times New Roman"/>
                <w:bCs/>
                <w:iCs/>
                <w:sz w:val="24"/>
                <w:szCs w:val="24"/>
              </w:rPr>
              <w:t> </w:t>
            </w:r>
            <w:r w:rsidR="00C606BE" w:rsidRPr="00B87455">
              <w:rPr>
                <w:rFonts w:ascii="Times New Roman" w:hAnsi="Times New Roman"/>
                <w:bCs/>
                <w:iCs/>
                <w:sz w:val="24"/>
                <w:szCs w:val="24"/>
              </w:rPr>
              <w:t>zprostředkovatelů palivových karet</w:t>
            </w:r>
          </w:p>
        </w:tc>
        <w:tc>
          <w:tcPr>
            <w:tcW w:w="4531" w:type="dxa"/>
          </w:tcPr>
          <w:p w:rsidR="00C606BE" w:rsidRPr="00B87455" w:rsidRDefault="00C606BE" w:rsidP="005E52CF">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Právní</w:t>
            </w:r>
          </w:p>
        </w:tc>
      </w:tr>
      <w:tr w:rsidR="00C606BE" w:rsidRPr="00B87455" w:rsidTr="005E52CF">
        <w:tc>
          <w:tcPr>
            <w:tcW w:w="4531" w:type="dxa"/>
          </w:tcPr>
          <w:p w:rsidR="00C606BE" w:rsidRPr="00B87455" w:rsidRDefault="00610007" w:rsidP="005E52CF">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 xml:space="preserve">Nedostatečná </w:t>
            </w:r>
            <w:r w:rsidR="00C606BE" w:rsidRPr="00B87455">
              <w:rPr>
                <w:rFonts w:ascii="Times New Roman" w:hAnsi="Times New Roman"/>
                <w:bCs/>
                <w:iCs/>
                <w:sz w:val="24"/>
                <w:szCs w:val="24"/>
              </w:rPr>
              <w:t>definice distributora pohonných hmot – insolvenční správce</w:t>
            </w:r>
          </w:p>
        </w:tc>
        <w:tc>
          <w:tcPr>
            <w:tcW w:w="4531" w:type="dxa"/>
          </w:tcPr>
          <w:p w:rsidR="00C606BE" w:rsidRPr="00B87455" w:rsidRDefault="00C606BE" w:rsidP="005E52CF">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Právní</w:t>
            </w:r>
          </w:p>
        </w:tc>
      </w:tr>
      <w:tr w:rsidR="00C606BE" w:rsidRPr="00B87455" w:rsidTr="005E52CF">
        <w:tc>
          <w:tcPr>
            <w:tcW w:w="4531" w:type="dxa"/>
          </w:tcPr>
          <w:p w:rsidR="00C606BE" w:rsidRPr="00B87455" w:rsidRDefault="00610007" w:rsidP="00610007">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Nedokonalá e</w:t>
            </w:r>
            <w:r w:rsidR="00C606BE" w:rsidRPr="00B87455">
              <w:rPr>
                <w:rFonts w:ascii="Times New Roman" w:hAnsi="Times New Roman"/>
                <w:bCs/>
                <w:iCs/>
                <w:sz w:val="24"/>
                <w:szCs w:val="24"/>
              </w:rPr>
              <w:t>vidence výdejní jednotky pohonných hmot</w:t>
            </w:r>
          </w:p>
        </w:tc>
        <w:tc>
          <w:tcPr>
            <w:tcW w:w="4531" w:type="dxa"/>
          </w:tcPr>
          <w:p w:rsidR="00C606BE" w:rsidRPr="00B87455" w:rsidRDefault="004D6934" w:rsidP="005E52CF">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Věcné</w:t>
            </w:r>
          </w:p>
        </w:tc>
      </w:tr>
      <w:tr w:rsidR="00C606BE" w:rsidRPr="00B87455" w:rsidTr="005E52CF">
        <w:tc>
          <w:tcPr>
            <w:tcW w:w="4531" w:type="dxa"/>
          </w:tcPr>
          <w:p w:rsidR="00C606BE" w:rsidRPr="00B87455" w:rsidRDefault="00610007" w:rsidP="00610007">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Nedokonalá e</w:t>
            </w:r>
            <w:r w:rsidR="00C606BE" w:rsidRPr="00B87455">
              <w:rPr>
                <w:rFonts w:ascii="Times New Roman" w:hAnsi="Times New Roman"/>
                <w:bCs/>
                <w:iCs/>
                <w:sz w:val="24"/>
                <w:szCs w:val="24"/>
              </w:rPr>
              <w:t>vidence pohonných hmot vydaných výdejní jednotkou</w:t>
            </w:r>
          </w:p>
        </w:tc>
        <w:tc>
          <w:tcPr>
            <w:tcW w:w="4531" w:type="dxa"/>
          </w:tcPr>
          <w:p w:rsidR="00C606BE" w:rsidRPr="00B87455" w:rsidRDefault="004D6934" w:rsidP="005E52CF">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Věcné</w:t>
            </w:r>
          </w:p>
        </w:tc>
      </w:tr>
      <w:tr w:rsidR="00C606BE" w:rsidRPr="00B87455" w:rsidTr="005E52CF">
        <w:tc>
          <w:tcPr>
            <w:tcW w:w="4531" w:type="dxa"/>
          </w:tcPr>
          <w:p w:rsidR="00C606BE" w:rsidRPr="00B87455" w:rsidRDefault="009E47BD" w:rsidP="0038289E">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 xml:space="preserve">Nedostatečná </w:t>
            </w:r>
            <w:r w:rsidR="00610007" w:rsidRPr="00B87455">
              <w:rPr>
                <w:rFonts w:ascii="Times New Roman" w:hAnsi="Times New Roman"/>
                <w:bCs/>
                <w:iCs/>
                <w:sz w:val="24"/>
                <w:szCs w:val="24"/>
              </w:rPr>
              <w:t>s</w:t>
            </w:r>
            <w:r w:rsidR="00C606BE" w:rsidRPr="00B87455">
              <w:rPr>
                <w:rFonts w:ascii="Times New Roman" w:hAnsi="Times New Roman"/>
                <w:bCs/>
                <w:iCs/>
                <w:sz w:val="24"/>
                <w:szCs w:val="24"/>
              </w:rPr>
              <w:t>truktur</w:t>
            </w:r>
            <w:r w:rsidR="00610007" w:rsidRPr="00B87455">
              <w:rPr>
                <w:rFonts w:ascii="Times New Roman" w:hAnsi="Times New Roman"/>
                <w:bCs/>
                <w:iCs/>
                <w:sz w:val="24"/>
                <w:szCs w:val="24"/>
              </w:rPr>
              <w:t>a</w:t>
            </w:r>
            <w:r w:rsidR="00C606BE" w:rsidRPr="00B87455">
              <w:rPr>
                <w:rFonts w:ascii="Times New Roman" w:hAnsi="Times New Roman"/>
                <w:bCs/>
                <w:iCs/>
                <w:sz w:val="24"/>
                <w:szCs w:val="24"/>
              </w:rPr>
              <w:t xml:space="preserve"> dat dobíjecích stanic pro elektrická vozidla </w:t>
            </w:r>
            <w:r w:rsidR="00610007" w:rsidRPr="00B87455">
              <w:rPr>
                <w:rFonts w:ascii="Times New Roman" w:hAnsi="Times New Roman"/>
                <w:bCs/>
                <w:iCs/>
                <w:sz w:val="24"/>
                <w:szCs w:val="24"/>
              </w:rPr>
              <w:t>v</w:t>
            </w:r>
            <w:r w:rsidR="0038289E" w:rsidRPr="00B87455">
              <w:rPr>
                <w:rFonts w:ascii="Times New Roman" w:hAnsi="Times New Roman"/>
                <w:bCs/>
                <w:iCs/>
                <w:sz w:val="24"/>
                <w:szCs w:val="24"/>
              </w:rPr>
              <w:t> </w:t>
            </w:r>
            <w:r w:rsidR="00C606BE" w:rsidRPr="00B87455">
              <w:rPr>
                <w:rFonts w:ascii="Times New Roman" w:hAnsi="Times New Roman"/>
                <w:bCs/>
                <w:iCs/>
                <w:sz w:val="24"/>
                <w:szCs w:val="24"/>
              </w:rPr>
              <w:t>evidenci státní správou pro výkaznictví</w:t>
            </w:r>
          </w:p>
        </w:tc>
        <w:tc>
          <w:tcPr>
            <w:tcW w:w="4531" w:type="dxa"/>
          </w:tcPr>
          <w:p w:rsidR="00C606BE" w:rsidRPr="00B87455" w:rsidRDefault="004D6934" w:rsidP="005E52CF">
            <w:pPr>
              <w:tabs>
                <w:tab w:val="left" w:pos="6660"/>
              </w:tabs>
              <w:spacing w:line="276" w:lineRule="auto"/>
              <w:rPr>
                <w:rFonts w:ascii="Times New Roman" w:hAnsi="Times New Roman"/>
                <w:bCs/>
                <w:iCs/>
                <w:sz w:val="24"/>
                <w:szCs w:val="24"/>
              </w:rPr>
            </w:pPr>
            <w:r w:rsidRPr="00B87455">
              <w:rPr>
                <w:rFonts w:ascii="Times New Roman" w:hAnsi="Times New Roman"/>
                <w:bCs/>
                <w:iCs/>
                <w:sz w:val="24"/>
                <w:szCs w:val="24"/>
              </w:rPr>
              <w:t>Věcné</w:t>
            </w:r>
          </w:p>
        </w:tc>
      </w:tr>
    </w:tbl>
    <w:p w:rsidR="006A7CC6" w:rsidRPr="00B87455" w:rsidRDefault="006A7CC6" w:rsidP="006A7CC6">
      <w:pPr>
        <w:ind w:left="720"/>
        <w:rPr>
          <w:rFonts w:ascii="Times New Roman" w:hAnsi="Times New Roman"/>
          <w:sz w:val="24"/>
          <w:szCs w:val="24"/>
        </w:rPr>
      </w:pPr>
    </w:p>
    <w:p w:rsidR="00A0757B" w:rsidRDefault="005E52CF" w:rsidP="00A0757B">
      <w:pPr>
        <w:spacing w:after="0"/>
        <w:ind w:left="357"/>
        <w:jc w:val="both"/>
        <w:rPr>
          <w:rFonts w:ascii="Times New Roman" w:hAnsi="Times New Roman"/>
          <w:sz w:val="24"/>
          <w:szCs w:val="24"/>
        </w:rPr>
      </w:pPr>
      <w:r w:rsidRPr="00B87455">
        <w:rPr>
          <w:rFonts w:ascii="Times New Roman" w:hAnsi="Times New Roman"/>
          <w:sz w:val="24"/>
          <w:szCs w:val="24"/>
        </w:rPr>
        <w:t>Neřešení problematiky výjimek z</w:t>
      </w:r>
      <w:r w:rsidR="0038289E" w:rsidRPr="00B87455">
        <w:rPr>
          <w:rFonts w:ascii="Times New Roman" w:hAnsi="Times New Roman"/>
          <w:sz w:val="24"/>
          <w:szCs w:val="24"/>
        </w:rPr>
        <w:t> </w:t>
      </w:r>
      <w:r w:rsidRPr="00B87455">
        <w:rPr>
          <w:rFonts w:ascii="Times New Roman" w:hAnsi="Times New Roman"/>
          <w:sz w:val="24"/>
          <w:szCs w:val="24"/>
        </w:rPr>
        <w:t xml:space="preserve">definice distributora znamená </w:t>
      </w:r>
      <w:r w:rsidR="001E2B73" w:rsidRPr="00B87455">
        <w:rPr>
          <w:rFonts w:ascii="Times New Roman" w:hAnsi="Times New Roman"/>
          <w:sz w:val="24"/>
          <w:szCs w:val="24"/>
        </w:rPr>
        <w:t xml:space="preserve">pro zamýšlené skupiny podnikatelské veřejnosti </w:t>
      </w:r>
      <w:r w:rsidR="0061749B" w:rsidRPr="00B87455">
        <w:rPr>
          <w:rFonts w:ascii="Times New Roman" w:hAnsi="Times New Roman"/>
          <w:sz w:val="24"/>
          <w:szCs w:val="24"/>
        </w:rPr>
        <w:t xml:space="preserve">jejich </w:t>
      </w:r>
      <w:r w:rsidRPr="00B87455">
        <w:rPr>
          <w:rFonts w:ascii="Times New Roman" w:hAnsi="Times New Roman"/>
          <w:sz w:val="24"/>
          <w:szCs w:val="24"/>
        </w:rPr>
        <w:t>právní nejistotu a</w:t>
      </w:r>
      <w:r w:rsidR="0038289E" w:rsidRPr="00B87455">
        <w:rPr>
          <w:rFonts w:ascii="Times New Roman" w:hAnsi="Times New Roman"/>
          <w:sz w:val="24"/>
          <w:szCs w:val="24"/>
        </w:rPr>
        <w:t> </w:t>
      </w:r>
      <w:r w:rsidRPr="00B87455">
        <w:rPr>
          <w:rFonts w:ascii="Times New Roman" w:hAnsi="Times New Roman"/>
          <w:sz w:val="24"/>
          <w:szCs w:val="24"/>
        </w:rPr>
        <w:t>v</w:t>
      </w:r>
      <w:r w:rsidR="0038289E" w:rsidRPr="00B87455">
        <w:rPr>
          <w:rFonts w:ascii="Times New Roman" w:hAnsi="Times New Roman"/>
          <w:sz w:val="24"/>
          <w:szCs w:val="24"/>
        </w:rPr>
        <w:t> </w:t>
      </w:r>
      <w:r w:rsidRPr="00B87455">
        <w:rPr>
          <w:rFonts w:ascii="Times New Roman" w:hAnsi="Times New Roman"/>
          <w:sz w:val="24"/>
          <w:szCs w:val="24"/>
        </w:rPr>
        <w:t xml:space="preserve">případě extenzivního výkladu zákona možné právní postihy každého jednotlivého </w:t>
      </w:r>
      <w:r w:rsidR="004054EA" w:rsidRPr="00B87455">
        <w:rPr>
          <w:rFonts w:ascii="Times New Roman" w:hAnsi="Times New Roman"/>
          <w:sz w:val="24"/>
          <w:szCs w:val="24"/>
        </w:rPr>
        <w:t xml:space="preserve">dotčeného </w:t>
      </w:r>
      <w:r w:rsidRPr="00B87455">
        <w:rPr>
          <w:rFonts w:ascii="Times New Roman" w:hAnsi="Times New Roman"/>
          <w:sz w:val="24"/>
          <w:szCs w:val="24"/>
        </w:rPr>
        <w:t>podnikatele z</w:t>
      </w:r>
      <w:r w:rsidR="0061749B" w:rsidRPr="00B87455">
        <w:rPr>
          <w:rFonts w:ascii="Times New Roman" w:hAnsi="Times New Roman"/>
          <w:sz w:val="24"/>
          <w:szCs w:val="24"/>
        </w:rPr>
        <w:t>a</w:t>
      </w:r>
      <w:r w:rsidRPr="00B87455">
        <w:rPr>
          <w:rFonts w:ascii="Times New Roman" w:hAnsi="Times New Roman"/>
          <w:sz w:val="24"/>
          <w:szCs w:val="24"/>
        </w:rPr>
        <w:t> neplnění povinností distributora, které je v</w:t>
      </w:r>
      <w:r w:rsidR="0038289E" w:rsidRPr="00B87455">
        <w:rPr>
          <w:rFonts w:ascii="Times New Roman" w:hAnsi="Times New Roman"/>
          <w:sz w:val="24"/>
          <w:szCs w:val="24"/>
        </w:rPr>
        <w:t> </w:t>
      </w:r>
      <w:r w:rsidRPr="00B87455">
        <w:rPr>
          <w:rFonts w:ascii="Times New Roman" w:hAnsi="Times New Roman"/>
          <w:sz w:val="24"/>
          <w:szCs w:val="24"/>
        </w:rPr>
        <w:t>platném právním předpis</w:t>
      </w:r>
      <w:r w:rsidR="0061749B" w:rsidRPr="00B87455">
        <w:rPr>
          <w:rFonts w:ascii="Times New Roman" w:hAnsi="Times New Roman"/>
          <w:sz w:val="24"/>
          <w:szCs w:val="24"/>
        </w:rPr>
        <w:t>u</w:t>
      </w:r>
      <w:r w:rsidRPr="00B87455">
        <w:rPr>
          <w:rFonts w:ascii="Times New Roman" w:hAnsi="Times New Roman"/>
          <w:sz w:val="24"/>
          <w:szCs w:val="24"/>
        </w:rPr>
        <w:t xml:space="preserve"> řešeno jako přestupek a</w:t>
      </w:r>
      <w:r w:rsidR="0038289E" w:rsidRPr="00B87455">
        <w:rPr>
          <w:rFonts w:ascii="Times New Roman" w:hAnsi="Times New Roman"/>
          <w:sz w:val="24"/>
          <w:szCs w:val="24"/>
        </w:rPr>
        <w:t> </w:t>
      </w:r>
      <w:r w:rsidRPr="00B87455">
        <w:rPr>
          <w:rFonts w:ascii="Times New Roman" w:hAnsi="Times New Roman"/>
          <w:sz w:val="24"/>
          <w:szCs w:val="24"/>
        </w:rPr>
        <w:t>postihováno podle stejného předpisu finančními sankcemi</w:t>
      </w:r>
      <w:r w:rsidR="009E47BD" w:rsidRPr="00B87455">
        <w:rPr>
          <w:rFonts w:ascii="Times New Roman" w:hAnsi="Times New Roman"/>
          <w:sz w:val="24"/>
          <w:szCs w:val="24"/>
        </w:rPr>
        <w:t>, pokutami</w:t>
      </w:r>
      <w:r w:rsidRPr="00B87455">
        <w:rPr>
          <w:rFonts w:ascii="Times New Roman" w:hAnsi="Times New Roman"/>
          <w:sz w:val="24"/>
          <w:szCs w:val="24"/>
        </w:rPr>
        <w:t>. Z</w:t>
      </w:r>
      <w:r w:rsidR="0038289E" w:rsidRPr="00B87455">
        <w:rPr>
          <w:rFonts w:ascii="Times New Roman" w:hAnsi="Times New Roman"/>
          <w:sz w:val="24"/>
          <w:szCs w:val="24"/>
        </w:rPr>
        <w:t> </w:t>
      </w:r>
      <w:r w:rsidRPr="00B87455">
        <w:rPr>
          <w:rFonts w:ascii="Times New Roman" w:hAnsi="Times New Roman"/>
          <w:sz w:val="24"/>
          <w:szCs w:val="24"/>
        </w:rPr>
        <w:t>pohledu práva se mimo zákonný rámec v</w:t>
      </w:r>
      <w:r w:rsidR="0038289E" w:rsidRPr="00B87455">
        <w:rPr>
          <w:rFonts w:ascii="Times New Roman" w:hAnsi="Times New Roman"/>
          <w:sz w:val="24"/>
          <w:szCs w:val="24"/>
        </w:rPr>
        <w:t> </w:t>
      </w:r>
      <w:r w:rsidRPr="00B87455">
        <w:rPr>
          <w:rFonts w:ascii="Times New Roman" w:hAnsi="Times New Roman"/>
          <w:sz w:val="24"/>
          <w:szCs w:val="24"/>
        </w:rPr>
        <w:t xml:space="preserve">těchto případech </w:t>
      </w:r>
      <w:r w:rsidR="004054EA" w:rsidRPr="00B87455">
        <w:rPr>
          <w:rFonts w:ascii="Times New Roman" w:hAnsi="Times New Roman"/>
          <w:sz w:val="24"/>
          <w:szCs w:val="24"/>
        </w:rPr>
        <w:t xml:space="preserve">ocitají </w:t>
      </w:r>
      <w:r w:rsidRPr="00B87455">
        <w:rPr>
          <w:rFonts w:ascii="Times New Roman" w:hAnsi="Times New Roman"/>
          <w:sz w:val="24"/>
          <w:szCs w:val="24"/>
        </w:rPr>
        <w:t xml:space="preserve">dokonce obě strany </w:t>
      </w:r>
      <w:r w:rsidR="004054EA" w:rsidRPr="00B87455">
        <w:rPr>
          <w:rFonts w:ascii="Times New Roman" w:hAnsi="Times New Roman"/>
          <w:sz w:val="24"/>
          <w:szCs w:val="24"/>
        </w:rPr>
        <w:t xml:space="preserve">každé </w:t>
      </w:r>
      <w:r w:rsidRPr="00B87455">
        <w:rPr>
          <w:rFonts w:ascii="Times New Roman" w:hAnsi="Times New Roman"/>
          <w:sz w:val="24"/>
          <w:szCs w:val="24"/>
        </w:rPr>
        <w:t>obchodní transakce</w:t>
      </w:r>
      <w:r w:rsidR="00BE1837" w:rsidRPr="00B87455">
        <w:rPr>
          <w:rFonts w:ascii="Times New Roman" w:hAnsi="Times New Roman"/>
          <w:sz w:val="24"/>
          <w:szCs w:val="24"/>
        </w:rPr>
        <w:t>, tedy j</w:t>
      </w:r>
      <w:r w:rsidRPr="00B87455">
        <w:rPr>
          <w:rFonts w:ascii="Times New Roman" w:hAnsi="Times New Roman"/>
          <w:sz w:val="24"/>
          <w:szCs w:val="24"/>
        </w:rPr>
        <w:t>ak prodávající, tak kupující</w:t>
      </w:r>
      <w:r w:rsidR="00A0757B">
        <w:rPr>
          <w:rFonts w:ascii="Times New Roman" w:hAnsi="Times New Roman"/>
          <w:sz w:val="24"/>
          <w:szCs w:val="24"/>
        </w:rPr>
        <w:t xml:space="preserve">, </w:t>
      </w:r>
      <w:r w:rsidR="00BE1837" w:rsidRPr="00B87455">
        <w:rPr>
          <w:rFonts w:ascii="Times New Roman" w:hAnsi="Times New Roman"/>
          <w:sz w:val="24"/>
          <w:szCs w:val="24"/>
        </w:rPr>
        <w:t>a</w:t>
      </w:r>
      <w:r w:rsidR="0038289E" w:rsidRPr="00B87455">
        <w:rPr>
          <w:rFonts w:ascii="Times New Roman" w:hAnsi="Times New Roman"/>
          <w:sz w:val="24"/>
          <w:szCs w:val="24"/>
        </w:rPr>
        <w:t> </w:t>
      </w:r>
      <w:r w:rsidR="00BE1837" w:rsidRPr="00B87455">
        <w:rPr>
          <w:rFonts w:ascii="Times New Roman" w:hAnsi="Times New Roman"/>
          <w:sz w:val="24"/>
          <w:szCs w:val="24"/>
        </w:rPr>
        <w:t>v</w:t>
      </w:r>
      <w:r w:rsidR="0038289E" w:rsidRPr="00B87455">
        <w:rPr>
          <w:rFonts w:ascii="Times New Roman" w:hAnsi="Times New Roman"/>
          <w:sz w:val="24"/>
          <w:szCs w:val="24"/>
        </w:rPr>
        <w:t> </w:t>
      </w:r>
      <w:r w:rsidRPr="00B87455">
        <w:rPr>
          <w:rFonts w:ascii="Times New Roman" w:hAnsi="Times New Roman"/>
          <w:sz w:val="24"/>
          <w:szCs w:val="24"/>
        </w:rPr>
        <w:t>popsaných případech tedy jak zaměstnavatel</w:t>
      </w:r>
      <w:r w:rsidR="009E47BD" w:rsidRPr="00B87455">
        <w:rPr>
          <w:rFonts w:ascii="Times New Roman" w:hAnsi="Times New Roman"/>
          <w:sz w:val="24"/>
          <w:szCs w:val="24"/>
        </w:rPr>
        <w:t>,</w:t>
      </w:r>
      <w:r w:rsidRPr="00B87455">
        <w:rPr>
          <w:rFonts w:ascii="Times New Roman" w:hAnsi="Times New Roman"/>
          <w:sz w:val="24"/>
          <w:szCs w:val="24"/>
        </w:rPr>
        <w:t xml:space="preserve"> případně pronajímatel, tak zaměstnanec, případně nájemce. Rozsah okruhu takto potenciálně ohrožených právnických i</w:t>
      </w:r>
      <w:r w:rsidR="0038289E" w:rsidRPr="00B87455">
        <w:rPr>
          <w:rFonts w:ascii="Times New Roman" w:hAnsi="Times New Roman"/>
          <w:sz w:val="24"/>
          <w:szCs w:val="24"/>
        </w:rPr>
        <w:t> </w:t>
      </w:r>
      <w:r w:rsidRPr="00B87455">
        <w:rPr>
          <w:rFonts w:ascii="Times New Roman" w:hAnsi="Times New Roman"/>
          <w:sz w:val="24"/>
          <w:szCs w:val="24"/>
        </w:rPr>
        <w:t xml:space="preserve">fyzických osob nelze kvantifikovat jedním číslem, ale obecně </w:t>
      </w:r>
      <w:r w:rsidR="0045523F" w:rsidRPr="00B87455">
        <w:rPr>
          <w:rFonts w:ascii="Times New Roman" w:hAnsi="Times New Roman"/>
          <w:sz w:val="24"/>
          <w:szCs w:val="24"/>
        </w:rPr>
        <w:t xml:space="preserve">ho lze </w:t>
      </w:r>
      <w:r w:rsidRPr="00B87455">
        <w:rPr>
          <w:rFonts w:ascii="Times New Roman" w:hAnsi="Times New Roman"/>
          <w:sz w:val="24"/>
          <w:szCs w:val="24"/>
        </w:rPr>
        <w:t xml:space="preserve">charakterizovat jako celou skupinu </w:t>
      </w:r>
      <w:r w:rsidR="006D1F63" w:rsidRPr="00B87455">
        <w:rPr>
          <w:rFonts w:ascii="Times New Roman" w:hAnsi="Times New Roman"/>
          <w:sz w:val="24"/>
          <w:szCs w:val="24"/>
        </w:rPr>
        <w:t>zaměstnavatelů</w:t>
      </w:r>
      <w:r w:rsidR="004D3C3A" w:rsidRPr="00B87455">
        <w:rPr>
          <w:rFonts w:ascii="Times New Roman" w:hAnsi="Times New Roman"/>
          <w:sz w:val="24"/>
          <w:szCs w:val="24"/>
        </w:rPr>
        <w:t xml:space="preserve"> napříč obory podnikání</w:t>
      </w:r>
      <w:r w:rsidR="006D1F63" w:rsidRPr="00B87455">
        <w:rPr>
          <w:rFonts w:ascii="Times New Roman" w:hAnsi="Times New Roman"/>
          <w:sz w:val="24"/>
          <w:szCs w:val="24"/>
        </w:rPr>
        <w:t>, kteří umožňují zaměstnancům využívání služebního vozidla i</w:t>
      </w:r>
      <w:r w:rsidR="0038289E" w:rsidRPr="00B87455">
        <w:rPr>
          <w:rFonts w:ascii="Times New Roman" w:hAnsi="Times New Roman"/>
          <w:sz w:val="24"/>
          <w:szCs w:val="24"/>
        </w:rPr>
        <w:t> </w:t>
      </w:r>
      <w:r w:rsidR="006D1F63" w:rsidRPr="00B87455">
        <w:rPr>
          <w:rFonts w:ascii="Times New Roman" w:hAnsi="Times New Roman"/>
          <w:sz w:val="24"/>
          <w:szCs w:val="24"/>
        </w:rPr>
        <w:t>pro soukromé účely</w:t>
      </w:r>
      <w:r w:rsidR="009E47BD" w:rsidRPr="00B87455">
        <w:rPr>
          <w:rFonts w:ascii="Times New Roman" w:hAnsi="Times New Roman"/>
          <w:sz w:val="24"/>
          <w:szCs w:val="24"/>
        </w:rPr>
        <w:t>,</w:t>
      </w:r>
      <w:r w:rsidR="006D1F63" w:rsidRPr="00B87455">
        <w:rPr>
          <w:rFonts w:ascii="Times New Roman" w:hAnsi="Times New Roman"/>
          <w:sz w:val="24"/>
          <w:szCs w:val="24"/>
        </w:rPr>
        <w:t xml:space="preserve"> a</w:t>
      </w:r>
      <w:r w:rsidR="0038289E" w:rsidRPr="00B87455">
        <w:rPr>
          <w:rFonts w:ascii="Times New Roman" w:hAnsi="Times New Roman"/>
          <w:sz w:val="24"/>
          <w:szCs w:val="24"/>
        </w:rPr>
        <w:t> </w:t>
      </w:r>
      <w:r w:rsidR="004D3C3A" w:rsidRPr="00B87455">
        <w:rPr>
          <w:rFonts w:ascii="Times New Roman" w:hAnsi="Times New Roman"/>
          <w:sz w:val="24"/>
          <w:szCs w:val="24"/>
        </w:rPr>
        <w:t xml:space="preserve">současně </w:t>
      </w:r>
      <w:r w:rsidR="006D1F63" w:rsidRPr="00B87455">
        <w:rPr>
          <w:rFonts w:ascii="Times New Roman" w:hAnsi="Times New Roman"/>
          <w:sz w:val="24"/>
          <w:szCs w:val="24"/>
        </w:rPr>
        <w:t>všechny zaměstnance pobírající takovou výhodu a</w:t>
      </w:r>
      <w:r w:rsidR="0038289E" w:rsidRPr="00B87455">
        <w:rPr>
          <w:rFonts w:ascii="Times New Roman" w:hAnsi="Times New Roman"/>
          <w:sz w:val="24"/>
          <w:szCs w:val="24"/>
        </w:rPr>
        <w:t> </w:t>
      </w:r>
      <w:r w:rsidR="006D1F63" w:rsidRPr="00B87455">
        <w:rPr>
          <w:rFonts w:ascii="Times New Roman" w:hAnsi="Times New Roman"/>
          <w:sz w:val="24"/>
          <w:szCs w:val="24"/>
        </w:rPr>
        <w:t xml:space="preserve">dále </w:t>
      </w:r>
      <w:r w:rsidR="004D3C3A" w:rsidRPr="00B87455">
        <w:rPr>
          <w:rFonts w:ascii="Times New Roman" w:hAnsi="Times New Roman"/>
          <w:sz w:val="24"/>
          <w:szCs w:val="24"/>
        </w:rPr>
        <w:t xml:space="preserve">pak </w:t>
      </w:r>
      <w:r w:rsidR="006D1F63" w:rsidRPr="00B87455">
        <w:rPr>
          <w:rFonts w:ascii="Times New Roman" w:hAnsi="Times New Roman"/>
          <w:sz w:val="24"/>
          <w:szCs w:val="24"/>
        </w:rPr>
        <w:t>všechny pronajímatele vozidel, strojů a</w:t>
      </w:r>
      <w:r w:rsidR="0038289E" w:rsidRPr="00B87455">
        <w:rPr>
          <w:rFonts w:ascii="Times New Roman" w:hAnsi="Times New Roman"/>
          <w:sz w:val="24"/>
          <w:szCs w:val="24"/>
        </w:rPr>
        <w:t> </w:t>
      </w:r>
      <w:r w:rsidR="006D1F63" w:rsidRPr="00B87455">
        <w:rPr>
          <w:rFonts w:ascii="Times New Roman" w:hAnsi="Times New Roman"/>
          <w:sz w:val="24"/>
          <w:szCs w:val="24"/>
        </w:rPr>
        <w:t xml:space="preserve">zařízení </w:t>
      </w:r>
      <w:r w:rsidR="004B5521" w:rsidRPr="00B87455">
        <w:rPr>
          <w:rFonts w:ascii="Times New Roman" w:hAnsi="Times New Roman"/>
          <w:sz w:val="24"/>
          <w:szCs w:val="24"/>
        </w:rPr>
        <w:t>i</w:t>
      </w:r>
      <w:r w:rsidR="0038289E" w:rsidRPr="00B87455">
        <w:rPr>
          <w:rFonts w:ascii="Times New Roman" w:hAnsi="Times New Roman"/>
          <w:sz w:val="24"/>
          <w:szCs w:val="24"/>
        </w:rPr>
        <w:t> </w:t>
      </w:r>
      <w:r w:rsidR="006D1F63" w:rsidRPr="00B87455">
        <w:rPr>
          <w:rFonts w:ascii="Times New Roman" w:hAnsi="Times New Roman"/>
          <w:sz w:val="24"/>
          <w:szCs w:val="24"/>
        </w:rPr>
        <w:t>jejich nájemce. V</w:t>
      </w:r>
      <w:r w:rsidR="0038289E" w:rsidRPr="00B87455">
        <w:rPr>
          <w:rFonts w:ascii="Times New Roman" w:hAnsi="Times New Roman"/>
          <w:sz w:val="24"/>
          <w:szCs w:val="24"/>
        </w:rPr>
        <w:t> </w:t>
      </w:r>
      <w:r w:rsidR="006D1F63" w:rsidRPr="00B87455">
        <w:rPr>
          <w:rFonts w:ascii="Times New Roman" w:hAnsi="Times New Roman"/>
          <w:sz w:val="24"/>
          <w:szCs w:val="24"/>
        </w:rPr>
        <w:t>podstatě takový okruh zasahuje do všech oblastí národního hospodářství. Skutečnost, že podstata identifikovaného rizika prozatím nepřerostla do plošně celospolečenského problému</w:t>
      </w:r>
      <w:r w:rsidR="000F0AA5" w:rsidRPr="00B87455">
        <w:rPr>
          <w:rFonts w:ascii="Times New Roman" w:hAnsi="Times New Roman"/>
          <w:sz w:val="24"/>
          <w:szCs w:val="24"/>
        </w:rPr>
        <w:t>,</w:t>
      </w:r>
      <w:r w:rsidR="006D1F63" w:rsidRPr="00B87455">
        <w:rPr>
          <w:rFonts w:ascii="Times New Roman" w:hAnsi="Times New Roman"/>
          <w:sz w:val="24"/>
          <w:szCs w:val="24"/>
        </w:rPr>
        <w:t xml:space="preserve"> není důvodem k</w:t>
      </w:r>
      <w:r w:rsidR="0038289E" w:rsidRPr="00B87455">
        <w:rPr>
          <w:rFonts w:ascii="Times New Roman" w:hAnsi="Times New Roman"/>
          <w:sz w:val="24"/>
          <w:szCs w:val="24"/>
        </w:rPr>
        <w:t> </w:t>
      </w:r>
      <w:r w:rsidR="006D1F63" w:rsidRPr="00B87455">
        <w:rPr>
          <w:rFonts w:ascii="Times New Roman" w:hAnsi="Times New Roman"/>
          <w:sz w:val="24"/>
          <w:szCs w:val="24"/>
        </w:rPr>
        <w:t>jeho neřešení.</w:t>
      </w:r>
    </w:p>
    <w:p w:rsidR="00EC7FD8" w:rsidRPr="00B87455" w:rsidRDefault="00512E41" w:rsidP="00A0757B">
      <w:pPr>
        <w:spacing w:after="0"/>
        <w:ind w:left="357"/>
        <w:jc w:val="both"/>
        <w:rPr>
          <w:rFonts w:ascii="Times New Roman" w:hAnsi="Times New Roman"/>
          <w:sz w:val="24"/>
          <w:szCs w:val="24"/>
        </w:rPr>
      </w:pPr>
      <w:r w:rsidRPr="00A0757B">
        <w:rPr>
          <w:rFonts w:ascii="Times New Roman" w:hAnsi="Times New Roman"/>
          <w:sz w:val="12"/>
          <w:szCs w:val="12"/>
        </w:rPr>
        <w:br/>
      </w:r>
      <w:r w:rsidR="002F7565" w:rsidRPr="00B87455">
        <w:rPr>
          <w:rFonts w:ascii="Times New Roman" w:hAnsi="Times New Roman"/>
          <w:sz w:val="24"/>
          <w:szCs w:val="24"/>
        </w:rPr>
        <w:t>Rizika spojená s</w:t>
      </w:r>
      <w:r w:rsidR="0038289E" w:rsidRPr="00B87455">
        <w:rPr>
          <w:rFonts w:ascii="Times New Roman" w:hAnsi="Times New Roman"/>
          <w:sz w:val="24"/>
          <w:szCs w:val="24"/>
        </w:rPr>
        <w:t> </w:t>
      </w:r>
      <w:r w:rsidR="002F7565" w:rsidRPr="00B87455">
        <w:rPr>
          <w:rFonts w:ascii="Times New Roman" w:hAnsi="Times New Roman"/>
          <w:sz w:val="24"/>
          <w:szCs w:val="24"/>
        </w:rPr>
        <w:t>nedokonalou evidencí podnikatelských subjektů, případně detailů míst a</w:t>
      </w:r>
      <w:r w:rsidR="0038289E" w:rsidRPr="00B87455">
        <w:rPr>
          <w:rFonts w:ascii="Times New Roman" w:hAnsi="Times New Roman"/>
          <w:sz w:val="24"/>
          <w:szCs w:val="24"/>
        </w:rPr>
        <w:t> </w:t>
      </w:r>
      <w:r w:rsidR="002F7565" w:rsidRPr="00B87455">
        <w:rPr>
          <w:rFonts w:ascii="Times New Roman" w:hAnsi="Times New Roman"/>
          <w:sz w:val="24"/>
          <w:szCs w:val="24"/>
        </w:rPr>
        <w:t>vybavení jednotek, na kterých vykonávají svou činnost</w:t>
      </w:r>
      <w:r w:rsidR="00E9564C" w:rsidRPr="00B87455">
        <w:rPr>
          <w:rFonts w:ascii="Times New Roman" w:hAnsi="Times New Roman"/>
          <w:sz w:val="24"/>
          <w:szCs w:val="24"/>
        </w:rPr>
        <w:t>,</w:t>
      </w:r>
      <w:r w:rsidR="002F7565" w:rsidRPr="00B87455">
        <w:rPr>
          <w:rFonts w:ascii="Times New Roman" w:hAnsi="Times New Roman"/>
          <w:sz w:val="24"/>
          <w:szCs w:val="24"/>
        </w:rPr>
        <w:t xml:space="preserve"> je vhodné </w:t>
      </w:r>
      <w:r w:rsidR="00533581" w:rsidRPr="00B87455">
        <w:rPr>
          <w:rFonts w:ascii="Times New Roman" w:hAnsi="Times New Roman"/>
          <w:sz w:val="24"/>
          <w:szCs w:val="24"/>
        </w:rPr>
        <w:t>eliminovat</w:t>
      </w:r>
      <w:r w:rsidR="002F7565" w:rsidRPr="00B87455">
        <w:rPr>
          <w:rFonts w:ascii="Times New Roman" w:hAnsi="Times New Roman"/>
          <w:sz w:val="24"/>
          <w:szCs w:val="24"/>
        </w:rPr>
        <w:t xml:space="preserve"> ze dvou důvodů. První spočívá v</w:t>
      </w:r>
      <w:r w:rsidR="0038289E" w:rsidRPr="00B87455">
        <w:rPr>
          <w:rFonts w:ascii="Times New Roman" w:hAnsi="Times New Roman"/>
          <w:sz w:val="24"/>
          <w:szCs w:val="24"/>
        </w:rPr>
        <w:t> </w:t>
      </w:r>
      <w:r w:rsidR="00E9564C" w:rsidRPr="00B87455">
        <w:rPr>
          <w:rFonts w:ascii="Times New Roman" w:hAnsi="Times New Roman"/>
          <w:sz w:val="24"/>
          <w:szCs w:val="24"/>
        </w:rPr>
        <w:t xml:space="preserve">zákonné </w:t>
      </w:r>
      <w:r w:rsidR="002F7565" w:rsidRPr="00B87455">
        <w:rPr>
          <w:rFonts w:ascii="Times New Roman" w:hAnsi="Times New Roman"/>
          <w:sz w:val="24"/>
          <w:szCs w:val="24"/>
        </w:rPr>
        <w:t xml:space="preserve">povinnosti státní správy provádět kontrolní činnost </w:t>
      </w:r>
      <w:r w:rsidR="00E9564C" w:rsidRPr="00B87455">
        <w:rPr>
          <w:rFonts w:ascii="Times New Roman" w:hAnsi="Times New Roman"/>
          <w:sz w:val="24"/>
          <w:szCs w:val="24"/>
        </w:rPr>
        <w:t>a</w:t>
      </w:r>
      <w:r w:rsidR="0038289E" w:rsidRPr="00B87455">
        <w:rPr>
          <w:rFonts w:ascii="Times New Roman" w:hAnsi="Times New Roman"/>
          <w:sz w:val="24"/>
          <w:szCs w:val="24"/>
        </w:rPr>
        <w:t> </w:t>
      </w:r>
      <w:r w:rsidR="00E9564C" w:rsidRPr="00B87455">
        <w:rPr>
          <w:rFonts w:ascii="Times New Roman" w:hAnsi="Times New Roman"/>
          <w:sz w:val="24"/>
          <w:szCs w:val="24"/>
        </w:rPr>
        <w:t>pro tento výkon jí musí být znám definovaný okruh kontrolovaných míst. Jeho adresná známost a</w:t>
      </w:r>
      <w:r w:rsidR="0038289E" w:rsidRPr="00B87455">
        <w:rPr>
          <w:rFonts w:ascii="Times New Roman" w:hAnsi="Times New Roman"/>
          <w:sz w:val="24"/>
          <w:szCs w:val="24"/>
        </w:rPr>
        <w:t> </w:t>
      </w:r>
      <w:r w:rsidR="00E9564C" w:rsidRPr="00B87455">
        <w:rPr>
          <w:rFonts w:ascii="Times New Roman" w:hAnsi="Times New Roman"/>
          <w:sz w:val="24"/>
          <w:szCs w:val="24"/>
        </w:rPr>
        <w:t>velikost pak napomáhá k</w:t>
      </w:r>
      <w:r w:rsidR="0038289E" w:rsidRPr="00B87455">
        <w:rPr>
          <w:rFonts w:ascii="Times New Roman" w:hAnsi="Times New Roman"/>
          <w:sz w:val="24"/>
          <w:szCs w:val="24"/>
        </w:rPr>
        <w:t> </w:t>
      </w:r>
      <w:r w:rsidR="00E9564C" w:rsidRPr="00B87455">
        <w:rPr>
          <w:rFonts w:ascii="Times New Roman" w:hAnsi="Times New Roman"/>
          <w:sz w:val="24"/>
          <w:szCs w:val="24"/>
        </w:rPr>
        <w:t>lepšímu plánování kontrolní činnosti a</w:t>
      </w:r>
      <w:r w:rsidR="0038289E" w:rsidRPr="00B87455">
        <w:rPr>
          <w:rFonts w:ascii="Times New Roman" w:hAnsi="Times New Roman"/>
          <w:sz w:val="24"/>
          <w:szCs w:val="24"/>
        </w:rPr>
        <w:t> </w:t>
      </w:r>
      <w:r w:rsidR="00E9564C" w:rsidRPr="00B87455">
        <w:rPr>
          <w:rFonts w:ascii="Times New Roman" w:hAnsi="Times New Roman"/>
          <w:sz w:val="24"/>
          <w:szCs w:val="24"/>
        </w:rPr>
        <w:t>tím efektivnějšímu využití prostředků na tuto činnost vy</w:t>
      </w:r>
      <w:r w:rsidR="00DA7C02" w:rsidRPr="00B87455">
        <w:rPr>
          <w:rFonts w:ascii="Times New Roman" w:hAnsi="Times New Roman"/>
          <w:sz w:val="24"/>
          <w:szCs w:val="24"/>
        </w:rPr>
        <w:t>nakládaný</w:t>
      </w:r>
      <w:r w:rsidR="009C4636" w:rsidRPr="00B87455">
        <w:rPr>
          <w:rFonts w:ascii="Times New Roman" w:hAnsi="Times New Roman"/>
          <w:sz w:val="24"/>
          <w:szCs w:val="24"/>
        </w:rPr>
        <w:t>ch</w:t>
      </w:r>
      <w:r w:rsidR="00533581" w:rsidRPr="00B87455">
        <w:rPr>
          <w:rFonts w:ascii="Times New Roman" w:hAnsi="Times New Roman"/>
          <w:sz w:val="24"/>
          <w:szCs w:val="24"/>
        </w:rPr>
        <w:t xml:space="preserve">, což nezbytně neznamená </w:t>
      </w:r>
      <w:r w:rsidR="00C46592" w:rsidRPr="00B87455">
        <w:rPr>
          <w:rFonts w:ascii="Times New Roman" w:hAnsi="Times New Roman"/>
          <w:sz w:val="24"/>
          <w:szCs w:val="24"/>
        </w:rPr>
        <w:t xml:space="preserve">požadavek na </w:t>
      </w:r>
      <w:r w:rsidR="00533581" w:rsidRPr="00B87455">
        <w:rPr>
          <w:rFonts w:ascii="Times New Roman" w:hAnsi="Times New Roman"/>
          <w:sz w:val="24"/>
          <w:szCs w:val="24"/>
        </w:rPr>
        <w:t>jejich nárůst</w:t>
      </w:r>
      <w:r w:rsidR="00DA7C02" w:rsidRPr="00B87455">
        <w:rPr>
          <w:rFonts w:ascii="Times New Roman" w:hAnsi="Times New Roman"/>
          <w:sz w:val="24"/>
          <w:szCs w:val="24"/>
        </w:rPr>
        <w:t>. Druhý z</w:t>
      </w:r>
      <w:r w:rsidR="0038289E" w:rsidRPr="00B87455">
        <w:rPr>
          <w:rFonts w:ascii="Times New Roman" w:hAnsi="Times New Roman"/>
          <w:sz w:val="24"/>
          <w:szCs w:val="24"/>
        </w:rPr>
        <w:t> </w:t>
      </w:r>
      <w:r w:rsidR="00DA7C02" w:rsidRPr="00B87455">
        <w:rPr>
          <w:rFonts w:ascii="Times New Roman" w:hAnsi="Times New Roman"/>
          <w:sz w:val="24"/>
          <w:szCs w:val="24"/>
        </w:rPr>
        <w:t>důvodů má charakter povinnosti státní správy zasílat objektivní a</w:t>
      </w:r>
      <w:r w:rsidR="0038289E" w:rsidRPr="00B87455">
        <w:rPr>
          <w:rFonts w:ascii="Times New Roman" w:hAnsi="Times New Roman"/>
          <w:sz w:val="24"/>
          <w:szCs w:val="24"/>
        </w:rPr>
        <w:t> </w:t>
      </w:r>
      <w:r w:rsidR="00DA7C02" w:rsidRPr="00B87455">
        <w:rPr>
          <w:rFonts w:ascii="Times New Roman" w:hAnsi="Times New Roman"/>
          <w:sz w:val="24"/>
          <w:szCs w:val="24"/>
        </w:rPr>
        <w:t>aktuální informace směrem k</w:t>
      </w:r>
      <w:r w:rsidR="0038289E" w:rsidRPr="00B87455">
        <w:rPr>
          <w:rFonts w:ascii="Times New Roman" w:hAnsi="Times New Roman"/>
          <w:sz w:val="24"/>
          <w:szCs w:val="24"/>
        </w:rPr>
        <w:t> </w:t>
      </w:r>
      <w:r w:rsidR="00DA7C02" w:rsidRPr="00B87455">
        <w:rPr>
          <w:rFonts w:ascii="Times New Roman" w:hAnsi="Times New Roman"/>
          <w:sz w:val="24"/>
          <w:szCs w:val="24"/>
        </w:rPr>
        <w:t xml:space="preserve">strukturám Evropské unie, </w:t>
      </w:r>
      <w:r w:rsidR="00590D57" w:rsidRPr="00B87455">
        <w:rPr>
          <w:rFonts w:ascii="Times New Roman" w:hAnsi="Times New Roman"/>
          <w:sz w:val="24"/>
          <w:szCs w:val="24"/>
        </w:rPr>
        <w:t xml:space="preserve">ale </w:t>
      </w:r>
      <w:r w:rsidR="00DA7C02" w:rsidRPr="00B87455">
        <w:rPr>
          <w:rFonts w:ascii="Times New Roman" w:hAnsi="Times New Roman"/>
          <w:sz w:val="24"/>
          <w:szCs w:val="24"/>
        </w:rPr>
        <w:t>v</w:t>
      </w:r>
      <w:r w:rsidR="0038289E" w:rsidRPr="00B87455">
        <w:rPr>
          <w:rFonts w:ascii="Times New Roman" w:hAnsi="Times New Roman"/>
          <w:sz w:val="24"/>
          <w:szCs w:val="24"/>
        </w:rPr>
        <w:t> </w:t>
      </w:r>
      <w:r w:rsidR="00DA7C02" w:rsidRPr="00B87455">
        <w:rPr>
          <w:rFonts w:ascii="Times New Roman" w:hAnsi="Times New Roman"/>
          <w:sz w:val="24"/>
          <w:szCs w:val="24"/>
        </w:rPr>
        <w:t>neposlední řadě i</w:t>
      </w:r>
      <w:r w:rsidR="0038289E" w:rsidRPr="00B87455">
        <w:rPr>
          <w:rFonts w:ascii="Times New Roman" w:hAnsi="Times New Roman"/>
          <w:sz w:val="24"/>
          <w:szCs w:val="24"/>
        </w:rPr>
        <w:t> </w:t>
      </w:r>
      <w:r w:rsidR="00DA7C02" w:rsidRPr="00B87455">
        <w:rPr>
          <w:rFonts w:ascii="Times New Roman" w:hAnsi="Times New Roman"/>
          <w:sz w:val="24"/>
          <w:szCs w:val="24"/>
        </w:rPr>
        <w:t>veřejnosti, při nezanedbatelné osvětové a</w:t>
      </w:r>
      <w:r w:rsidR="0038289E" w:rsidRPr="00B87455">
        <w:rPr>
          <w:rFonts w:ascii="Times New Roman" w:hAnsi="Times New Roman"/>
          <w:sz w:val="24"/>
          <w:szCs w:val="24"/>
        </w:rPr>
        <w:t> </w:t>
      </w:r>
      <w:r w:rsidR="00DA7C02" w:rsidRPr="00B87455">
        <w:rPr>
          <w:rFonts w:ascii="Times New Roman" w:hAnsi="Times New Roman"/>
          <w:sz w:val="24"/>
          <w:szCs w:val="24"/>
        </w:rPr>
        <w:t xml:space="preserve">informační roli státu. Zejména nově vznikající odvětví </w:t>
      </w:r>
      <w:proofErr w:type="spellStart"/>
      <w:r w:rsidR="00DA7C02" w:rsidRPr="00B87455">
        <w:rPr>
          <w:rFonts w:ascii="Times New Roman" w:hAnsi="Times New Roman"/>
          <w:sz w:val="24"/>
          <w:szCs w:val="24"/>
        </w:rPr>
        <w:t>elektromobility</w:t>
      </w:r>
      <w:proofErr w:type="spellEnd"/>
      <w:r w:rsidR="00DA7C02" w:rsidRPr="00B87455">
        <w:rPr>
          <w:rFonts w:ascii="Times New Roman" w:hAnsi="Times New Roman"/>
          <w:sz w:val="24"/>
          <w:szCs w:val="24"/>
        </w:rPr>
        <w:t xml:space="preserve"> přímo vyžaduje pro svůj další žádoucí </w:t>
      </w:r>
      <w:r w:rsidR="00533581" w:rsidRPr="00B87455">
        <w:rPr>
          <w:rFonts w:ascii="Times New Roman" w:hAnsi="Times New Roman"/>
          <w:sz w:val="24"/>
          <w:szCs w:val="24"/>
        </w:rPr>
        <w:t>potenciál</w:t>
      </w:r>
      <w:r w:rsidR="00DA7C02" w:rsidRPr="00B87455">
        <w:rPr>
          <w:rFonts w:ascii="Times New Roman" w:hAnsi="Times New Roman"/>
          <w:sz w:val="24"/>
          <w:szCs w:val="24"/>
        </w:rPr>
        <w:t xml:space="preserve"> dostatek věc</w:t>
      </w:r>
      <w:r w:rsidR="009C4636" w:rsidRPr="00B87455">
        <w:rPr>
          <w:rFonts w:ascii="Times New Roman" w:hAnsi="Times New Roman"/>
          <w:sz w:val="24"/>
          <w:szCs w:val="24"/>
        </w:rPr>
        <w:t>ně správných</w:t>
      </w:r>
      <w:r w:rsidR="00DA7C02" w:rsidRPr="00B87455">
        <w:rPr>
          <w:rFonts w:ascii="Times New Roman" w:hAnsi="Times New Roman"/>
          <w:sz w:val="24"/>
          <w:szCs w:val="24"/>
        </w:rPr>
        <w:t xml:space="preserve"> dat, která napomáhají </w:t>
      </w:r>
      <w:r w:rsidR="00EC0E29" w:rsidRPr="00B87455">
        <w:rPr>
          <w:rFonts w:ascii="Times New Roman" w:hAnsi="Times New Roman"/>
          <w:sz w:val="24"/>
          <w:szCs w:val="24"/>
        </w:rPr>
        <w:t xml:space="preserve">při </w:t>
      </w:r>
      <w:r w:rsidR="00DA7C02" w:rsidRPr="00B87455">
        <w:rPr>
          <w:rFonts w:ascii="Times New Roman" w:hAnsi="Times New Roman"/>
          <w:sz w:val="24"/>
          <w:szCs w:val="24"/>
        </w:rPr>
        <w:t xml:space="preserve">rozhodovacích mechanismech </w:t>
      </w:r>
      <w:r w:rsidR="00EC0E29" w:rsidRPr="00B87455">
        <w:rPr>
          <w:rFonts w:ascii="Times New Roman" w:hAnsi="Times New Roman"/>
          <w:sz w:val="24"/>
          <w:szCs w:val="24"/>
        </w:rPr>
        <w:t>jak rozvoje odvětví ze strany podnikatelské sféry, tak užití veřejnou sférou.</w:t>
      </w:r>
    </w:p>
    <w:p w:rsidR="00533581" w:rsidRPr="00B87455" w:rsidRDefault="00533581" w:rsidP="00A00F50">
      <w:pPr>
        <w:ind w:left="360"/>
        <w:rPr>
          <w:rFonts w:ascii="Times New Roman" w:hAnsi="Times New Roman"/>
          <w:sz w:val="24"/>
          <w:szCs w:val="24"/>
        </w:rPr>
      </w:pPr>
    </w:p>
    <w:p w:rsidR="00533581" w:rsidRPr="00B87455" w:rsidRDefault="00533581" w:rsidP="00A00F50">
      <w:pPr>
        <w:ind w:left="360"/>
        <w:rPr>
          <w:rFonts w:ascii="Times New Roman" w:hAnsi="Times New Roman"/>
          <w:b/>
          <w:sz w:val="24"/>
          <w:szCs w:val="24"/>
        </w:rPr>
      </w:pPr>
      <w:r w:rsidRPr="00B87455">
        <w:rPr>
          <w:rFonts w:ascii="Times New Roman" w:hAnsi="Times New Roman"/>
          <w:b/>
          <w:sz w:val="24"/>
          <w:szCs w:val="24"/>
        </w:rPr>
        <w:t>2. Návrh variant řešení</w:t>
      </w:r>
    </w:p>
    <w:p w:rsidR="00533581" w:rsidRPr="00B87455" w:rsidRDefault="00533581" w:rsidP="00A00F50">
      <w:pPr>
        <w:ind w:left="360"/>
        <w:rPr>
          <w:rFonts w:ascii="Times New Roman" w:hAnsi="Times New Roman"/>
          <w:sz w:val="24"/>
          <w:szCs w:val="24"/>
        </w:rPr>
      </w:pPr>
    </w:p>
    <w:p w:rsidR="00533581" w:rsidRPr="00B87455" w:rsidRDefault="00533581" w:rsidP="00F47500">
      <w:pPr>
        <w:ind w:left="360"/>
        <w:jc w:val="both"/>
        <w:rPr>
          <w:rFonts w:ascii="Times New Roman" w:hAnsi="Times New Roman"/>
          <w:sz w:val="24"/>
          <w:szCs w:val="24"/>
        </w:rPr>
      </w:pPr>
      <w:r w:rsidRPr="00B87455">
        <w:rPr>
          <w:rFonts w:ascii="Times New Roman" w:hAnsi="Times New Roman"/>
          <w:sz w:val="24"/>
          <w:szCs w:val="24"/>
        </w:rPr>
        <w:t>Analýzou skutkového stavu popsaného v</w:t>
      </w:r>
      <w:r w:rsidR="0038289E" w:rsidRPr="00B87455">
        <w:rPr>
          <w:rFonts w:ascii="Times New Roman" w:hAnsi="Times New Roman"/>
          <w:sz w:val="24"/>
          <w:szCs w:val="24"/>
        </w:rPr>
        <w:t> </w:t>
      </w:r>
      <w:r w:rsidRPr="00B87455">
        <w:rPr>
          <w:rFonts w:ascii="Times New Roman" w:hAnsi="Times New Roman"/>
          <w:sz w:val="24"/>
          <w:szCs w:val="24"/>
        </w:rPr>
        <w:t>rámci kapitoly 1.5, stanovení</w:t>
      </w:r>
      <w:r w:rsidR="00690A9D" w:rsidRPr="00B87455">
        <w:rPr>
          <w:rFonts w:ascii="Times New Roman" w:hAnsi="Times New Roman"/>
          <w:sz w:val="24"/>
          <w:szCs w:val="24"/>
        </w:rPr>
        <w:t>m</w:t>
      </w:r>
      <w:r w:rsidRPr="00B87455">
        <w:rPr>
          <w:rFonts w:ascii="Times New Roman" w:hAnsi="Times New Roman"/>
          <w:sz w:val="24"/>
          <w:szCs w:val="24"/>
        </w:rPr>
        <w:t xml:space="preserve"> cílů vedoucích ke snížení, nebo odstranění identifikovaných rizik a</w:t>
      </w:r>
      <w:r w:rsidR="0038289E" w:rsidRPr="00B87455">
        <w:rPr>
          <w:rFonts w:ascii="Times New Roman" w:hAnsi="Times New Roman"/>
          <w:sz w:val="24"/>
          <w:szCs w:val="24"/>
        </w:rPr>
        <w:t> </w:t>
      </w:r>
      <w:r w:rsidRPr="00B87455">
        <w:rPr>
          <w:rFonts w:ascii="Times New Roman" w:hAnsi="Times New Roman"/>
          <w:sz w:val="24"/>
          <w:szCs w:val="24"/>
        </w:rPr>
        <w:t>zejména na základě konzultací se zástupci dotčených subjektů podnikatelské veřejnosti a</w:t>
      </w:r>
      <w:r w:rsidR="0038289E" w:rsidRPr="00B87455">
        <w:rPr>
          <w:rFonts w:ascii="Times New Roman" w:hAnsi="Times New Roman"/>
          <w:sz w:val="24"/>
          <w:szCs w:val="24"/>
        </w:rPr>
        <w:t> </w:t>
      </w:r>
      <w:r w:rsidRPr="00B87455">
        <w:rPr>
          <w:rFonts w:ascii="Times New Roman" w:hAnsi="Times New Roman"/>
          <w:sz w:val="24"/>
          <w:szCs w:val="24"/>
        </w:rPr>
        <w:t>státní správy jsou navrženy varianty věcného a</w:t>
      </w:r>
      <w:r w:rsidR="0038289E" w:rsidRPr="00B87455">
        <w:rPr>
          <w:rFonts w:ascii="Times New Roman" w:hAnsi="Times New Roman"/>
          <w:sz w:val="24"/>
          <w:szCs w:val="24"/>
        </w:rPr>
        <w:t> </w:t>
      </w:r>
      <w:r w:rsidRPr="00B87455">
        <w:rPr>
          <w:rFonts w:ascii="Times New Roman" w:hAnsi="Times New Roman"/>
          <w:sz w:val="24"/>
          <w:szCs w:val="24"/>
        </w:rPr>
        <w:t>právního řešení.</w:t>
      </w:r>
    </w:p>
    <w:p w:rsidR="00533581" w:rsidRPr="00B87455" w:rsidRDefault="00533581" w:rsidP="00A00F50">
      <w:pPr>
        <w:ind w:left="360"/>
        <w:rPr>
          <w:rFonts w:ascii="Times New Roman" w:hAnsi="Times New Roman"/>
          <w:sz w:val="24"/>
          <w:szCs w:val="24"/>
        </w:rPr>
      </w:pPr>
    </w:p>
    <w:p w:rsidR="003060E1" w:rsidRPr="00B87455" w:rsidRDefault="00533581" w:rsidP="003060E1">
      <w:pPr>
        <w:ind w:left="360"/>
        <w:rPr>
          <w:rFonts w:ascii="Times New Roman" w:hAnsi="Times New Roman"/>
          <w:sz w:val="24"/>
          <w:szCs w:val="24"/>
        </w:rPr>
      </w:pPr>
      <w:r w:rsidRPr="00B87455">
        <w:rPr>
          <w:rFonts w:ascii="Times New Roman" w:hAnsi="Times New Roman"/>
          <w:sz w:val="24"/>
          <w:szCs w:val="24"/>
        </w:rPr>
        <w:lastRenderedPageBreak/>
        <w:t xml:space="preserve">a) </w:t>
      </w:r>
      <w:r w:rsidRPr="00B87455">
        <w:rPr>
          <w:rFonts w:ascii="Times New Roman" w:hAnsi="Times New Roman"/>
          <w:i/>
          <w:sz w:val="24"/>
          <w:szCs w:val="24"/>
        </w:rPr>
        <w:t>Nulová varianta</w:t>
      </w:r>
      <w:r w:rsidRPr="00B87455">
        <w:rPr>
          <w:rFonts w:ascii="Times New Roman" w:hAnsi="Times New Roman"/>
          <w:sz w:val="24"/>
          <w:szCs w:val="24"/>
        </w:rPr>
        <w:br/>
        <w:t xml:space="preserve">b) </w:t>
      </w:r>
      <w:r w:rsidRPr="00B87455">
        <w:rPr>
          <w:rFonts w:ascii="Times New Roman" w:hAnsi="Times New Roman"/>
          <w:i/>
          <w:sz w:val="24"/>
          <w:szCs w:val="24"/>
        </w:rPr>
        <w:t>Varianta 1</w:t>
      </w:r>
      <w:r w:rsidRPr="00B87455">
        <w:rPr>
          <w:rFonts w:ascii="Times New Roman" w:hAnsi="Times New Roman"/>
          <w:sz w:val="24"/>
          <w:szCs w:val="24"/>
        </w:rPr>
        <w:t xml:space="preserve"> – </w:t>
      </w:r>
      <w:r w:rsidR="00590D57" w:rsidRPr="00B87455">
        <w:rPr>
          <w:rFonts w:ascii="Times New Roman" w:hAnsi="Times New Roman"/>
          <w:sz w:val="24"/>
          <w:szCs w:val="24"/>
        </w:rPr>
        <w:t xml:space="preserve">nelegislativní řešení - </w:t>
      </w:r>
      <w:r w:rsidR="0061749B" w:rsidRPr="00B87455">
        <w:rPr>
          <w:rFonts w:ascii="Times New Roman" w:hAnsi="Times New Roman"/>
          <w:sz w:val="24"/>
          <w:szCs w:val="24"/>
        </w:rPr>
        <w:t>jiné n</w:t>
      </w:r>
      <w:r w:rsidR="00F47500" w:rsidRPr="00B87455">
        <w:rPr>
          <w:rFonts w:ascii="Times New Roman" w:hAnsi="Times New Roman"/>
          <w:sz w:val="24"/>
          <w:szCs w:val="24"/>
        </w:rPr>
        <w:t>ež</w:t>
      </w:r>
      <w:r w:rsidR="0061749B" w:rsidRPr="00B87455">
        <w:rPr>
          <w:rFonts w:ascii="Times New Roman" w:hAnsi="Times New Roman"/>
          <w:sz w:val="24"/>
          <w:szCs w:val="24"/>
        </w:rPr>
        <w:t xml:space="preserve"> právní předpisy</w:t>
      </w:r>
      <w:r w:rsidR="003060E1" w:rsidRPr="00B87455">
        <w:rPr>
          <w:rFonts w:ascii="Times New Roman" w:hAnsi="Times New Roman"/>
          <w:sz w:val="24"/>
          <w:szCs w:val="24"/>
        </w:rPr>
        <w:br/>
        <w:t xml:space="preserve">c) </w:t>
      </w:r>
      <w:r w:rsidR="003060E1" w:rsidRPr="00B87455">
        <w:rPr>
          <w:rFonts w:ascii="Times New Roman" w:hAnsi="Times New Roman"/>
          <w:i/>
          <w:sz w:val="24"/>
          <w:szCs w:val="24"/>
        </w:rPr>
        <w:t>Varianta 2</w:t>
      </w:r>
      <w:r w:rsidR="003060E1" w:rsidRPr="00B87455">
        <w:rPr>
          <w:rFonts w:ascii="Times New Roman" w:hAnsi="Times New Roman"/>
          <w:sz w:val="24"/>
          <w:szCs w:val="24"/>
        </w:rPr>
        <w:t xml:space="preserve"> – novela existujícího právního předpisu</w:t>
      </w:r>
    </w:p>
    <w:p w:rsidR="003060E1" w:rsidRPr="00B87455" w:rsidRDefault="003060E1" w:rsidP="003060E1">
      <w:pPr>
        <w:ind w:left="360"/>
        <w:rPr>
          <w:rFonts w:ascii="Times New Roman" w:hAnsi="Times New Roman"/>
          <w:sz w:val="24"/>
          <w:szCs w:val="24"/>
        </w:rPr>
      </w:pPr>
    </w:p>
    <w:p w:rsidR="003060E1" w:rsidRPr="00B87455" w:rsidRDefault="003060E1" w:rsidP="003060E1">
      <w:pPr>
        <w:ind w:left="360"/>
        <w:rPr>
          <w:rFonts w:ascii="Times New Roman" w:hAnsi="Times New Roman"/>
          <w:sz w:val="24"/>
          <w:szCs w:val="24"/>
        </w:rPr>
      </w:pPr>
      <w:r w:rsidRPr="00B87455">
        <w:rPr>
          <w:rFonts w:ascii="Times New Roman" w:hAnsi="Times New Roman"/>
          <w:sz w:val="24"/>
          <w:szCs w:val="24"/>
        </w:rPr>
        <w:t xml:space="preserve">a) </w:t>
      </w:r>
      <w:r w:rsidRPr="00B87455">
        <w:rPr>
          <w:rFonts w:ascii="Times New Roman" w:hAnsi="Times New Roman"/>
          <w:i/>
          <w:sz w:val="24"/>
          <w:szCs w:val="24"/>
        </w:rPr>
        <w:t>Nulová varianta</w:t>
      </w:r>
    </w:p>
    <w:p w:rsidR="00016E45" w:rsidRPr="00B87455" w:rsidRDefault="003060E1" w:rsidP="00F47500">
      <w:pPr>
        <w:ind w:left="360"/>
        <w:jc w:val="both"/>
        <w:rPr>
          <w:rFonts w:ascii="Times New Roman" w:hAnsi="Times New Roman"/>
          <w:sz w:val="24"/>
          <w:szCs w:val="24"/>
        </w:rPr>
      </w:pPr>
      <w:r w:rsidRPr="00B87455">
        <w:rPr>
          <w:rFonts w:ascii="Times New Roman" w:hAnsi="Times New Roman"/>
          <w:sz w:val="24"/>
          <w:szCs w:val="24"/>
        </w:rPr>
        <w:t>Nulová varianta, tedy zachování současného stavu, neřeší odstranění či snížení identifikovaných rizik a</w:t>
      </w:r>
      <w:r w:rsidR="0038289E" w:rsidRPr="00B87455">
        <w:rPr>
          <w:rFonts w:ascii="Times New Roman" w:hAnsi="Times New Roman"/>
          <w:sz w:val="24"/>
          <w:szCs w:val="24"/>
        </w:rPr>
        <w:t> </w:t>
      </w:r>
      <w:r w:rsidRPr="00B87455">
        <w:rPr>
          <w:rFonts w:ascii="Times New Roman" w:hAnsi="Times New Roman"/>
          <w:sz w:val="24"/>
          <w:szCs w:val="24"/>
        </w:rPr>
        <w:t xml:space="preserve">nezajišťuje naplnění cílů </w:t>
      </w:r>
      <w:r w:rsidR="00215711" w:rsidRPr="00B87455">
        <w:rPr>
          <w:rFonts w:ascii="Times New Roman" w:hAnsi="Times New Roman"/>
          <w:sz w:val="24"/>
          <w:szCs w:val="24"/>
        </w:rPr>
        <w:t>pro</w:t>
      </w:r>
      <w:r w:rsidRPr="00B87455">
        <w:rPr>
          <w:rFonts w:ascii="Times New Roman" w:hAnsi="Times New Roman"/>
          <w:sz w:val="24"/>
          <w:szCs w:val="24"/>
        </w:rPr>
        <w:t xml:space="preserve"> žádoucí změnu aktuální situace. Nulová varianta ponechává ve stavu právní nejistoty velký okruh subjektů privátní sféry i</w:t>
      </w:r>
      <w:r w:rsidR="0038289E" w:rsidRPr="00B87455">
        <w:rPr>
          <w:rFonts w:ascii="Times New Roman" w:hAnsi="Times New Roman"/>
          <w:sz w:val="24"/>
          <w:szCs w:val="24"/>
        </w:rPr>
        <w:t> </w:t>
      </w:r>
      <w:r w:rsidRPr="00B87455">
        <w:rPr>
          <w:rFonts w:ascii="Times New Roman" w:hAnsi="Times New Roman"/>
          <w:sz w:val="24"/>
          <w:szCs w:val="24"/>
        </w:rPr>
        <w:t xml:space="preserve">jejich zaměstnanců. Současně nezajišťuje srovnatelné podnikatelské prostředí pro subjekty provozující </w:t>
      </w:r>
      <w:r w:rsidR="0061749B" w:rsidRPr="00B87455">
        <w:rPr>
          <w:rFonts w:ascii="Times New Roman" w:hAnsi="Times New Roman"/>
          <w:sz w:val="24"/>
          <w:szCs w:val="24"/>
        </w:rPr>
        <w:t>veřejně přístupné</w:t>
      </w:r>
      <w:r w:rsidR="00C46592" w:rsidRPr="00B87455">
        <w:rPr>
          <w:rFonts w:ascii="Times New Roman" w:hAnsi="Times New Roman"/>
          <w:sz w:val="24"/>
          <w:szCs w:val="24"/>
        </w:rPr>
        <w:t xml:space="preserve"> </w:t>
      </w:r>
      <w:r w:rsidRPr="00B87455">
        <w:rPr>
          <w:rFonts w:ascii="Times New Roman" w:hAnsi="Times New Roman"/>
          <w:sz w:val="24"/>
          <w:szCs w:val="24"/>
        </w:rPr>
        <w:t>čerpací stanice</w:t>
      </w:r>
      <w:r w:rsidR="00C46592" w:rsidRPr="00B87455">
        <w:rPr>
          <w:rFonts w:ascii="Times New Roman" w:hAnsi="Times New Roman"/>
          <w:sz w:val="24"/>
          <w:szCs w:val="24"/>
        </w:rPr>
        <w:t xml:space="preserve"> </w:t>
      </w:r>
      <w:r w:rsidRPr="00B87455">
        <w:rPr>
          <w:rFonts w:ascii="Times New Roman" w:hAnsi="Times New Roman"/>
          <w:sz w:val="24"/>
          <w:szCs w:val="24"/>
        </w:rPr>
        <w:t>se subjekty nakládajícími se stejnými pohonnými hmotami pro potřebu vlastní a</w:t>
      </w:r>
      <w:r w:rsidR="0038289E" w:rsidRPr="00B87455">
        <w:rPr>
          <w:rFonts w:ascii="Times New Roman" w:hAnsi="Times New Roman"/>
          <w:sz w:val="24"/>
          <w:szCs w:val="24"/>
        </w:rPr>
        <w:t> </w:t>
      </w:r>
      <w:r w:rsidRPr="00B87455">
        <w:rPr>
          <w:rFonts w:ascii="Times New Roman" w:hAnsi="Times New Roman"/>
          <w:sz w:val="24"/>
          <w:szCs w:val="24"/>
        </w:rPr>
        <w:t>spřízněných právnických osob. V</w:t>
      </w:r>
      <w:r w:rsidR="0038289E" w:rsidRPr="00B87455">
        <w:rPr>
          <w:rFonts w:ascii="Times New Roman" w:hAnsi="Times New Roman"/>
          <w:sz w:val="24"/>
          <w:szCs w:val="24"/>
        </w:rPr>
        <w:t> </w:t>
      </w:r>
      <w:r w:rsidRPr="00B87455">
        <w:rPr>
          <w:rFonts w:ascii="Times New Roman" w:hAnsi="Times New Roman"/>
          <w:sz w:val="24"/>
          <w:szCs w:val="24"/>
        </w:rPr>
        <w:t>neposlední řadě ne</w:t>
      </w:r>
      <w:r w:rsidR="00215711" w:rsidRPr="00B87455">
        <w:rPr>
          <w:rFonts w:ascii="Times New Roman" w:hAnsi="Times New Roman"/>
          <w:sz w:val="24"/>
          <w:szCs w:val="24"/>
        </w:rPr>
        <w:t xml:space="preserve">zlepšuje </w:t>
      </w:r>
      <w:r w:rsidR="003D695D" w:rsidRPr="00B87455">
        <w:rPr>
          <w:rFonts w:ascii="Times New Roman" w:hAnsi="Times New Roman"/>
          <w:sz w:val="24"/>
          <w:szCs w:val="24"/>
        </w:rPr>
        <w:t xml:space="preserve">nástroje </w:t>
      </w:r>
      <w:r w:rsidR="0055623F" w:rsidRPr="00B87455">
        <w:rPr>
          <w:rFonts w:ascii="Times New Roman" w:hAnsi="Times New Roman"/>
          <w:sz w:val="24"/>
          <w:szCs w:val="24"/>
        </w:rPr>
        <w:t xml:space="preserve">státní správy </w:t>
      </w:r>
      <w:r w:rsidR="003D695D" w:rsidRPr="00B87455">
        <w:rPr>
          <w:rFonts w:ascii="Times New Roman" w:hAnsi="Times New Roman"/>
          <w:sz w:val="24"/>
          <w:szCs w:val="24"/>
        </w:rPr>
        <w:t xml:space="preserve">na efektivní využití prostředků pro výkon kontrolní činnosti dané </w:t>
      </w:r>
      <w:r w:rsidR="009E47BD" w:rsidRPr="00B87455">
        <w:rPr>
          <w:rFonts w:ascii="Times New Roman" w:hAnsi="Times New Roman"/>
          <w:sz w:val="24"/>
          <w:szCs w:val="24"/>
        </w:rPr>
        <w:t>příslušnými právními předpisy</w:t>
      </w:r>
      <w:r w:rsidR="003D695D" w:rsidRPr="00B87455">
        <w:rPr>
          <w:rFonts w:ascii="Times New Roman" w:hAnsi="Times New Roman"/>
          <w:sz w:val="24"/>
          <w:szCs w:val="24"/>
        </w:rPr>
        <w:t xml:space="preserve"> a</w:t>
      </w:r>
      <w:r w:rsidR="0038289E" w:rsidRPr="00B87455">
        <w:rPr>
          <w:rFonts w:ascii="Times New Roman" w:hAnsi="Times New Roman"/>
          <w:sz w:val="24"/>
          <w:szCs w:val="24"/>
        </w:rPr>
        <w:t> </w:t>
      </w:r>
      <w:r w:rsidR="003D695D" w:rsidRPr="00B87455">
        <w:rPr>
          <w:rFonts w:ascii="Times New Roman" w:hAnsi="Times New Roman"/>
          <w:sz w:val="24"/>
          <w:szCs w:val="24"/>
        </w:rPr>
        <w:t xml:space="preserve">vedení objektivně správné agendy na podporu nově vznikajícího odvětví </w:t>
      </w:r>
      <w:proofErr w:type="spellStart"/>
      <w:r w:rsidR="003D695D" w:rsidRPr="00B87455">
        <w:rPr>
          <w:rFonts w:ascii="Times New Roman" w:hAnsi="Times New Roman"/>
          <w:sz w:val="24"/>
          <w:szCs w:val="24"/>
        </w:rPr>
        <w:t>elektromobility</w:t>
      </w:r>
      <w:proofErr w:type="spellEnd"/>
      <w:r w:rsidR="003D695D" w:rsidRPr="00B87455">
        <w:rPr>
          <w:rFonts w:ascii="Times New Roman" w:hAnsi="Times New Roman"/>
          <w:sz w:val="24"/>
          <w:szCs w:val="24"/>
        </w:rPr>
        <w:t xml:space="preserve"> v</w:t>
      </w:r>
      <w:r w:rsidR="0038289E" w:rsidRPr="00B87455">
        <w:rPr>
          <w:rFonts w:ascii="Times New Roman" w:hAnsi="Times New Roman"/>
          <w:sz w:val="24"/>
          <w:szCs w:val="24"/>
        </w:rPr>
        <w:t> </w:t>
      </w:r>
      <w:r w:rsidR="003D695D" w:rsidRPr="00B87455">
        <w:rPr>
          <w:rFonts w:ascii="Times New Roman" w:hAnsi="Times New Roman"/>
          <w:sz w:val="24"/>
          <w:szCs w:val="24"/>
        </w:rPr>
        <w:t xml:space="preserve">dopravě. </w:t>
      </w:r>
      <w:r w:rsidR="00B80425" w:rsidRPr="00B87455">
        <w:rPr>
          <w:rFonts w:ascii="Times New Roman" w:hAnsi="Times New Roman"/>
          <w:sz w:val="24"/>
          <w:szCs w:val="24"/>
        </w:rPr>
        <w:t>Nevede také k</w:t>
      </w:r>
      <w:r w:rsidR="0038289E" w:rsidRPr="00B87455">
        <w:rPr>
          <w:rFonts w:ascii="Times New Roman" w:hAnsi="Times New Roman"/>
          <w:sz w:val="24"/>
          <w:szCs w:val="24"/>
        </w:rPr>
        <w:t> </w:t>
      </w:r>
      <w:r w:rsidR="00B80425" w:rsidRPr="00B87455">
        <w:rPr>
          <w:rFonts w:ascii="Times New Roman" w:hAnsi="Times New Roman"/>
          <w:sz w:val="24"/>
          <w:szCs w:val="24"/>
        </w:rPr>
        <w:t>naplnění povinností plynoucích z</w:t>
      </w:r>
      <w:r w:rsidR="0038289E" w:rsidRPr="00B87455">
        <w:rPr>
          <w:rFonts w:ascii="Times New Roman" w:hAnsi="Times New Roman"/>
          <w:sz w:val="24"/>
          <w:szCs w:val="24"/>
        </w:rPr>
        <w:t> </w:t>
      </w:r>
      <w:r w:rsidR="00B80425" w:rsidRPr="00B87455">
        <w:rPr>
          <w:rFonts w:ascii="Times New Roman" w:hAnsi="Times New Roman"/>
          <w:sz w:val="24"/>
          <w:szCs w:val="24"/>
        </w:rPr>
        <w:t>právní</w:t>
      </w:r>
      <w:r w:rsidR="009E47BD" w:rsidRPr="00B87455">
        <w:rPr>
          <w:rFonts w:ascii="Times New Roman" w:hAnsi="Times New Roman"/>
          <w:sz w:val="24"/>
          <w:szCs w:val="24"/>
        </w:rPr>
        <w:t>ch</w:t>
      </w:r>
      <w:r w:rsidR="00B80425" w:rsidRPr="00B87455">
        <w:rPr>
          <w:rFonts w:ascii="Times New Roman" w:hAnsi="Times New Roman"/>
          <w:sz w:val="24"/>
          <w:szCs w:val="24"/>
        </w:rPr>
        <w:t xml:space="preserve"> předpis</w:t>
      </w:r>
      <w:r w:rsidR="009E47BD" w:rsidRPr="00B87455">
        <w:rPr>
          <w:rFonts w:ascii="Times New Roman" w:hAnsi="Times New Roman"/>
          <w:sz w:val="24"/>
          <w:szCs w:val="24"/>
        </w:rPr>
        <w:t>ů</w:t>
      </w:r>
      <w:r w:rsidR="00B80425" w:rsidRPr="00B87455">
        <w:rPr>
          <w:rFonts w:ascii="Times New Roman" w:hAnsi="Times New Roman"/>
          <w:sz w:val="24"/>
          <w:szCs w:val="24"/>
        </w:rPr>
        <w:t xml:space="preserve"> vyšší právní síly, tedy legislativy EU.</w:t>
      </w:r>
    </w:p>
    <w:p w:rsidR="00016E45" w:rsidRPr="00B87455" w:rsidRDefault="00016E45" w:rsidP="003060E1">
      <w:pPr>
        <w:ind w:left="360"/>
        <w:rPr>
          <w:rFonts w:ascii="Times New Roman" w:hAnsi="Times New Roman"/>
          <w:sz w:val="24"/>
          <w:szCs w:val="24"/>
        </w:rPr>
      </w:pPr>
    </w:p>
    <w:p w:rsidR="00016E45" w:rsidRPr="00B87455" w:rsidRDefault="00016E45" w:rsidP="003060E1">
      <w:pPr>
        <w:ind w:left="360"/>
        <w:rPr>
          <w:rFonts w:ascii="Times New Roman" w:hAnsi="Times New Roman"/>
          <w:sz w:val="24"/>
          <w:szCs w:val="24"/>
        </w:rPr>
      </w:pPr>
      <w:r w:rsidRPr="00B87455">
        <w:rPr>
          <w:rFonts w:ascii="Times New Roman" w:hAnsi="Times New Roman"/>
          <w:sz w:val="24"/>
          <w:szCs w:val="24"/>
        </w:rPr>
        <w:t xml:space="preserve">b) </w:t>
      </w:r>
      <w:r w:rsidRPr="00B87455">
        <w:rPr>
          <w:rFonts w:ascii="Times New Roman" w:hAnsi="Times New Roman"/>
          <w:i/>
          <w:sz w:val="24"/>
          <w:szCs w:val="24"/>
        </w:rPr>
        <w:t>Varianta 1</w:t>
      </w:r>
      <w:r w:rsidR="00F85E66">
        <w:rPr>
          <w:rFonts w:ascii="Times New Roman" w:hAnsi="Times New Roman"/>
          <w:i/>
          <w:sz w:val="24"/>
          <w:szCs w:val="24"/>
        </w:rPr>
        <w:t xml:space="preserve"> </w:t>
      </w:r>
      <w:r w:rsidRPr="00B87455">
        <w:rPr>
          <w:rFonts w:ascii="Times New Roman" w:hAnsi="Times New Roman"/>
          <w:sz w:val="24"/>
          <w:szCs w:val="24"/>
        </w:rPr>
        <w:t>–</w:t>
      </w:r>
      <w:r w:rsidR="00761F3C" w:rsidRPr="00B87455">
        <w:rPr>
          <w:rFonts w:ascii="Times New Roman" w:hAnsi="Times New Roman"/>
          <w:sz w:val="24"/>
          <w:szCs w:val="24"/>
        </w:rPr>
        <w:t xml:space="preserve"> nelegislativní řešení - </w:t>
      </w:r>
      <w:r w:rsidR="00024686" w:rsidRPr="00B87455">
        <w:rPr>
          <w:rFonts w:ascii="Times New Roman" w:hAnsi="Times New Roman"/>
          <w:sz w:val="24"/>
          <w:szCs w:val="24"/>
        </w:rPr>
        <w:t>jiné n</w:t>
      </w:r>
      <w:r w:rsidR="00F47500" w:rsidRPr="00B87455">
        <w:rPr>
          <w:rFonts w:ascii="Times New Roman" w:hAnsi="Times New Roman"/>
          <w:sz w:val="24"/>
          <w:szCs w:val="24"/>
        </w:rPr>
        <w:t>ež</w:t>
      </w:r>
      <w:r w:rsidR="00024686" w:rsidRPr="00B87455">
        <w:rPr>
          <w:rFonts w:ascii="Times New Roman" w:hAnsi="Times New Roman"/>
          <w:sz w:val="24"/>
          <w:szCs w:val="24"/>
        </w:rPr>
        <w:t xml:space="preserve"> právní </w:t>
      </w:r>
      <w:r w:rsidRPr="00B87455">
        <w:rPr>
          <w:rFonts w:ascii="Times New Roman" w:hAnsi="Times New Roman"/>
          <w:sz w:val="24"/>
          <w:szCs w:val="24"/>
        </w:rPr>
        <w:t>předpisy</w:t>
      </w:r>
    </w:p>
    <w:p w:rsidR="00BE48E0" w:rsidRDefault="00016E45" w:rsidP="00F47500">
      <w:pPr>
        <w:ind w:left="360"/>
        <w:jc w:val="both"/>
        <w:rPr>
          <w:rFonts w:ascii="Times New Roman" w:hAnsi="Times New Roman"/>
          <w:sz w:val="24"/>
          <w:szCs w:val="24"/>
        </w:rPr>
      </w:pPr>
      <w:r w:rsidRPr="00B87455">
        <w:rPr>
          <w:rFonts w:ascii="Times New Roman" w:hAnsi="Times New Roman"/>
          <w:sz w:val="24"/>
          <w:szCs w:val="24"/>
        </w:rPr>
        <w:t xml:space="preserve">Variantou 1 je možné postupné </w:t>
      </w:r>
      <w:r w:rsidR="001A0ACC" w:rsidRPr="00B87455">
        <w:rPr>
          <w:rFonts w:ascii="Times New Roman" w:hAnsi="Times New Roman"/>
          <w:sz w:val="24"/>
          <w:szCs w:val="24"/>
        </w:rPr>
        <w:t>přijímání</w:t>
      </w:r>
      <w:r w:rsidR="00C46592" w:rsidRPr="00B87455">
        <w:rPr>
          <w:rFonts w:ascii="Times New Roman" w:hAnsi="Times New Roman"/>
          <w:sz w:val="24"/>
          <w:szCs w:val="24"/>
        </w:rPr>
        <w:t xml:space="preserve"> </w:t>
      </w:r>
      <w:r w:rsidR="001A0ACC" w:rsidRPr="00B87455">
        <w:rPr>
          <w:rFonts w:ascii="Times New Roman" w:hAnsi="Times New Roman"/>
          <w:sz w:val="24"/>
          <w:szCs w:val="24"/>
        </w:rPr>
        <w:t>jiných než právních předpisů exekutivou nebo samosprávou</w:t>
      </w:r>
      <w:r w:rsidR="00C42A71" w:rsidRPr="00B87455">
        <w:rPr>
          <w:rFonts w:ascii="Times New Roman" w:hAnsi="Times New Roman"/>
          <w:color w:val="333333"/>
          <w:sz w:val="24"/>
          <w:szCs w:val="24"/>
        </w:rPr>
        <w:t>,</w:t>
      </w:r>
      <w:r w:rsidR="00C46592" w:rsidRPr="00B87455">
        <w:rPr>
          <w:rFonts w:ascii="Times New Roman" w:hAnsi="Times New Roman"/>
          <w:color w:val="333333"/>
          <w:sz w:val="24"/>
          <w:szCs w:val="24"/>
        </w:rPr>
        <w:t xml:space="preserve"> </w:t>
      </w:r>
      <w:r w:rsidR="00C01595" w:rsidRPr="00B87455">
        <w:rPr>
          <w:rFonts w:ascii="Times New Roman" w:hAnsi="Times New Roman"/>
          <w:color w:val="333333"/>
          <w:sz w:val="24"/>
          <w:szCs w:val="24"/>
        </w:rPr>
        <w:t xml:space="preserve">které </w:t>
      </w:r>
      <w:r w:rsidRPr="00B87455">
        <w:rPr>
          <w:rFonts w:ascii="Times New Roman" w:hAnsi="Times New Roman"/>
          <w:sz w:val="24"/>
          <w:szCs w:val="24"/>
        </w:rPr>
        <w:t xml:space="preserve">by </w:t>
      </w:r>
      <w:r w:rsidR="008168DF" w:rsidRPr="00B87455">
        <w:rPr>
          <w:rFonts w:ascii="Times New Roman" w:hAnsi="Times New Roman"/>
          <w:sz w:val="24"/>
          <w:szCs w:val="24"/>
        </w:rPr>
        <w:t>specifikovaly</w:t>
      </w:r>
      <w:r w:rsidRPr="00B87455">
        <w:rPr>
          <w:rFonts w:ascii="Times New Roman" w:hAnsi="Times New Roman"/>
          <w:sz w:val="24"/>
          <w:szCs w:val="24"/>
        </w:rPr>
        <w:t xml:space="preserve"> povinnosti subjektů</w:t>
      </w:r>
      <w:r w:rsidR="008168DF" w:rsidRPr="00B87455">
        <w:rPr>
          <w:rFonts w:ascii="Times New Roman" w:hAnsi="Times New Roman"/>
          <w:sz w:val="24"/>
          <w:szCs w:val="24"/>
        </w:rPr>
        <w:t xml:space="preserve"> vedoucí k</w:t>
      </w:r>
      <w:r w:rsidR="0038289E" w:rsidRPr="00B87455">
        <w:rPr>
          <w:rFonts w:ascii="Times New Roman" w:hAnsi="Times New Roman"/>
          <w:sz w:val="24"/>
          <w:szCs w:val="24"/>
        </w:rPr>
        <w:t> </w:t>
      </w:r>
      <w:r w:rsidR="008168DF" w:rsidRPr="00B87455">
        <w:rPr>
          <w:rFonts w:ascii="Times New Roman" w:hAnsi="Times New Roman"/>
          <w:sz w:val="24"/>
          <w:szCs w:val="24"/>
        </w:rPr>
        <w:t>odstranění identifikovaných rizik a</w:t>
      </w:r>
      <w:r w:rsidR="0038289E" w:rsidRPr="00B87455">
        <w:rPr>
          <w:rFonts w:ascii="Times New Roman" w:hAnsi="Times New Roman"/>
          <w:sz w:val="24"/>
          <w:szCs w:val="24"/>
        </w:rPr>
        <w:t> </w:t>
      </w:r>
      <w:r w:rsidR="00C46592" w:rsidRPr="00B87455">
        <w:rPr>
          <w:rFonts w:ascii="Times New Roman" w:hAnsi="Times New Roman"/>
          <w:sz w:val="24"/>
          <w:szCs w:val="24"/>
        </w:rPr>
        <w:t xml:space="preserve">přiblížení se </w:t>
      </w:r>
      <w:r w:rsidR="008168DF" w:rsidRPr="00B87455">
        <w:rPr>
          <w:rFonts w:ascii="Times New Roman" w:hAnsi="Times New Roman"/>
          <w:sz w:val="24"/>
          <w:szCs w:val="24"/>
        </w:rPr>
        <w:t>požadované</w:t>
      </w:r>
      <w:r w:rsidR="00C46592" w:rsidRPr="00B87455">
        <w:rPr>
          <w:rFonts w:ascii="Times New Roman" w:hAnsi="Times New Roman"/>
          <w:sz w:val="24"/>
          <w:szCs w:val="24"/>
        </w:rPr>
        <w:t>mu</w:t>
      </w:r>
      <w:r w:rsidR="008168DF" w:rsidRPr="00B87455">
        <w:rPr>
          <w:rFonts w:ascii="Times New Roman" w:hAnsi="Times New Roman"/>
          <w:sz w:val="24"/>
          <w:szCs w:val="24"/>
        </w:rPr>
        <w:t xml:space="preserve"> cílové</w:t>
      </w:r>
      <w:r w:rsidR="00C46592" w:rsidRPr="00B87455">
        <w:rPr>
          <w:rFonts w:ascii="Times New Roman" w:hAnsi="Times New Roman"/>
          <w:sz w:val="24"/>
          <w:szCs w:val="24"/>
        </w:rPr>
        <w:t>mu</w:t>
      </w:r>
      <w:r w:rsidR="008168DF" w:rsidRPr="00B87455">
        <w:rPr>
          <w:rFonts w:ascii="Times New Roman" w:hAnsi="Times New Roman"/>
          <w:sz w:val="24"/>
          <w:szCs w:val="24"/>
        </w:rPr>
        <w:t xml:space="preserve"> stavu. </w:t>
      </w:r>
      <w:r w:rsidR="0010585A" w:rsidRPr="00B87455">
        <w:rPr>
          <w:rFonts w:ascii="Times New Roman" w:hAnsi="Times New Roman"/>
          <w:sz w:val="24"/>
          <w:szCs w:val="24"/>
        </w:rPr>
        <w:t>V</w:t>
      </w:r>
      <w:r w:rsidR="0038289E" w:rsidRPr="00B87455">
        <w:rPr>
          <w:rFonts w:ascii="Times New Roman" w:hAnsi="Times New Roman"/>
          <w:sz w:val="24"/>
          <w:szCs w:val="24"/>
        </w:rPr>
        <w:t> </w:t>
      </w:r>
      <w:r w:rsidR="0010585A" w:rsidRPr="00B87455">
        <w:rPr>
          <w:rFonts w:ascii="Times New Roman" w:hAnsi="Times New Roman"/>
          <w:sz w:val="24"/>
          <w:szCs w:val="24"/>
        </w:rPr>
        <w:t>průběhu konzultací zástupců veřejné správy bylo naznačeno, že to je také cesta k</w:t>
      </w:r>
      <w:r w:rsidR="0038289E" w:rsidRPr="00B87455">
        <w:rPr>
          <w:rFonts w:ascii="Times New Roman" w:hAnsi="Times New Roman"/>
          <w:sz w:val="24"/>
          <w:szCs w:val="24"/>
        </w:rPr>
        <w:t> </w:t>
      </w:r>
      <w:r w:rsidR="0010585A" w:rsidRPr="00B87455">
        <w:rPr>
          <w:rFonts w:ascii="Times New Roman" w:hAnsi="Times New Roman"/>
          <w:sz w:val="24"/>
          <w:szCs w:val="24"/>
        </w:rPr>
        <w:t>řešení rizik a</w:t>
      </w:r>
      <w:r w:rsidR="0038289E" w:rsidRPr="00B87455">
        <w:rPr>
          <w:rFonts w:ascii="Times New Roman" w:hAnsi="Times New Roman"/>
          <w:sz w:val="24"/>
          <w:szCs w:val="24"/>
        </w:rPr>
        <w:t> </w:t>
      </w:r>
      <w:r w:rsidR="0010585A" w:rsidRPr="00B87455">
        <w:rPr>
          <w:rFonts w:ascii="Times New Roman" w:hAnsi="Times New Roman"/>
          <w:sz w:val="24"/>
          <w:szCs w:val="24"/>
        </w:rPr>
        <w:t xml:space="preserve">dosažení </w:t>
      </w:r>
      <w:r w:rsidR="00A805DA" w:rsidRPr="00B87455">
        <w:rPr>
          <w:rFonts w:ascii="Times New Roman" w:hAnsi="Times New Roman"/>
          <w:sz w:val="24"/>
          <w:szCs w:val="24"/>
        </w:rPr>
        <w:t xml:space="preserve">některých </w:t>
      </w:r>
      <w:r w:rsidR="0010585A" w:rsidRPr="00B87455">
        <w:rPr>
          <w:rFonts w:ascii="Times New Roman" w:hAnsi="Times New Roman"/>
          <w:sz w:val="24"/>
          <w:szCs w:val="24"/>
        </w:rPr>
        <w:t xml:space="preserve">cílů. Proto je tato varianta součástí hodnocení dopadů regulace. </w:t>
      </w:r>
      <w:r w:rsidR="008168DF" w:rsidRPr="00B87455">
        <w:rPr>
          <w:rFonts w:ascii="Times New Roman" w:hAnsi="Times New Roman"/>
          <w:sz w:val="24"/>
          <w:szCs w:val="24"/>
        </w:rPr>
        <w:t xml:space="preserve">Objektivně je nutné uznat, že právní síla </w:t>
      </w:r>
      <w:r w:rsidR="00A72BAD" w:rsidRPr="00B87455">
        <w:rPr>
          <w:rFonts w:ascii="Times New Roman" w:hAnsi="Times New Roman"/>
          <w:sz w:val="24"/>
          <w:szCs w:val="24"/>
        </w:rPr>
        <w:t>jiných</w:t>
      </w:r>
      <w:r w:rsidR="00C46592" w:rsidRPr="00B87455">
        <w:rPr>
          <w:rFonts w:ascii="Times New Roman" w:hAnsi="Times New Roman"/>
          <w:sz w:val="24"/>
          <w:szCs w:val="24"/>
        </w:rPr>
        <w:t xml:space="preserve"> </w:t>
      </w:r>
      <w:r w:rsidR="00F47500" w:rsidRPr="00B87455">
        <w:rPr>
          <w:rFonts w:ascii="Times New Roman" w:hAnsi="Times New Roman"/>
          <w:sz w:val="24"/>
          <w:szCs w:val="24"/>
        </w:rPr>
        <w:t xml:space="preserve">než </w:t>
      </w:r>
      <w:r w:rsidR="00C46592" w:rsidRPr="00B87455">
        <w:rPr>
          <w:rFonts w:ascii="Times New Roman" w:hAnsi="Times New Roman"/>
          <w:sz w:val="24"/>
          <w:szCs w:val="24"/>
        </w:rPr>
        <w:t xml:space="preserve">legislativních </w:t>
      </w:r>
      <w:r w:rsidR="008168DF" w:rsidRPr="00B87455">
        <w:rPr>
          <w:rFonts w:ascii="Times New Roman" w:hAnsi="Times New Roman"/>
          <w:sz w:val="24"/>
          <w:szCs w:val="24"/>
        </w:rPr>
        <w:t>předpisů není dostatečná k</w:t>
      </w:r>
      <w:r w:rsidR="0038289E" w:rsidRPr="00B87455">
        <w:rPr>
          <w:rFonts w:ascii="Times New Roman" w:hAnsi="Times New Roman"/>
          <w:sz w:val="24"/>
          <w:szCs w:val="24"/>
        </w:rPr>
        <w:t> </w:t>
      </w:r>
      <w:r w:rsidR="008168DF" w:rsidRPr="00B87455">
        <w:rPr>
          <w:rFonts w:ascii="Times New Roman" w:hAnsi="Times New Roman"/>
          <w:sz w:val="24"/>
          <w:szCs w:val="24"/>
        </w:rPr>
        <w:t xml:space="preserve">tomu, aby </w:t>
      </w:r>
      <w:r w:rsidR="00C46592" w:rsidRPr="00B87455">
        <w:rPr>
          <w:rFonts w:ascii="Times New Roman" w:hAnsi="Times New Roman"/>
          <w:sz w:val="24"/>
          <w:szCs w:val="24"/>
        </w:rPr>
        <w:t xml:space="preserve">efektivně </w:t>
      </w:r>
      <w:r w:rsidR="008168DF" w:rsidRPr="00B87455">
        <w:rPr>
          <w:rFonts w:ascii="Times New Roman" w:hAnsi="Times New Roman"/>
          <w:sz w:val="24"/>
          <w:szCs w:val="24"/>
        </w:rPr>
        <w:t>zajistila snížení či odstranění rizik a</w:t>
      </w:r>
      <w:r w:rsidR="0038289E" w:rsidRPr="00B87455">
        <w:rPr>
          <w:rFonts w:ascii="Times New Roman" w:hAnsi="Times New Roman"/>
          <w:sz w:val="24"/>
          <w:szCs w:val="24"/>
        </w:rPr>
        <w:t> </w:t>
      </w:r>
      <w:r w:rsidR="008168DF" w:rsidRPr="00B87455">
        <w:rPr>
          <w:rFonts w:ascii="Times New Roman" w:hAnsi="Times New Roman"/>
          <w:sz w:val="24"/>
          <w:szCs w:val="24"/>
        </w:rPr>
        <w:t xml:space="preserve">nastolení cílového stavu. </w:t>
      </w:r>
      <w:r w:rsidR="00024686" w:rsidRPr="00B87455">
        <w:rPr>
          <w:rFonts w:ascii="Times New Roman" w:hAnsi="Times New Roman"/>
          <w:sz w:val="24"/>
          <w:szCs w:val="24"/>
        </w:rPr>
        <w:t>Jiné než právní</w:t>
      </w:r>
      <w:r w:rsidR="008168DF" w:rsidRPr="00B87455">
        <w:rPr>
          <w:rFonts w:ascii="Times New Roman" w:hAnsi="Times New Roman"/>
          <w:sz w:val="24"/>
          <w:szCs w:val="24"/>
        </w:rPr>
        <w:t xml:space="preserve"> předpisy, jakými jsou například </w:t>
      </w:r>
      <w:r w:rsidR="00FB0923" w:rsidRPr="00B87455">
        <w:rPr>
          <w:rFonts w:ascii="Times New Roman" w:hAnsi="Times New Roman"/>
          <w:sz w:val="24"/>
          <w:szCs w:val="24"/>
        </w:rPr>
        <w:t xml:space="preserve">pracovní </w:t>
      </w:r>
      <w:r w:rsidR="008168DF" w:rsidRPr="00B87455">
        <w:rPr>
          <w:rFonts w:ascii="Times New Roman" w:hAnsi="Times New Roman"/>
          <w:sz w:val="24"/>
          <w:szCs w:val="24"/>
        </w:rPr>
        <w:t>instrukce,</w:t>
      </w:r>
      <w:r w:rsidR="00FB0923" w:rsidRPr="00B87455">
        <w:rPr>
          <w:rFonts w:ascii="Times New Roman" w:hAnsi="Times New Roman"/>
          <w:sz w:val="24"/>
          <w:szCs w:val="24"/>
        </w:rPr>
        <w:t xml:space="preserve"> interní</w:t>
      </w:r>
      <w:r w:rsidR="004A1BD8" w:rsidRPr="00B87455">
        <w:rPr>
          <w:rFonts w:ascii="Times New Roman" w:hAnsi="Times New Roman"/>
          <w:sz w:val="24"/>
          <w:szCs w:val="24"/>
        </w:rPr>
        <w:t xml:space="preserve"> pokyny a</w:t>
      </w:r>
      <w:r w:rsidR="0038289E" w:rsidRPr="00B87455">
        <w:rPr>
          <w:rFonts w:ascii="Times New Roman" w:hAnsi="Times New Roman"/>
          <w:sz w:val="24"/>
          <w:szCs w:val="24"/>
        </w:rPr>
        <w:t> </w:t>
      </w:r>
      <w:r w:rsidR="00FB0923" w:rsidRPr="00B87455">
        <w:rPr>
          <w:rFonts w:ascii="Times New Roman" w:hAnsi="Times New Roman"/>
          <w:sz w:val="24"/>
          <w:szCs w:val="24"/>
        </w:rPr>
        <w:t>formuláře</w:t>
      </w:r>
      <w:r w:rsidR="004A1BD8" w:rsidRPr="00B87455">
        <w:rPr>
          <w:rFonts w:ascii="Times New Roman" w:hAnsi="Times New Roman"/>
          <w:sz w:val="24"/>
          <w:szCs w:val="24"/>
        </w:rPr>
        <w:t>,</w:t>
      </w:r>
      <w:r w:rsidR="00834AF4" w:rsidRPr="00B87455">
        <w:rPr>
          <w:rFonts w:ascii="Times New Roman" w:hAnsi="Times New Roman"/>
          <w:sz w:val="24"/>
          <w:szCs w:val="24"/>
        </w:rPr>
        <w:t xml:space="preserve"> nemají </w:t>
      </w:r>
      <w:r w:rsidR="00024686" w:rsidRPr="00B87455">
        <w:rPr>
          <w:rFonts w:ascii="Times New Roman" w:hAnsi="Times New Roman"/>
          <w:sz w:val="24"/>
          <w:szCs w:val="24"/>
        </w:rPr>
        <w:t xml:space="preserve">právní </w:t>
      </w:r>
      <w:r w:rsidR="00834AF4" w:rsidRPr="00B87455">
        <w:rPr>
          <w:rFonts w:ascii="Times New Roman" w:hAnsi="Times New Roman"/>
          <w:sz w:val="24"/>
          <w:szCs w:val="24"/>
        </w:rPr>
        <w:t>sílu a</w:t>
      </w:r>
      <w:r w:rsidR="0038289E" w:rsidRPr="00B87455">
        <w:rPr>
          <w:rFonts w:ascii="Times New Roman" w:hAnsi="Times New Roman"/>
          <w:sz w:val="24"/>
          <w:szCs w:val="24"/>
        </w:rPr>
        <w:t> </w:t>
      </w:r>
      <w:r w:rsidR="00834AF4" w:rsidRPr="00B87455">
        <w:rPr>
          <w:rFonts w:ascii="Times New Roman" w:hAnsi="Times New Roman"/>
          <w:sz w:val="24"/>
          <w:szCs w:val="24"/>
        </w:rPr>
        <w:t>tedy vymahatelnost zákona. S</w:t>
      </w:r>
      <w:r w:rsidR="0038289E" w:rsidRPr="00B87455">
        <w:rPr>
          <w:rFonts w:ascii="Times New Roman" w:hAnsi="Times New Roman"/>
          <w:sz w:val="24"/>
          <w:szCs w:val="24"/>
        </w:rPr>
        <w:t> </w:t>
      </w:r>
      <w:r w:rsidR="00834AF4" w:rsidRPr="00B87455">
        <w:rPr>
          <w:rFonts w:ascii="Times New Roman" w:hAnsi="Times New Roman"/>
          <w:sz w:val="24"/>
          <w:szCs w:val="24"/>
        </w:rPr>
        <w:t xml:space="preserve">ohledem na skutečnost, že </w:t>
      </w:r>
      <w:r w:rsidR="00024686" w:rsidRPr="00B87455">
        <w:rPr>
          <w:rFonts w:ascii="Times New Roman" w:hAnsi="Times New Roman"/>
          <w:sz w:val="24"/>
          <w:szCs w:val="24"/>
        </w:rPr>
        <w:t>tyto</w:t>
      </w:r>
      <w:r w:rsidR="00834AF4" w:rsidRPr="00B87455">
        <w:rPr>
          <w:rFonts w:ascii="Times New Roman" w:hAnsi="Times New Roman"/>
          <w:sz w:val="24"/>
          <w:szCs w:val="24"/>
        </w:rPr>
        <w:t xml:space="preserve"> předpisy </w:t>
      </w:r>
      <w:r w:rsidR="00A72BAD" w:rsidRPr="00B87455">
        <w:rPr>
          <w:rFonts w:ascii="Times New Roman" w:hAnsi="Times New Roman"/>
          <w:sz w:val="24"/>
          <w:szCs w:val="24"/>
        </w:rPr>
        <w:t xml:space="preserve">jsou vydávány </w:t>
      </w:r>
      <w:r w:rsidR="00834AF4" w:rsidRPr="00B87455">
        <w:rPr>
          <w:rFonts w:ascii="Times New Roman" w:hAnsi="Times New Roman"/>
          <w:sz w:val="24"/>
          <w:szCs w:val="24"/>
        </w:rPr>
        <w:t xml:space="preserve">samostatně zvlášť </w:t>
      </w:r>
      <w:r w:rsidR="00A72BAD" w:rsidRPr="00B87455">
        <w:rPr>
          <w:rFonts w:ascii="Times New Roman" w:hAnsi="Times New Roman"/>
          <w:sz w:val="24"/>
          <w:szCs w:val="24"/>
        </w:rPr>
        <w:t>jednotlivými</w:t>
      </w:r>
      <w:r w:rsidR="00C46592" w:rsidRPr="00B87455">
        <w:rPr>
          <w:rFonts w:ascii="Times New Roman" w:hAnsi="Times New Roman"/>
          <w:sz w:val="24"/>
          <w:szCs w:val="24"/>
        </w:rPr>
        <w:t xml:space="preserve"> </w:t>
      </w:r>
      <w:r w:rsidR="00834AF4" w:rsidRPr="00B87455">
        <w:rPr>
          <w:rFonts w:ascii="Times New Roman" w:hAnsi="Times New Roman"/>
          <w:sz w:val="24"/>
          <w:szCs w:val="24"/>
        </w:rPr>
        <w:t>orgány státní správy a</w:t>
      </w:r>
      <w:r w:rsidR="0038289E" w:rsidRPr="00B87455">
        <w:rPr>
          <w:rFonts w:ascii="Times New Roman" w:hAnsi="Times New Roman"/>
          <w:sz w:val="24"/>
          <w:szCs w:val="24"/>
        </w:rPr>
        <w:t> </w:t>
      </w:r>
      <w:r w:rsidR="00834AF4" w:rsidRPr="00B87455">
        <w:rPr>
          <w:rFonts w:ascii="Times New Roman" w:hAnsi="Times New Roman"/>
          <w:sz w:val="24"/>
          <w:szCs w:val="24"/>
        </w:rPr>
        <w:t>samosprávy, k</w:t>
      </w:r>
      <w:r w:rsidR="0038289E" w:rsidRPr="00B87455">
        <w:rPr>
          <w:rFonts w:ascii="Times New Roman" w:hAnsi="Times New Roman"/>
          <w:sz w:val="24"/>
          <w:szCs w:val="24"/>
        </w:rPr>
        <w:t> </w:t>
      </w:r>
      <w:r w:rsidR="00834AF4" w:rsidRPr="00B87455">
        <w:rPr>
          <w:rFonts w:ascii="Times New Roman" w:hAnsi="Times New Roman"/>
          <w:sz w:val="24"/>
          <w:szCs w:val="24"/>
        </w:rPr>
        <w:t>dosažení cílového stavu a</w:t>
      </w:r>
      <w:r w:rsidR="0038289E" w:rsidRPr="00B87455">
        <w:rPr>
          <w:rFonts w:ascii="Times New Roman" w:hAnsi="Times New Roman"/>
          <w:sz w:val="24"/>
          <w:szCs w:val="24"/>
        </w:rPr>
        <w:t> </w:t>
      </w:r>
      <w:r w:rsidR="00834AF4" w:rsidRPr="00B87455">
        <w:rPr>
          <w:rFonts w:ascii="Times New Roman" w:hAnsi="Times New Roman"/>
          <w:sz w:val="24"/>
          <w:szCs w:val="24"/>
        </w:rPr>
        <w:t>odstranění rizik je zapotřebí přijetí celého souboru takových předpisů. Jeho vznik je podmíněn důslednou věcnou a</w:t>
      </w:r>
      <w:r w:rsidR="0038289E" w:rsidRPr="00B87455">
        <w:rPr>
          <w:rFonts w:ascii="Times New Roman" w:hAnsi="Times New Roman"/>
          <w:sz w:val="24"/>
          <w:szCs w:val="24"/>
        </w:rPr>
        <w:t> </w:t>
      </w:r>
      <w:r w:rsidR="00834AF4" w:rsidRPr="00B87455">
        <w:rPr>
          <w:rFonts w:ascii="Times New Roman" w:hAnsi="Times New Roman"/>
          <w:sz w:val="24"/>
          <w:szCs w:val="24"/>
        </w:rPr>
        <w:t>časovou koordinací práce všech dotčených resortů, jinak není možné eliminaci rizik i</w:t>
      </w:r>
      <w:r w:rsidR="0038289E" w:rsidRPr="00B87455">
        <w:rPr>
          <w:rFonts w:ascii="Times New Roman" w:hAnsi="Times New Roman"/>
          <w:sz w:val="24"/>
          <w:szCs w:val="24"/>
        </w:rPr>
        <w:t> </w:t>
      </w:r>
      <w:r w:rsidR="00834AF4" w:rsidRPr="00B87455">
        <w:rPr>
          <w:rFonts w:ascii="Times New Roman" w:hAnsi="Times New Roman"/>
          <w:sz w:val="24"/>
          <w:szCs w:val="24"/>
        </w:rPr>
        <w:t xml:space="preserve">dosažení cílového stavu zajistit. </w:t>
      </w:r>
      <w:r w:rsidR="00C026C5" w:rsidRPr="00B87455">
        <w:rPr>
          <w:rFonts w:ascii="Times New Roman" w:hAnsi="Times New Roman"/>
          <w:sz w:val="24"/>
          <w:szCs w:val="24"/>
        </w:rPr>
        <w:t xml:space="preserve">Časová či věcná nesourodost celého souboru </w:t>
      </w:r>
      <w:r w:rsidR="00024686" w:rsidRPr="00B87455">
        <w:rPr>
          <w:rFonts w:ascii="Times New Roman" w:hAnsi="Times New Roman"/>
          <w:sz w:val="24"/>
          <w:szCs w:val="24"/>
        </w:rPr>
        <w:t>jiných než právních</w:t>
      </w:r>
      <w:r w:rsidR="00C026C5" w:rsidRPr="00B87455">
        <w:rPr>
          <w:rFonts w:ascii="Times New Roman" w:hAnsi="Times New Roman"/>
          <w:sz w:val="24"/>
          <w:szCs w:val="24"/>
        </w:rPr>
        <w:t xml:space="preserve"> předpis</w:t>
      </w:r>
      <w:r w:rsidR="00BD04D4" w:rsidRPr="00B87455">
        <w:rPr>
          <w:rFonts w:ascii="Times New Roman" w:hAnsi="Times New Roman"/>
          <w:sz w:val="24"/>
          <w:szCs w:val="24"/>
        </w:rPr>
        <w:t>ů nevede k</w:t>
      </w:r>
      <w:r w:rsidR="0038289E" w:rsidRPr="00B87455">
        <w:rPr>
          <w:rFonts w:ascii="Times New Roman" w:hAnsi="Times New Roman"/>
          <w:sz w:val="24"/>
          <w:szCs w:val="24"/>
        </w:rPr>
        <w:t> </w:t>
      </w:r>
      <w:r w:rsidR="00BD04D4" w:rsidRPr="00B87455">
        <w:rPr>
          <w:rFonts w:ascii="Times New Roman" w:hAnsi="Times New Roman"/>
          <w:sz w:val="24"/>
          <w:szCs w:val="24"/>
        </w:rPr>
        <w:t>naplnění cílů. Nižší</w:t>
      </w:r>
      <w:r w:rsidR="00C026C5" w:rsidRPr="00B87455">
        <w:rPr>
          <w:rFonts w:ascii="Times New Roman" w:hAnsi="Times New Roman"/>
          <w:sz w:val="24"/>
          <w:szCs w:val="24"/>
        </w:rPr>
        <w:t xml:space="preserve"> </w:t>
      </w:r>
      <w:r w:rsidR="0096609D" w:rsidRPr="00B87455">
        <w:rPr>
          <w:rFonts w:ascii="Times New Roman" w:hAnsi="Times New Roman"/>
          <w:sz w:val="24"/>
          <w:szCs w:val="24"/>
        </w:rPr>
        <w:t xml:space="preserve">právní </w:t>
      </w:r>
      <w:r w:rsidR="00C026C5" w:rsidRPr="00B87455">
        <w:rPr>
          <w:rFonts w:ascii="Times New Roman" w:hAnsi="Times New Roman"/>
          <w:sz w:val="24"/>
          <w:szCs w:val="24"/>
        </w:rPr>
        <w:t xml:space="preserve">síla </w:t>
      </w:r>
      <w:r w:rsidR="00024686" w:rsidRPr="00B87455">
        <w:rPr>
          <w:rFonts w:ascii="Times New Roman" w:hAnsi="Times New Roman"/>
          <w:sz w:val="24"/>
          <w:szCs w:val="24"/>
        </w:rPr>
        <w:t xml:space="preserve">jiných než právních </w:t>
      </w:r>
      <w:r w:rsidR="00C026C5" w:rsidRPr="00B87455">
        <w:rPr>
          <w:rFonts w:ascii="Times New Roman" w:hAnsi="Times New Roman"/>
          <w:sz w:val="24"/>
          <w:szCs w:val="24"/>
        </w:rPr>
        <w:t>předpisů znamená i</w:t>
      </w:r>
      <w:r w:rsidR="0038289E" w:rsidRPr="00B87455">
        <w:rPr>
          <w:rFonts w:ascii="Times New Roman" w:hAnsi="Times New Roman"/>
          <w:sz w:val="24"/>
          <w:szCs w:val="24"/>
        </w:rPr>
        <w:t> </w:t>
      </w:r>
      <w:r w:rsidR="00C026C5" w:rsidRPr="00B87455">
        <w:rPr>
          <w:rFonts w:ascii="Times New Roman" w:hAnsi="Times New Roman"/>
          <w:sz w:val="24"/>
          <w:szCs w:val="24"/>
        </w:rPr>
        <w:t>nižší stupeň vymahatelnosti, tedy opět riziko nenaplnění cílů.</w:t>
      </w:r>
      <w:r w:rsidR="0096609D" w:rsidRPr="00B87455">
        <w:rPr>
          <w:rFonts w:ascii="Times New Roman" w:hAnsi="Times New Roman"/>
          <w:sz w:val="24"/>
          <w:szCs w:val="24"/>
        </w:rPr>
        <w:t xml:space="preserve">  </w:t>
      </w:r>
    </w:p>
    <w:p w:rsidR="00502215" w:rsidRPr="00B87455" w:rsidRDefault="0005065D" w:rsidP="00F47500">
      <w:pPr>
        <w:ind w:left="360"/>
        <w:jc w:val="both"/>
        <w:rPr>
          <w:rFonts w:ascii="Times New Roman" w:hAnsi="Times New Roman"/>
          <w:sz w:val="24"/>
          <w:szCs w:val="24"/>
        </w:rPr>
      </w:pPr>
      <w:r w:rsidRPr="00B87455">
        <w:rPr>
          <w:rFonts w:ascii="Times New Roman" w:hAnsi="Times New Roman"/>
          <w:sz w:val="24"/>
          <w:szCs w:val="24"/>
        </w:rPr>
        <w:t xml:space="preserve">Nelze vyloučit </w:t>
      </w:r>
      <w:r w:rsidR="00FA71B9" w:rsidRPr="00B87455">
        <w:rPr>
          <w:rFonts w:ascii="Times New Roman" w:hAnsi="Times New Roman"/>
          <w:sz w:val="24"/>
          <w:szCs w:val="24"/>
        </w:rPr>
        <w:t>ani situaci</w:t>
      </w:r>
      <w:r w:rsidRPr="00B87455">
        <w:rPr>
          <w:rFonts w:ascii="Times New Roman" w:hAnsi="Times New Roman"/>
          <w:sz w:val="24"/>
          <w:szCs w:val="24"/>
        </w:rPr>
        <w:t xml:space="preserve">, kdy by některé kompetence veřejné správy upravené současným právním předpisem byly nově </w:t>
      </w:r>
      <w:r w:rsidR="00024686" w:rsidRPr="00B87455">
        <w:rPr>
          <w:rFonts w:ascii="Times New Roman" w:hAnsi="Times New Roman"/>
          <w:sz w:val="24"/>
          <w:szCs w:val="24"/>
        </w:rPr>
        <w:t>stanoveny v</w:t>
      </w:r>
      <w:r w:rsidR="0038289E" w:rsidRPr="00B87455">
        <w:rPr>
          <w:rFonts w:ascii="Times New Roman" w:hAnsi="Times New Roman"/>
          <w:sz w:val="24"/>
          <w:szCs w:val="24"/>
        </w:rPr>
        <w:t> </w:t>
      </w:r>
      <w:r w:rsidR="00024686" w:rsidRPr="00B87455">
        <w:rPr>
          <w:rFonts w:ascii="Times New Roman" w:hAnsi="Times New Roman"/>
          <w:sz w:val="24"/>
          <w:szCs w:val="24"/>
        </w:rPr>
        <w:t>těchto předpisech</w:t>
      </w:r>
      <w:r w:rsidRPr="00B87455">
        <w:rPr>
          <w:rFonts w:ascii="Times New Roman" w:hAnsi="Times New Roman"/>
          <w:sz w:val="24"/>
          <w:szCs w:val="24"/>
        </w:rPr>
        <w:t xml:space="preserve"> jiným orgánům</w:t>
      </w:r>
      <w:r w:rsidR="002B2AA2" w:rsidRPr="00B87455">
        <w:rPr>
          <w:rFonts w:ascii="Times New Roman" w:hAnsi="Times New Roman"/>
          <w:sz w:val="24"/>
          <w:szCs w:val="24"/>
        </w:rPr>
        <w:t>, což může způsobit kompetenční nesoulad a</w:t>
      </w:r>
      <w:r w:rsidR="0038289E" w:rsidRPr="00B87455">
        <w:rPr>
          <w:rFonts w:ascii="Times New Roman" w:hAnsi="Times New Roman"/>
          <w:sz w:val="24"/>
          <w:szCs w:val="24"/>
        </w:rPr>
        <w:t> </w:t>
      </w:r>
      <w:r w:rsidR="002B2AA2" w:rsidRPr="00B87455">
        <w:rPr>
          <w:rFonts w:ascii="Times New Roman" w:hAnsi="Times New Roman"/>
          <w:sz w:val="24"/>
          <w:szCs w:val="24"/>
        </w:rPr>
        <w:t>spory</w:t>
      </w:r>
      <w:r w:rsidRPr="00B87455">
        <w:rPr>
          <w:rFonts w:ascii="Times New Roman" w:hAnsi="Times New Roman"/>
          <w:sz w:val="24"/>
          <w:szCs w:val="24"/>
        </w:rPr>
        <w:t>.</w:t>
      </w:r>
    </w:p>
    <w:p w:rsidR="00502215" w:rsidRPr="00B87455" w:rsidRDefault="00502215" w:rsidP="003060E1">
      <w:pPr>
        <w:ind w:left="360"/>
        <w:rPr>
          <w:rFonts w:ascii="Times New Roman" w:hAnsi="Times New Roman"/>
          <w:sz w:val="24"/>
          <w:szCs w:val="24"/>
        </w:rPr>
      </w:pPr>
    </w:p>
    <w:p w:rsidR="00502215" w:rsidRPr="00B87455" w:rsidRDefault="00502215" w:rsidP="003060E1">
      <w:pPr>
        <w:ind w:left="360"/>
        <w:rPr>
          <w:rFonts w:ascii="Times New Roman" w:hAnsi="Times New Roman"/>
          <w:sz w:val="24"/>
          <w:szCs w:val="24"/>
        </w:rPr>
      </w:pPr>
      <w:r w:rsidRPr="00B87455">
        <w:rPr>
          <w:rFonts w:ascii="Times New Roman" w:hAnsi="Times New Roman"/>
          <w:sz w:val="24"/>
          <w:szCs w:val="24"/>
        </w:rPr>
        <w:lastRenderedPageBreak/>
        <w:t xml:space="preserve">c) </w:t>
      </w:r>
      <w:r w:rsidRPr="00B87455">
        <w:rPr>
          <w:rFonts w:ascii="Times New Roman" w:hAnsi="Times New Roman"/>
          <w:i/>
          <w:sz w:val="24"/>
          <w:szCs w:val="24"/>
        </w:rPr>
        <w:t>Varianta 2</w:t>
      </w:r>
    </w:p>
    <w:p w:rsidR="00521450" w:rsidRPr="00B87455" w:rsidRDefault="00502215" w:rsidP="00F47500">
      <w:pPr>
        <w:ind w:left="360"/>
        <w:jc w:val="both"/>
        <w:rPr>
          <w:rFonts w:ascii="Times New Roman" w:hAnsi="Times New Roman"/>
          <w:sz w:val="24"/>
          <w:szCs w:val="24"/>
        </w:rPr>
      </w:pPr>
      <w:r w:rsidRPr="00B87455">
        <w:rPr>
          <w:rFonts w:ascii="Times New Roman" w:hAnsi="Times New Roman"/>
          <w:sz w:val="24"/>
          <w:szCs w:val="24"/>
        </w:rPr>
        <w:t>Varianta novely existujícího právního předpisu v</w:t>
      </w:r>
      <w:r w:rsidR="0038289E" w:rsidRPr="00B87455">
        <w:rPr>
          <w:rFonts w:ascii="Times New Roman" w:hAnsi="Times New Roman"/>
          <w:sz w:val="24"/>
          <w:szCs w:val="24"/>
        </w:rPr>
        <w:t> </w:t>
      </w:r>
      <w:r w:rsidRPr="00B87455">
        <w:rPr>
          <w:rFonts w:ascii="Times New Roman" w:hAnsi="Times New Roman"/>
          <w:sz w:val="24"/>
          <w:szCs w:val="24"/>
        </w:rPr>
        <w:t>sobě skrývá potenciál naplnění cílů identifikovaných v</w:t>
      </w:r>
      <w:r w:rsidR="0038289E" w:rsidRPr="00B87455">
        <w:rPr>
          <w:rFonts w:ascii="Times New Roman" w:hAnsi="Times New Roman"/>
          <w:sz w:val="24"/>
          <w:szCs w:val="24"/>
        </w:rPr>
        <w:t> </w:t>
      </w:r>
      <w:r w:rsidRPr="00B87455">
        <w:rPr>
          <w:rFonts w:ascii="Times New Roman" w:hAnsi="Times New Roman"/>
          <w:sz w:val="24"/>
          <w:szCs w:val="24"/>
        </w:rPr>
        <w:t>průběhu konzultací a</w:t>
      </w:r>
      <w:r w:rsidR="0038289E" w:rsidRPr="00B87455">
        <w:rPr>
          <w:rFonts w:ascii="Times New Roman" w:hAnsi="Times New Roman"/>
          <w:sz w:val="24"/>
          <w:szCs w:val="24"/>
        </w:rPr>
        <w:t> </w:t>
      </w:r>
      <w:r w:rsidRPr="00B87455">
        <w:rPr>
          <w:rFonts w:ascii="Times New Roman" w:hAnsi="Times New Roman"/>
          <w:sz w:val="24"/>
          <w:szCs w:val="24"/>
        </w:rPr>
        <w:t>podstatnou eliminaci popsaných rizik. Charakterovým rysem varianty 2 je vysoká právní síla</w:t>
      </w:r>
      <w:r w:rsidR="00923E7B" w:rsidRPr="00B87455">
        <w:rPr>
          <w:rFonts w:ascii="Times New Roman" w:hAnsi="Times New Roman"/>
          <w:sz w:val="24"/>
          <w:szCs w:val="24"/>
        </w:rPr>
        <w:t>, vymahatelnost i</w:t>
      </w:r>
      <w:r w:rsidR="0038289E" w:rsidRPr="00B87455">
        <w:rPr>
          <w:rFonts w:ascii="Times New Roman" w:hAnsi="Times New Roman"/>
          <w:sz w:val="24"/>
          <w:szCs w:val="24"/>
        </w:rPr>
        <w:t> </w:t>
      </w:r>
      <w:r w:rsidRPr="00B87455">
        <w:rPr>
          <w:rFonts w:ascii="Times New Roman" w:hAnsi="Times New Roman"/>
          <w:sz w:val="24"/>
          <w:szCs w:val="24"/>
        </w:rPr>
        <w:t>stanovení nedělitelných práv a</w:t>
      </w:r>
      <w:r w:rsidR="0038289E" w:rsidRPr="00B87455">
        <w:rPr>
          <w:rFonts w:ascii="Times New Roman" w:hAnsi="Times New Roman"/>
          <w:sz w:val="24"/>
          <w:szCs w:val="24"/>
        </w:rPr>
        <w:t> </w:t>
      </w:r>
      <w:r w:rsidRPr="00B87455">
        <w:rPr>
          <w:rFonts w:ascii="Times New Roman" w:hAnsi="Times New Roman"/>
          <w:sz w:val="24"/>
          <w:szCs w:val="24"/>
        </w:rPr>
        <w:t>odpovědností jak na straně podnikatelské veřejnosti, tak státní správy.</w:t>
      </w:r>
      <w:r w:rsidR="0096609D" w:rsidRPr="00B87455">
        <w:rPr>
          <w:rFonts w:ascii="Times New Roman" w:hAnsi="Times New Roman"/>
          <w:sz w:val="24"/>
          <w:szCs w:val="24"/>
        </w:rPr>
        <w:t xml:space="preserve"> </w:t>
      </w:r>
      <w:r w:rsidR="007F071F" w:rsidRPr="00B87455">
        <w:rPr>
          <w:rFonts w:ascii="Times New Roman" w:hAnsi="Times New Roman"/>
          <w:sz w:val="24"/>
          <w:szCs w:val="24"/>
        </w:rPr>
        <w:t>Varianta 2 nabízí formát plošné</w:t>
      </w:r>
      <w:r w:rsidR="002225EC" w:rsidRPr="00B87455">
        <w:rPr>
          <w:rFonts w:ascii="Times New Roman" w:hAnsi="Times New Roman"/>
          <w:sz w:val="24"/>
          <w:szCs w:val="24"/>
        </w:rPr>
        <w:t>ho</w:t>
      </w:r>
      <w:r w:rsidR="007F071F" w:rsidRPr="00B87455">
        <w:rPr>
          <w:rFonts w:ascii="Times New Roman" w:hAnsi="Times New Roman"/>
          <w:sz w:val="24"/>
          <w:szCs w:val="24"/>
        </w:rPr>
        <w:t>, srozumitelné</w:t>
      </w:r>
      <w:r w:rsidR="002225EC" w:rsidRPr="00B87455">
        <w:rPr>
          <w:rFonts w:ascii="Times New Roman" w:hAnsi="Times New Roman"/>
          <w:sz w:val="24"/>
          <w:szCs w:val="24"/>
        </w:rPr>
        <w:t>ho</w:t>
      </w:r>
      <w:r w:rsidR="007F071F" w:rsidRPr="00B87455">
        <w:rPr>
          <w:rFonts w:ascii="Times New Roman" w:hAnsi="Times New Roman"/>
          <w:sz w:val="24"/>
          <w:szCs w:val="24"/>
        </w:rPr>
        <w:t>, časově jednotné</w:t>
      </w:r>
      <w:r w:rsidR="002225EC" w:rsidRPr="00B87455">
        <w:rPr>
          <w:rFonts w:ascii="Times New Roman" w:hAnsi="Times New Roman"/>
          <w:sz w:val="24"/>
          <w:szCs w:val="24"/>
        </w:rPr>
        <w:t>ho</w:t>
      </w:r>
      <w:r w:rsidR="007F071F" w:rsidRPr="00B87455">
        <w:rPr>
          <w:rFonts w:ascii="Times New Roman" w:hAnsi="Times New Roman"/>
          <w:sz w:val="24"/>
          <w:szCs w:val="24"/>
        </w:rPr>
        <w:t xml:space="preserve"> a</w:t>
      </w:r>
      <w:r w:rsidR="0038289E" w:rsidRPr="00B87455">
        <w:rPr>
          <w:rFonts w:ascii="Times New Roman" w:hAnsi="Times New Roman"/>
          <w:sz w:val="24"/>
          <w:szCs w:val="24"/>
        </w:rPr>
        <w:t> </w:t>
      </w:r>
      <w:r w:rsidR="007F071F" w:rsidRPr="00B87455">
        <w:rPr>
          <w:rFonts w:ascii="Times New Roman" w:hAnsi="Times New Roman"/>
          <w:sz w:val="24"/>
          <w:szCs w:val="24"/>
        </w:rPr>
        <w:t>věcně zaměřené</w:t>
      </w:r>
      <w:r w:rsidR="002225EC" w:rsidRPr="00B87455">
        <w:rPr>
          <w:rFonts w:ascii="Times New Roman" w:hAnsi="Times New Roman"/>
          <w:sz w:val="24"/>
          <w:szCs w:val="24"/>
        </w:rPr>
        <w:t>ho</w:t>
      </w:r>
      <w:r w:rsidR="007F071F" w:rsidRPr="00B87455">
        <w:rPr>
          <w:rFonts w:ascii="Times New Roman" w:hAnsi="Times New Roman"/>
          <w:sz w:val="24"/>
          <w:szCs w:val="24"/>
        </w:rPr>
        <w:t xml:space="preserve"> řešení, akceptovatelné</w:t>
      </w:r>
      <w:r w:rsidR="002225EC" w:rsidRPr="00B87455">
        <w:rPr>
          <w:rFonts w:ascii="Times New Roman" w:hAnsi="Times New Roman"/>
          <w:sz w:val="24"/>
          <w:szCs w:val="24"/>
        </w:rPr>
        <w:t>ho</w:t>
      </w:r>
      <w:r w:rsidR="0096609D" w:rsidRPr="00B87455">
        <w:rPr>
          <w:rFonts w:ascii="Times New Roman" w:hAnsi="Times New Roman"/>
          <w:sz w:val="24"/>
          <w:szCs w:val="24"/>
        </w:rPr>
        <w:t xml:space="preserve"> </w:t>
      </w:r>
      <w:r w:rsidR="00D93782" w:rsidRPr="00B87455">
        <w:rPr>
          <w:rFonts w:ascii="Times New Roman" w:hAnsi="Times New Roman"/>
          <w:sz w:val="24"/>
          <w:szCs w:val="24"/>
        </w:rPr>
        <w:t>a</w:t>
      </w:r>
      <w:r w:rsidR="0038289E" w:rsidRPr="00B87455">
        <w:rPr>
          <w:rFonts w:ascii="Times New Roman" w:hAnsi="Times New Roman"/>
          <w:sz w:val="24"/>
          <w:szCs w:val="24"/>
        </w:rPr>
        <w:t> </w:t>
      </w:r>
      <w:r w:rsidR="00D93782" w:rsidRPr="00B87455">
        <w:rPr>
          <w:rFonts w:ascii="Times New Roman" w:hAnsi="Times New Roman"/>
          <w:sz w:val="24"/>
          <w:szCs w:val="24"/>
        </w:rPr>
        <w:t>zejména proveditelné</w:t>
      </w:r>
      <w:r w:rsidR="002225EC" w:rsidRPr="00B87455">
        <w:rPr>
          <w:rFonts w:ascii="Times New Roman" w:hAnsi="Times New Roman"/>
          <w:sz w:val="24"/>
          <w:szCs w:val="24"/>
        </w:rPr>
        <w:t>ho</w:t>
      </w:r>
      <w:r w:rsidR="0096609D" w:rsidRPr="00B87455">
        <w:rPr>
          <w:rFonts w:ascii="Times New Roman" w:hAnsi="Times New Roman"/>
          <w:sz w:val="24"/>
          <w:szCs w:val="24"/>
        </w:rPr>
        <w:t xml:space="preserve"> </w:t>
      </w:r>
      <w:r w:rsidR="007F071F" w:rsidRPr="00B87455">
        <w:rPr>
          <w:rFonts w:ascii="Times New Roman" w:hAnsi="Times New Roman"/>
          <w:sz w:val="24"/>
          <w:szCs w:val="24"/>
        </w:rPr>
        <w:t xml:space="preserve">všemi dotčenými subjekty. </w:t>
      </w:r>
      <w:r w:rsidR="00D93782" w:rsidRPr="00B87455">
        <w:rPr>
          <w:rFonts w:ascii="Times New Roman" w:hAnsi="Times New Roman"/>
          <w:sz w:val="24"/>
          <w:szCs w:val="24"/>
        </w:rPr>
        <w:t>Tato varianta ne</w:t>
      </w:r>
      <w:r w:rsidR="001E3418" w:rsidRPr="00B87455">
        <w:rPr>
          <w:rFonts w:ascii="Times New Roman" w:hAnsi="Times New Roman"/>
          <w:sz w:val="24"/>
          <w:szCs w:val="24"/>
        </w:rPr>
        <w:t xml:space="preserve">zakládá </w:t>
      </w:r>
      <w:r w:rsidR="00D93782" w:rsidRPr="00B87455">
        <w:rPr>
          <w:rFonts w:ascii="Times New Roman" w:hAnsi="Times New Roman"/>
          <w:sz w:val="24"/>
          <w:szCs w:val="24"/>
        </w:rPr>
        <w:t>nové kompetence veřejné správy.</w:t>
      </w:r>
    </w:p>
    <w:p w:rsidR="00521450" w:rsidRPr="00B87455" w:rsidRDefault="00521450" w:rsidP="003060E1">
      <w:pPr>
        <w:ind w:left="360"/>
        <w:rPr>
          <w:rFonts w:ascii="Times New Roman" w:hAnsi="Times New Roman"/>
          <w:sz w:val="24"/>
          <w:szCs w:val="24"/>
        </w:rPr>
      </w:pPr>
    </w:p>
    <w:p w:rsidR="00521450" w:rsidRPr="00B87455" w:rsidRDefault="00521450" w:rsidP="003060E1">
      <w:pPr>
        <w:ind w:left="360"/>
        <w:rPr>
          <w:rFonts w:ascii="Times New Roman" w:hAnsi="Times New Roman"/>
          <w:b/>
          <w:sz w:val="24"/>
          <w:szCs w:val="24"/>
        </w:rPr>
      </w:pPr>
      <w:r w:rsidRPr="00B87455">
        <w:rPr>
          <w:rFonts w:ascii="Times New Roman" w:hAnsi="Times New Roman"/>
          <w:b/>
          <w:sz w:val="24"/>
          <w:szCs w:val="24"/>
        </w:rPr>
        <w:t>2.1. Přizpůsobení variant regulaci a</w:t>
      </w:r>
      <w:r w:rsidR="0038289E" w:rsidRPr="00B87455">
        <w:rPr>
          <w:rFonts w:ascii="Times New Roman" w:hAnsi="Times New Roman"/>
          <w:b/>
          <w:sz w:val="24"/>
          <w:szCs w:val="24"/>
        </w:rPr>
        <w:t> </w:t>
      </w:r>
      <w:r w:rsidRPr="00B87455">
        <w:rPr>
          <w:rFonts w:ascii="Times New Roman" w:hAnsi="Times New Roman"/>
          <w:b/>
          <w:sz w:val="24"/>
          <w:szCs w:val="24"/>
        </w:rPr>
        <w:t>její vynucování</w:t>
      </w:r>
    </w:p>
    <w:p w:rsidR="00BE48E0" w:rsidRDefault="00715205" w:rsidP="00BE48E0">
      <w:pPr>
        <w:spacing w:after="0"/>
        <w:ind w:left="357"/>
        <w:jc w:val="both"/>
        <w:rPr>
          <w:rFonts w:ascii="Times New Roman" w:hAnsi="Times New Roman"/>
          <w:sz w:val="24"/>
          <w:szCs w:val="24"/>
        </w:rPr>
      </w:pPr>
      <w:r w:rsidRPr="00B87455">
        <w:rPr>
          <w:rFonts w:ascii="Times New Roman" w:hAnsi="Times New Roman"/>
          <w:i/>
          <w:sz w:val="24"/>
          <w:szCs w:val="24"/>
        </w:rPr>
        <w:t>Nulová varianta</w:t>
      </w:r>
      <w:r w:rsidRPr="00B87455">
        <w:rPr>
          <w:rFonts w:ascii="Times New Roman" w:hAnsi="Times New Roman"/>
          <w:sz w:val="24"/>
          <w:szCs w:val="24"/>
        </w:rPr>
        <w:t xml:space="preserve"> – nepřináší novou regulaci a</w:t>
      </w:r>
      <w:r w:rsidR="0038289E" w:rsidRPr="00B87455">
        <w:rPr>
          <w:rFonts w:ascii="Times New Roman" w:hAnsi="Times New Roman"/>
          <w:sz w:val="24"/>
          <w:szCs w:val="24"/>
        </w:rPr>
        <w:t> </w:t>
      </w:r>
      <w:r w:rsidRPr="00B87455">
        <w:rPr>
          <w:rFonts w:ascii="Times New Roman" w:hAnsi="Times New Roman"/>
          <w:sz w:val="24"/>
          <w:szCs w:val="24"/>
        </w:rPr>
        <w:t>nemění způsob ani mechanismus vynucování již existujících povinností</w:t>
      </w:r>
      <w:r w:rsidR="003829C2" w:rsidRPr="00B87455">
        <w:rPr>
          <w:rFonts w:ascii="Times New Roman" w:hAnsi="Times New Roman"/>
          <w:sz w:val="24"/>
          <w:szCs w:val="24"/>
        </w:rPr>
        <w:t>, nevede však k</w:t>
      </w:r>
      <w:r w:rsidR="0038289E" w:rsidRPr="00B87455">
        <w:rPr>
          <w:rFonts w:ascii="Times New Roman" w:hAnsi="Times New Roman"/>
          <w:sz w:val="24"/>
          <w:szCs w:val="24"/>
        </w:rPr>
        <w:t> </w:t>
      </w:r>
      <w:r w:rsidR="003829C2" w:rsidRPr="00B87455">
        <w:rPr>
          <w:rFonts w:ascii="Times New Roman" w:hAnsi="Times New Roman"/>
          <w:sz w:val="24"/>
          <w:szCs w:val="24"/>
        </w:rPr>
        <w:t>naplnění cílů</w:t>
      </w:r>
      <w:r w:rsidR="00BE48E0">
        <w:rPr>
          <w:rFonts w:ascii="Times New Roman" w:hAnsi="Times New Roman"/>
          <w:sz w:val="24"/>
          <w:szCs w:val="24"/>
        </w:rPr>
        <w:t>.</w:t>
      </w:r>
    </w:p>
    <w:p w:rsidR="00BE48E0" w:rsidRDefault="00BE48E0" w:rsidP="00BE48E0">
      <w:pPr>
        <w:spacing w:after="0"/>
        <w:ind w:left="357"/>
        <w:jc w:val="both"/>
        <w:rPr>
          <w:rFonts w:ascii="Times New Roman" w:hAnsi="Times New Roman"/>
          <w:sz w:val="24"/>
          <w:szCs w:val="24"/>
        </w:rPr>
      </w:pPr>
    </w:p>
    <w:p w:rsidR="00BE48E0" w:rsidRDefault="00715205" w:rsidP="00F47500">
      <w:pPr>
        <w:ind w:left="360"/>
        <w:jc w:val="both"/>
        <w:rPr>
          <w:rFonts w:ascii="Times New Roman" w:hAnsi="Times New Roman"/>
          <w:sz w:val="24"/>
          <w:szCs w:val="24"/>
        </w:rPr>
      </w:pPr>
      <w:r w:rsidRPr="00B87455">
        <w:rPr>
          <w:rFonts w:ascii="Times New Roman" w:hAnsi="Times New Roman"/>
          <w:i/>
          <w:sz w:val="24"/>
          <w:szCs w:val="24"/>
        </w:rPr>
        <w:t>Varianta 1</w:t>
      </w:r>
      <w:r w:rsidRPr="00B87455">
        <w:rPr>
          <w:rFonts w:ascii="Times New Roman" w:hAnsi="Times New Roman"/>
          <w:sz w:val="24"/>
          <w:szCs w:val="24"/>
        </w:rPr>
        <w:t xml:space="preserve"> – nutně znamená </w:t>
      </w:r>
      <w:r w:rsidR="003829C2" w:rsidRPr="00B87455">
        <w:rPr>
          <w:rFonts w:ascii="Times New Roman" w:hAnsi="Times New Roman"/>
          <w:sz w:val="24"/>
          <w:szCs w:val="24"/>
        </w:rPr>
        <w:t>pokus</w:t>
      </w:r>
      <w:r w:rsidRPr="00B87455">
        <w:rPr>
          <w:rFonts w:ascii="Times New Roman" w:hAnsi="Times New Roman"/>
          <w:sz w:val="24"/>
          <w:szCs w:val="24"/>
        </w:rPr>
        <w:t xml:space="preserve"> o</w:t>
      </w:r>
      <w:r w:rsidR="0038289E" w:rsidRPr="00B87455">
        <w:rPr>
          <w:rFonts w:ascii="Times New Roman" w:hAnsi="Times New Roman"/>
          <w:sz w:val="24"/>
          <w:szCs w:val="24"/>
        </w:rPr>
        <w:t> </w:t>
      </w:r>
      <w:r w:rsidRPr="00B87455">
        <w:rPr>
          <w:rFonts w:ascii="Times New Roman" w:hAnsi="Times New Roman"/>
          <w:sz w:val="24"/>
          <w:szCs w:val="24"/>
        </w:rPr>
        <w:t>přenos regulace z</w:t>
      </w:r>
      <w:r w:rsidR="0038289E" w:rsidRPr="00B87455">
        <w:rPr>
          <w:rFonts w:ascii="Times New Roman" w:hAnsi="Times New Roman"/>
          <w:sz w:val="24"/>
          <w:szCs w:val="24"/>
        </w:rPr>
        <w:t> </w:t>
      </w:r>
      <w:r w:rsidRPr="00B87455">
        <w:rPr>
          <w:rFonts w:ascii="Times New Roman" w:hAnsi="Times New Roman"/>
          <w:sz w:val="24"/>
          <w:szCs w:val="24"/>
        </w:rPr>
        <w:t xml:space="preserve">existujícího právního předpisu na předpisy </w:t>
      </w:r>
      <w:r w:rsidR="00024686" w:rsidRPr="00B87455">
        <w:rPr>
          <w:rFonts w:ascii="Times New Roman" w:hAnsi="Times New Roman"/>
          <w:sz w:val="24"/>
          <w:szCs w:val="24"/>
        </w:rPr>
        <w:t>jiné než</w:t>
      </w:r>
      <w:r w:rsidRPr="00B87455">
        <w:rPr>
          <w:rFonts w:ascii="Times New Roman" w:hAnsi="Times New Roman"/>
          <w:sz w:val="24"/>
          <w:szCs w:val="24"/>
        </w:rPr>
        <w:t xml:space="preserve"> právní síly. Znamená rovněž vyšší administrativní zátěž na straně státní správy i</w:t>
      </w:r>
      <w:r w:rsidR="0038289E" w:rsidRPr="00B87455">
        <w:rPr>
          <w:rFonts w:ascii="Times New Roman" w:hAnsi="Times New Roman"/>
          <w:sz w:val="24"/>
          <w:szCs w:val="24"/>
        </w:rPr>
        <w:t> </w:t>
      </w:r>
      <w:r w:rsidRPr="00B87455">
        <w:rPr>
          <w:rFonts w:ascii="Times New Roman" w:hAnsi="Times New Roman"/>
          <w:sz w:val="24"/>
          <w:szCs w:val="24"/>
        </w:rPr>
        <w:t>podnikatelských subjektů způsoben</w:t>
      </w:r>
      <w:r w:rsidR="00D36052" w:rsidRPr="00B87455">
        <w:rPr>
          <w:rFonts w:ascii="Times New Roman" w:hAnsi="Times New Roman"/>
          <w:sz w:val="24"/>
          <w:szCs w:val="24"/>
        </w:rPr>
        <w:t>ou</w:t>
      </w:r>
      <w:r w:rsidRPr="00B87455">
        <w:rPr>
          <w:rFonts w:ascii="Times New Roman" w:hAnsi="Times New Roman"/>
          <w:sz w:val="24"/>
          <w:szCs w:val="24"/>
        </w:rPr>
        <w:t xml:space="preserve"> novým počtem předpisů a</w:t>
      </w:r>
      <w:r w:rsidR="0038289E" w:rsidRPr="00B87455">
        <w:rPr>
          <w:rFonts w:ascii="Times New Roman" w:hAnsi="Times New Roman"/>
          <w:sz w:val="24"/>
          <w:szCs w:val="24"/>
        </w:rPr>
        <w:t> </w:t>
      </w:r>
      <w:r w:rsidRPr="00B87455">
        <w:rPr>
          <w:rFonts w:ascii="Times New Roman" w:hAnsi="Times New Roman"/>
          <w:sz w:val="24"/>
          <w:szCs w:val="24"/>
        </w:rPr>
        <w:t>do nich případně přenesených povinností, které by měly vést k</w:t>
      </w:r>
      <w:r w:rsidR="0038289E" w:rsidRPr="00B87455">
        <w:rPr>
          <w:rFonts w:ascii="Times New Roman" w:hAnsi="Times New Roman"/>
          <w:sz w:val="24"/>
          <w:szCs w:val="24"/>
        </w:rPr>
        <w:t> </w:t>
      </w:r>
      <w:r w:rsidRPr="00B87455">
        <w:rPr>
          <w:rFonts w:ascii="Times New Roman" w:hAnsi="Times New Roman"/>
          <w:sz w:val="24"/>
          <w:szCs w:val="24"/>
        </w:rPr>
        <w:t xml:space="preserve">naplnění </w:t>
      </w:r>
      <w:r w:rsidR="00D36052" w:rsidRPr="00B87455">
        <w:rPr>
          <w:rFonts w:ascii="Times New Roman" w:hAnsi="Times New Roman"/>
          <w:sz w:val="24"/>
          <w:szCs w:val="24"/>
        </w:rPr>
        <w:t xml:space="preserve">jednotlivých </w:t>
      </w:r>
      <w:r w:rsidR="00AA2CED" w:rsidRPr="00B87455">
        <w:rPr>
          <w:rFonts w:ascii="Times New Roman" w:hAnsi="Times New Roman"/>
          <w:sz w:val="24"/>
          <w:szCs w:val="24"/>
        </w:rPr>
        <w:t>cílů, a</w:t>
      </w:r>
      <w:r w:rsidR="0038289E" w:rsidRPr="00B87455">
        <w:rPr>
          <w:rFonts w:ascii="Times New Roman" w:hAnsi="Times New Roman"/>
          <w:sz w:val="24"/>
          <w:szCs w:val="24"/>
        </w:rPr>
        <w:t> </w:t>
      </w:r>
      <w:r w:rsidR="00AA2CED" w:rsidRPr="00B87455">
        <w:rPr>
          <w:rFonts w:ascii="Times New Roman" w:hAnsi="Times New Roman"/>
          <w:sz w:val="24"/>
          <w:szCs w:val="24"/>
        </w:rPr>
        <w:t xml:space="preserve">to vše při snížené možnosti vynucování, dané samotným charakterem </w:t>
      </w:r>
      <w:r w:rsidR="00024686" w:rsidRPr="00B87455">
        <w:rPr>
          <w:rFonts w:ascii="Times New Roman" w:hAnsi="Times New Roman"/>
          <w:sz w:val="24"/>
          <w:szCs w:val="24"/>
        </w:rPr>
        <w:t>jiných než právních</w:t>
      </w:r>
      <w:r w:rsidR="003829C2" w:rsidRPr="00B87455">
        <w:rPr>
          <w:rFonts w:ascii="Times New Roman" w:hAnsi="Times New Roman"/>
          <w:sz w:val="24"/>
          <w:szCs w:val="24"/>
        </w:rPr>
        <w:t xml:space="preserve"> předpisů.</w:t>
      </w:r>
      <w:r w:rsidR="00A77B9F" w:rsidRPr="00B87455">
        <w:rPr>
          <w:rFonts w:ascii="Times New Roman" w:hAnsi="Times New Roman"/>
          <w:sz w:val="24"/>
          <w:szCs w:val="24"/>
        </w:rPr>
        <w:t xml:space="preserve"> Varianta 1 může, za popsaných okolností, směřovat k</w:t>
      </w:r>
      <w:r w:rsidR="0038289E" w:rsidRPr="00B87455">
        <w:rPr>
          <w:rFonts w:ascii="Times New Roman" w:hAnsi="Times New Roman"/>
          <w:sz w:val="24"/>
          <w:szCs w:val="24"/>
        </w:rPr>
        <w:t> </w:t>
      </w:r>
      <w:r w:rsidR="00A77B9F" w:rsidRPr="00B87455">
        <w:rPr>
          <w:rFonts w:ascii="Times New Roman" w:hAnsi="Times New Roman"/>
          <w:sz w:val="24"/>
          <w:szCs w:val="24"/>
        </w:rPr>
        <w:t xml:space="preserve">dosažení </w:t>
      </w:r>
      <w:r w:rsidR="006244F2" w:rsidRPr="00B87455">
        <w:rPr>
          <w:rFonts w:ascii="Times New Roman" w:hAnsi="Times New Roman"/>
          <w:sz w:val="24"/>
          <w:szCs w:val="24"/>
        </w:rPr>
        <w:t xml:space="preserve">pouze </w:t>
      </w:r>
      <w:r w:rsidR="00CC20A6" w:rsidRPr="00B87455">
        <w:rPr>
          <w:rFonts w:ascii="Times New Roman" w:hAnsi="Times New Roman"/>
          <w:sz w:val="24"/>
          <w:szCs w:val="24"/>
        </w:rPr>
        <w:t>limitované</w:t>
      </w:r>
      <w:r w:rsidR="00A77B9F" w:rsidRPr="00B87455">
        <w:rPr>
          <w:rFonts w:ascii="Times New Roman" w:hAnsi="Times New Roman"/>
          <w:sz w:val="24"/>
          <w:szCs w:val="24"/>
        </w:rPr>
        <w:t xml:space="preserve"> úrovně cílů</w:t>
      </w:r>
      <w:r w:rsidR="00CC20A6" w:rsidRPr="00B87455">
        <w:rPr>
          <w:rFonts w:ascii="Times New Roman" w:hAnsi="Times New Roman"/>
          <w:sz w:val="24"/>
          <w:szCs w:val="24"/>
        </w:rPr>
        <w:t xml:space="preserve"> a</w:t>
      </w:r>
      <w:r w:rsidR="0038289E" w:rsidRPr="00B87455">
        <w:rPr>
          <w:rFonts w:ascii="Times New Roman" w:hAnsi="Times New Roman"/>
          <w:sz w:val="24"/>
          <w:szCs w:val="24"/>
        </w:rPr>
        <w:t> </w:t>
      </w:r>
      <w:r w:rsidR="00CC20A6" w:rsidRPr="00B87455">
        <w:rPr>
          <w:rFonts w:ascii="Times New Roman" w:hAnsi="Times New Roman"/>
          <w:sz w:val="24"/>
          <w:szCs w:val="24"/>
        </w:rPr>
        <w:t xml:space="preserve">snížení úrovně některých rizik, </w:t>
      </w:r>
      <w:r w:rsidR="00D36052" w:rsidRPr="00B87455">
        <w:rPr>
          <w:rFonts w:ascii="Times New Roman" w:hAnsi="Times New Roman"/>
          <w:sz w:val="24"/>
          <w:szCs w:val="24"/>
        </w:rPr>
        <w:t xml:space="preserve">pro </w:t>
      </w:r>
      <w:r w:rsidR="00CC20A6" w:rsidRPr="00B87455">
        <w:rPr>
          <w:rFonts w:ascii="Times New Roman" w:hAnsi="Times New Roman"/>
          <w:sz w:val="24"/>
          <w:szCs w:val="24"/>
        </w:rPr>
        <w:t>jejichž řešení může uplatnit kompetenci jednotlivý orgán veřejné správy.</w:t>
      </w:r>
    </w:p>
    <w:p w:rsidR="00A77B9F" w:rsidRPr="00B87455" w:rsidRDefault="003829C2" w:rsidP="00F47500">
      <w:pPr>
        <w:ind w:left="360"/>
        <w:jc w:val="both"/>
        <w:rPr>
          <w:rFonts w:ascii="Times New Roman" w:hAnsi="Times New Roman"/>
          <w:sz w:val="24"/>
          <w:szCs w:val="24"/>
        </w:rPr>
      </w:pPr>
      <w:r w:rsidRPr="00B87455">
        <w:rPr>
          <w:rFonts w:ascii="Times New Roman" w:hAnsi="Times New Roman"/>
          <w:i/>
          <w:sz w:val="24"/>
          <w:szCs w:val="24"/>
        </w:rPr>
        <w:t>Varianta 2</w:t>
      </w:r>
      <w:r w:rsidRPr="00B87455">
        <w:rPr>
          <w:rFonts w:ascii="Times New Roman" w:hAnsi="Times New Roman"/>
          <w:sz w:val="24"/>
          <w:szCs w:val="24"/>
        </w:rPr>
        <w:t xml:space="preserve"> – v</w:t>
      </w:r>
      <w:r w:rsidR="0038289E" w:rsidRPr="00B87455">
        <w:rPr>
          <w:rFonts w:ascii="Times New Roman" w:hAnsi="Times New Roman"/>
          <w:sz w:val="24"/>
          <w:szCs w:val="24"/>
        </w:rPr>
        <w:t> </w:t>
      </w:r>
      <w:r w:rsidRPr="00B87455">
        <w:rPr>
          <w:rFonts w:ascii="Times New Roman" w:hAnsi="Times New Roman"/>
          <w:sz w:val="24"/>
          <w:szCs w:val="24"/>
        </w:rPr>
        <w:t>sobě přináší definované zákonné povinnosti dotčených subjektů. Reguluje požadavky na chování zejména podnikatelských subjektů v</w:t>
      </w:r>
      <w:r w:rsidR="0038289E" w:rsidRPr="00B87455">
        <w:rPr>
          <w:rFonts w:ascii="Times New Roman" w:hAnsi="Times New Roman"/>
          <w:sz w:val="24"/>
          <w:szCs w:val="24"/>
        </w:rPr>
        <w:t> </w:t>
      </w:r>
      <w:r w:rsidRPr="00B87455">
        <w:rPr>
          <w:rFonts w:ascii="Times New Roman" w:hAnsi="Times New Roman"/>
          <w:sz w:val="24"/>
          <w:szCs w:val="24"/>
        </w:rPr>
        <w:t>části evidenční povinnosti, jejíž důležitost pro naplnění cílů je reflektována v</w:t>
      </w:r>
      <w:r w:rsidR="0038289E" w:rsidRPr="00B87455">
        <w:rPr>
          <w:rFonts w:ascii="Times New Roman" w:hAnsi="Times New Roman"/>
          <w:sz w:val="24"/>
          <w:szCs w:val="24"/>
        </w:rPr>
        <w:t> </w:t>
      </w:r>
      <w:r w:rsidRPr="00B87455">
        <w:rPr>
          <w:rFonts w:ascii="Times New Roman" w:hAnsi="Times New Roman"/>
          <w:sz w:val="24"/>
          <w:szCs w:val="24"/>
        </w:rPr>
        <w:t>sankční části</w:t>
      </w:r>
      <w:r w:rsidR="00024686" w:rsidRPr="00B87455">
        <w:rPr>
          <w:rFonts w:ascii="Times New Roman" w:hAnsi="Times New Roman"/>
          <w:sz w:val="24"/>
          <w:szCs w:val="24"/>
        </w:rPr>
        <w:t xml:space="preserve"> zákona</w:t>
      </w:r>
      <w:r w:rsidRPr="00B87455">
        <w:rPr>
          <w:rFonts w:ascii="Times New Roman" w:hAnsi="Times New Roman"/>
          <w:sz w:val="24"/>
          <w:szCs w:val="24"/>
        </w:rPr>
        <w:t xml:space="preserve">. </w:t>
      </w:r>
      <w:r w:rsidR="006F6933" w:rsidRPr="00B87455">
        <w:rPr>
          <w:rFonts w:ascii="Times New Roman" w:hAnsi="Times New Roman"/>
          <w:sz w:val="24"/>
          <w:szCs w:val="24"/>
        </w:rPr>
        <w:t>Administrativní zatížení v</w:t>
      </w:r>
      <w:r w:rsidR="0038289E" w:rsidRPr="00B87455">
        <w:rPr>
          <w:rFonts w:ascii="Times New Roman" w:hAnsi="Times New Roman"/>
          <w:sz w:val="24"/>
          <w:szCs w:val="24"/>
        </w:rPr>
        <w:t> </w:t>
      </w:r>
      <w:r w:rsidR="006F6933" w:rsidRPr="00B87455">
        <w:rPr>
          <w:rFonts w:ascii="Times New Roman" w:hAnsi="Times New Roman"/>
          <w:sz w:val="24"/>
          <w:szCs w:val="24"/>
        </w:rPr>
        <w:t>tomto případě není regulací ve smyslu slova, neboť věcně obdobná evidenční povinnost již existuje</w:t>
      </w:r>
      <w:r w:rsidR="00736F76" w:rsidRPr="00B87455">
        <w:rPr>
          <w:rFonts w:ascii="Times New Roman" w:hAnsi="Times New Roman"/>
          <w:sz w:val="24"/>
          <w:szCs w:val="24"/>
        </w:rPr>
        <w:t>, nebo je dobrovolně praktikována</w:t>
      </w:r>
      <w:r w:rsidR="006F6933" w:rsidRPr="00B87455">
        <w:rPr>
          <w:rFonts w:ascii="Times New Roman" w:hAnsi="Times New Roman"/>
          <w:sz w:val="24"/>
          <w:szCs w:val="24"/>
        </w:rPr>
        <w:t xml:space="preserve">. </w:t>
      </w:r>
      <w:r w:rsidRPr="00B87455">
        <w:rPr>
          <w:rFonts w:ascii="Times New Roman" w:hAnsi="Times New Roman"/>
          <w:sz w:val="24"/>
          <w:szCs w:val="24"/>
        </w:rPr>
        <w:t>Pro velkou skupinu dotčených subjektů naproti tomu přináší posílení právní jistoty a</w:t>
      </w:r>
      <w:r w:rsidR="0038289E" w:rsidRPr="00B87455">
        <w:rPr>
          <w:rFonts w:ascii="Times New Roman" w:hAnsi="Times New Roman"/>
          <w:sz w:val="24"/>
          <w:szCs w:val="24"/>
        </w:rPr>
        <w:t> </w:t>
      </w:r>
      <w:r w:rsidRPr="00B87455">
        <w:rPr>
          <w:rFonts w:ascii="Times New Roman" w:hAnsi="Times New Roman"/>
          <w:sz w:val="24"/>
          <w:szCs w:val="24"/>
        </w:rPr>
        <w:t xml:space="preserve">to zcela bez prvků nové </w:t>
      </w:r>
      <w:r w:rsidR="00D36052" w:rsidRPr="00B87455">
        <w:rPr>
          <w:rFonts w:ascii="Times New Roman" w:hAnsi="Times New Roman"/>
          <w:sz w:val="24"/>
          <w:szCs w:val="24"/>
        </w:rPr>
        <w:t xml:space="preserve">zatěžující </w:t>
      </w:r>
      <w:r w:rsidRPr="00B87455">
        <w:rPr>
          <w:rFonts w:ascii="Times New Roman" w:hAnsi="Times New Roman"/>
          <w:sz w:val="24"/>
          <w:szCs w:val="24"/>
        </w:rPr>
        <w:t>regulace podnikatelského prostředí či zvýšené administrativy nebo nákladů.</w:t>
      </w:r>
    </w:p>
    <w:p w:rsidR="00BD4FC6" w:rsidRPr="00B87455" w:rsidRDefault="00A77B9F" w:rsidP="00F47500">
      <w:pPr>
        <w:ind w:left="360"/>
        <w:jc w:val="both"/>
        <w:rPr>
          <w:rFonts w:ascii="Times New Roman" w:hAnsi="Times New Roman"/>
          <w:sz w:val="24"/>
          <w:szCs w:val="24"/>
        </w:rPr>
      </w:pPr>
      <w:r w:rsidRPr="00B87455">
        <w:rPr>
          <w:rFonts w:ascii="Times New Roman" w:hAnsi="Times New Roman"/>
          <w:sz w:val="24"/>
          <w:szCs w:val="24"/>
        </w:rPr>
        <w:t>Z provedené analýzy plyne, že Nulová varianta nevede k</w:t>
      </w:r>
      <w:r w:rsidR="0038289E" w:rsidRPr="00B87455">
        <w:rPr>
          <w:rFonts w:ascii="Times New Roman" w:hAnsi="Times New Roman"/>
          <w:sz w:val="24"/>
          <w:szCs w:val="24"/>
        </w:rPr>
        <w:t> </w:t>
      </w:r>
      <w:r w:rsidRPr="00B87455">
        <w:rPr>
          <w:rFonts w:ascii="Times New Roman" w:hAnsi="Times New Roman"/>
          <w:sz w:val="24"/>
          <w:szCs w:val="24"/>
        </w:rPr>
        <w:t>naplnění cílů a</w:t>
      </w:r>
      <w:r w:rsidR="0038289E" w:rsidRPr="00B87455">
        <w:rPr>
          <w:rFonts w:ascii="Times New Roman" w:hAnsi="Times New Roman"/>
          <w:sz w:val="24"/>
          <w:szCs w:val="24"/>
        </w:rPr>
        <w:t> </w:t>
      </w:r>
      <w:r w:rsidRPr="00B87455">
        <w:rPr>
          <w:rFonts w:ascii="Times New Roman" w:hAnsi="Times New Roman"/>
          <w:sz w:val="24"/>
          <w:szCs w:val="24"/>
        </w:rPr>
        <w:t>je z</w:t>
      </w:r>
      <w:r w:rsidR="0038289E" w:rsidRPr="00B87455">
        <w:rPr>
          <w:rFonts w:ascii="Times New Roman" w:hAnsi="Times New Roman"/>
          <w:sz w:val="24"/>
          <w:szCs w:val="24"/>
        </w:rPr>
        <w:t> </w:t>
      </w:r>
      <w:r w:rsidRPr="00B87455">
        <w:rPr>
          <w:rFonts w:ascii="Times New Roman" w:hAnsi="Times New Roman"/>
          <w:sz w:val="24"/>
          <w:szCs w:val="24"/>
        </w:rPr>
        <w:t>dalšího hodnocení vyřazena.</w:t>
      </w:r>
    </w:p>
    <w:p w:rsidR="00BD4FC6" w:rsidRPr="00B87455" w:rsidRDefault="00BD4FC6" w:rsidP="003829C2">
      <w:pPr>
        <w:ind w:left="360"/>
        <w:rPr>
          <w:rFonts w:ascii="Times New Roman" w:hAnsi="Times New Roman"/>
          <w:b/>
          <w:sz w:val="24"/>
          <w:szCs w:val="24"/>
        </w:rPr>
      </w:pPr>
    </w:p>
    <w:p w:rsidR="00BD4FC6" w:rsidRPr="00B87455" w:rsidRDefault="00BD4FC6" w:rsidP="003829C2">
      <w:pPr>
        <w:ind w:left="360"/>
        <w:rPr>
          <w:rFonts w:ascii="Times New Roman" w:hAnsi="Times New Roman"/>
          <w:b/>
          <w:sz w:val="24"/>
          <w:szCs w:val="24"/>
        </w:rPr>
      </w:pPr>
      <w:r w:rsidRPr="00B87455">
        <w:rPr>
          <w:rFonts w:ascii="Times New Roman" w:hAnsi="Times New Roman"/>
          <w:b/>
          <w:sz w:val="24"/>
          <w:szCs w:val="24"/>
        </w:rPr>
        <w:t>3. Vyhodnocení nákladů a</w:t>
      </w:r>
      <w:r w:rsidR="0038289E" w:rsidRPr="00B87455">
        <w:rPr>
          <w:rFonts w:ascii="Times New Roman" w:hAnsi="Times New Roman"/>
          <w:b/>
          <w:sz w:val="24"/>
          <w:szCs w:val="24"/>
        </w:rPr>
        <w:t> </w:t>
      </w:r>
      <w:r w:rsidRPr="00B87455">
        <w:rPr>
          <w:rFonts w:ascii="Times New Roman" w:hAnsi="Times New Roman"/>
          <w:b/>
          <w:sz w:val="24"/>
          <w:szCs w:val="24"/>
        </w:rPr>
        <w:t>přínosů</w:t>
      </w:r>
    </w:p>
    <w:p w:rsidR="00A72BAD" w:rsidRPr="00B87455" w:rsidRDefault="00BD4FC6" w:rsidP="003829C2">
      <w:pPr>
        <w:ind w:left="360"/>
        <w:rPr>
          <w:rFonts w:ascii="Times New Roman" w:hAnsi="Times New Roman"/>
          <w:sz w:val="24"/>
          <w:szCs w:val="24"/>
        </w:rPr>
      </w:pPr>
      <w:r w:rsidRPr="00B87455">
        <w:rPr>
          <w:rFonts w:ascii="Times New Roman" w:hAnsi="Times New Roman"/>
          <w:b/>
          <w:sz w:val="24"/>
          <w:szCs w:val="24"/>
        </w:rPr>
        <w:t>3.1. Identifikace nákladů a</w:t>
      </w:r>
      <w:r w:rsidR="0038289E" w:rsidRPr="00B87455">
        <w:rPr>
          <w:rFonts w:ascii="Times New Roman" w:hAnsi="Times New Roman"/>
          <w:b/>
          <w:sz w:val="24"/>
          <w:szCs w:val="24"/>
        </w:rPr>
        <w:t> </w:t>
      </w:r>
      <w:r w:rsidRPr="00B87455">
        <w:rPr>
          <w:rFonts w:ascii="Times New Roman" w:hAnsi="Times New Roman"/>
          <w:b/>
          <w:sz w:val="24"/>
          <w:szCs w:val="24"/>
        </w:rPr>
        <w:t>přínosů</w:t>
      </w:r>
    </w:p>
    <w:p w:rsidR="00BE48E0" w:rsidRDefault="00BD4FC6" w:rsidP="00F47500">
      <w:pPr>
        <w:ind w:left="360"/>
        <w:jc w:val="both"/>
        <w:rPr>
          <w:rFonts w:ascii="Times New Roman" w:hAnsi="Times New Roman"/>
          <w:sz w:val="24"/>
          <w:szCs w:val="24"/>
        </w:rPr>
      </w:pPr>
      <w:r w:rsidRPr="00B87455">
        <w:rPr>
          <w:rFonts w:ascii="Times New Roman" w:hAnsi="Times New Roman"/>
          <w:sz w:val="24"/>
          <w:szCs w:val="24"/>
        </w:rPr>
        <w:br/>
        <w:t>Charakter kroků, které vedou k</w:t>
      </w:r>
      <w:r w:rsidR="0038289E" w:rsidRPr="00B87455">
        <w:rPr>
          <w:rFonts w:ascii="Times New Roman" w:hAnsi="Times New Roman"/>
          <w:sz w:val="24"/>
          <w:szCs w:val="24"/>
        </w:rPr>
        <w:t> </w:t>
      </w:r>
      <w:r w:rsidRPr="00B87455">
        <w:rPr>
          <w:rFonts w:ascii="Times New Roman" w:hAnsi="Times New Roman"/>
          <w:sz w:val="24"/>
          <w:szCs w:val="24"/>
        </w:rPr>
        <w:t>naplnění cílů a</w:t>
      </w:r>
      <w:r w:rsidR="0038289E" w:rsidRPr="00B87455">
        <w:rPr>
          <w:rFonts w:ascii="Times New Roman" w:hAnsi="Times New Roman"/>
          <w:sz w:val="24"/>
          <w:szCs w:val="24"/>
        </w:rPr>
        <w:t> </w:t>
      </w:r>
      <w:r w:rsidRPr="00B87455">
        <w:rPr>
          <w:rFonts w:ascii="Times New Roman" w:hAnsi="Times New Roman"/>
          <w:sz w:val="24"/>
          <w:szCs w:val="24"/>
        </w:rPr>
        <w:t>eliminaci identifikovaných rizik je z</w:t>
      </w:r>
      <w:r w:rsidR="0038289E" w:rsidRPr="00B87455">
        <w:rPr>
          <w:rFonts w:ascii="Times New Roman" w:hAnsi="Times New Roman"/>
          <w:sz w:val="24"/>
          <w:szCs w:val="24"/>
        </w:rPr>
        <w:t> </w:t>
      </w:r>
      <w:r w:rsidRPr="00B87455">
        <w:rPr>
          <w:rFonts w:ascii="Times New Roman" w:hAnsi="Times New Roman"/>
          <w:sz w:val="24"/>
          <w:szCs w:val="24"/>
        </w:rPr>
        <w:t>jejich podstaty diverzifikovaný. U</w:t>
      </w:r>
      <w:r w:rsidR="0038289E" w:rsidRPr="00B87455">
        <w:rPr>
          <w:rFonts w:ascii="Times New Roman" w:hAnsi="Times New Roman"/>
          <w:sz w:val="24"/>
          <w:szCs w:val="24"/>
        </w:rPr>
        <w:t> </w:t>
      </w:r>
      <w:r w:rsidRPr="00B87455">
        <w:rPr>
          <w:rFonts w:ascii="Times New Roman" w:hAnsi="Times New Roman"/>
          <w:sz w:val="24"/>
          <w:szCs w:val="24"/>
        </w:rPr>
        <w:t>těch kroků, bez ohledu na variantu k</w:t>
      </w:r>
      <w:r w:rsidR="0038289E" w:rsidRPr="00B87455">
        <w:rPr>
          <w:rFonts w:ascii="Times New Roman" w:hAnsi="Times New Roman"/>
          <w:sz w:val="24"/>
          <w:szCs w:val="24"/>
        </w:rPr>
        <w:t> </w:t>
      </w:r>
      <w:r w:rsidRPr="00B87455">
        <w:rPr>
          <w:rFonts w:ascii="Times New Roman" w:hAnsi="Times New Roman"/>
          <w:sz w:val="24"/>
          <w:szCs w:val="24"/>
        </w:rPr>
        <w:t xml:space="preserve">jejich dosažení, které </w:t>
      </w:r>
      <w:r w:rsidRPr="00B87455">
        <w:rPr>
          <w:rFonts w:ascii="Times New Roman" w:hAnsi="Times New Roman"/>
          <w:sz w:val="24"/>
          <w:szCs w:val="24"/>
        </w:rPr>
        <w:lastRenderedPageBreak/>
        <w:t>znamenají posílení právní jistoty dotčených skupin</w:t>
      </w:r>
      <w:r w:rsidR="00DA02C4" w:rsidRPr="00B87455">
        <w:rPr>
          <w:rFonts w:ascii="Times New Roman" w:hAnsi="Times New Roman"/>
          <w:sz w:val="24"/>
          <w:szCs w:val="24"/>
        </w:rPr>
        <w:t xml:space="preserve"> nelze jednoznačně hovořit o</w:t>
      </w:r>
      <w:r w:rsidR="0038289E" w:rsidRPr="00B87455">
        <w:rPr>
          <w:rFonts w:ascii="Times New Roman" w:hAnsi="Times New Roman"/>
          <w:sz w:val="24"/>
          <w:szCs w:val="24"/>
        </w:rPr>
        <w:t> </w:t>
      </w:r>
      <w:r w:rsidR="00DA02C4" w:rsidRPr="00B87455">
        <w:rPr>
          <w:rFonts w:ascii="Times New Roman" w:hAnsi="Times New Roman"/>
          <w:sz w:val="24"/>
          <w:szCs w:val="24"/>
        </w:rPr>
        <w:t xml:space="preserve">nákladech. Také jejich přínos lze definovat pouze jako potenciální nevynaložení </w:t>
      </w:r>
      <w:r w:rsidR="00BB1348" w:rsidRPr="00B87455">
        <w:rPr>
          <w:rFonts w:ascii="Times New Roman" w:hAnsi="Times New Roman"/>
          <w:sz w:val="24"/>
          <w:szCs w:val="24"/>
        </w:rPr>
        <w:t xml:space="preserve">nějakých </w:t>
      </w:r>
      <w:r w:rsidR="00DA02C4" w:rsidRPr="00B87455">
        <w:rPr>
          <w:rFonts w:ascii="Times New Roman" w:hAnsi="Times New Roman"/>
          <w:sz w:val="24"/>
          <w:szCs w:val="24"/>
        </w:rPr>
        <w:t>prostředků. A</w:t>
      </w:r>
      <w:r w:rsidR="0038289E" w:rsidRPr="00B87455">
        <w:rPr>
          <w:rFonts w:ascii="Times New Roman" w:hAnsi="Times New Roman"/>
          <w:sz w:val="24"/>
          <w:szCs w:val="24"/>
        </w:rPr>
        <w:t> </w:t>
      </w:r>
      <w:r w:rsidR="00DA02C4" w:rsidRPr="00B87455">
        <w:rPr>
          <w:rFonts w:ascii="Times New Roman" w:hAnsi="Times New Roman"/>
          <w:sz w:val="24"/>
          <w:szCs w:val="24"/>
        </w:rPr>
        <w:t>to prostředků buď přímo spojených s</w:t>
      </w:r>
      <w:r w:rsidR="0038289E" w:rsidRPr="00B87455">
        <w:rPr>
          <w:rFonts w:ascii="Times New Roman" w:hAnsi="Times New Roman"/>
          <w:sz w:val="24"/>
          <w:szCs w:val="24"/>
        </w:rPr>
        <w:t> </w:t>
      </w:r>
      <w:r w:rsidR="00DA02C4" w:rsidRPr="00B87455">
        <w:rPr>
          <w:rFonts w:ascii="Times New Roman" w:hAnsi="Times New Roman"/>
          <w:sz w:val="24"/>
          <w:szCs w:val="24"/>
        </w:rPr>
        <w:t>naplněním požadavku zákona při jeho extenzivním výkladu, nebo prostředků na případnou obhajobu (myšleno soudní) právního postavení.</w:t>
      </w:r>
    </w:p>
    <w:p w:rsidR="00BE48E0" w:rsidRDefault="00DA02C4" w:rsidP="00F47500">
      <w:pPr>
        <w:ind w:left="360"/>
        <w:jc w:val="both"/>
        <w:rPr>
          <w:rFonts w:ascii="Times New Roman" w:hAnsi="Times New Roman"/>
          <w:sz w:val="24"/>
          <w:szCs w:val="24"/>
        </w:rPr>
      </w:pPr>
      <w:r w:rsidRPr="00B87455">
        <w:rPr>
          <w:rFonts w:ascii="Times New Roman" w:hAnsi="Times New Roman"/>
          <w:sz w:val="24"/>
          <w:szCs w:val="24"/>
        </w:rPr>
        <w:t>U kroků vedoucích k</w:t>
      </w:r>
      <w:r w:rsidR="0038289E" w:rsidRPr="00B87455">
        <w:rPr>
          <w:rFonts w:ascii="Times New Roman" w:hAnsi="Times New Roman"/>
          <w:sz w:val="24"/>
          <w:szCs w:val="24"/>
        </w:rPr>
        <w:t> </w:t>
      </w:r>
      <w:r w:rsidRPr="00B87455">
        <w:rPr>
          <w:rFonts w:ascii="Times New Roman" w:hAnsi="Times New Roman"/>
          <w:sz w:val="24"/>
          <w:szCs w:val="24"/>
        </w:rPr>
        <w:t>dosažení cílového stavu v</w:t>
      </w:r>
      <w:r w:rsidR="0038289E" w:rsidRPr="00B87455">
        <w:rPr>
          <w:rFonts w:ascii="Times New Roman" w:hAnsi="Times New Roman"/>
          <w:sz w:val="24"/>
          <w:szCs w:val="24"/>
        </w:rPr>
        <w:t> </w:t>
      </w:r>
      <w:r w:rsidRPr="00B87455">
        <w:rPr>
          <w:rFonts w:ascii="Times New Roman" w:hAnsi="Times New Roman"/>
          <w:sz w:val="24"/>
          <w:szCs w:val="24"/>
        </w:rPr>
        <w:t>oblasti evidence subjektů nakládajících s</w:t>
      </w:r>
      <w:r w:rsidR="0038289E" w:rsidRPr="00B87455">
        <w:rPr>
          <w:rFonts w:ascii="Times New Roman" w:hAnsi="Times New Roman"/>
          <w:sz w:val="24"/>
          <w:szCs w:val="24"/>
        </w:rPr>
        <w:t> </w:t>
      </w:r>
      <w:r w:rsidRPr="00B87455">
        <w:rPr>
          <w:rFonts w:ascii="Times New Roman" w:hAnsi="Times New Roman"/>
          <w:sz w:val="24"/>
          <w:szCs w:val="24"/>
        </w:rPr>
        <w:t>pohonnými hmotami formou výdeje lze odhadnout náklady na takový jednorázový úkon. Přínos ze zkvalitněné evidence je pouze na straně veřejné správy pro lepší výkon jejích odpovědností. Data získaná z</w:t>
      </w:r>
      <w:r w:rsidR="0038289E" w:rsidRPr="00B87455">
        <w:rPr>
          <w:rFonts w:ascii="Times New Roman" w:hAnsi="Times New Roman"/>
          <w:sz w:val="24"/>
          <w:szCs w:val="24"/>
        </w:rPr>
        <w:t> </w:t>
      </w:r>
      <w:r w:rsidRPr="00B87455">
        <w:rPr>
          <w:rFonts w:ascii="Times New Roman" w:hAnsi="Times New Roman"/>
          <w:sz w:val="24"/>
          <w:szCs w:val="24"/>
        </w:rPr>
        <w:t xml:space="preserve">evidence míst, na kterých se pohonné hmoty pouze vydávají, </w:t>
      </w:r>
      <w:r w:rsidR="00024686" w:rsidRPr="00B87455">
        <w:rPr>
          <w:rFonts w:ascii="Times New Roman" w:hAnsi="Times New Roman"/>
          <w:sz w:val="24"/>
          <w:szCs w:val="24"/>
        </w:rPr>
        <w:t>tj. výdejních jednotek,</w:t>
      </w:r>
      <w:r w:rsidR="00BB1348" w:rsidRPr="00B87455">
        <w:rPr>
          <w:rFonts w:ascii="Times New Roman" w:hAnsi="Times New Roman"/>
          <w:sz w:val="24"/>
          <w:szCs w:val="24"/>
        </w:rPr>
        <w:t xml:space="preserve"> </w:t>
      </w:r>
      <w:r w:rsidRPr="00B87455">
        <w:rPr>
          <w:rFonts w:ascii="Times New Roman" w:hAnsi="Times New Roman"/>
          <w:sz w:val="24"/>
          <w:szCs w:val="24"/>
        </w:rPr>
        <w:t xml:space="preserve">jsou </w:t>
      </w:r>
      <w:r w:rsidR="008C7EDE" w:rsidRPr="00B87455">
        <w:rPr>
          <w:rFonts w:ascii="Times New Roman" w:hAnsi="Times New Roman"/>
          <w:sz w:val="24"/>
          <w:szCs w:val="24"/>
        </w:rPr>
        <w:t xml:space="preserve">totiž </w:t>
      </w:r>
      <w:r w:rsidRPr="00B87455">
        <w:rPr>
          <w:rFonts w:ascii="Times New Roman" w:hAnsi="Times New Roman"/>
          <w:sz w:val="24"/>
          <w:szCs w:val="24"/>
        </w:rPr>
        <w:t>z</w:t>
      </w:r>
      <w:r w:rsidR="0038289E" w:rsidRPr="00B87455">
        <w:rPr>
          <w:rFonts w:ascii="Times New Roman" w:hAnsi="Times New Roman"/>
          <w:sz w:val="24"/>
          <w:szCs w:val="24"/>
        </w:rPr>
        <w:t> </w:t>
      </w:r>
      <w:r w:rsidRPr="00B87455">
        <w:rPr>
          <w:rFonts w:ascii="Times New Roman" w:hAnsi="Times New Roman"/>
          <w:sz w:val="24"/>
          <w:szCs w:val="24"/>
        </w:rPr>
        <w:t>důvodů na straně zákona neveřejná.</w:t>
      </w:r>
    </w:p>
    <w:p w:rsidR="00BC0E17" w:rsidRPr="00B87455" w:rsidRDefault="00DA02C4" w:rsidP="00F47500">
      <w:pPr>
        <w:ind w:left="360"/>
        <w:jc w:val="both"/>
        <w:rPr>
          <w:rFonts w:ascii="Times New Roman" w:hAnsi="Times New Roman"/>
          <w:sz w:val="24"/>
          <w:szCs w:val="24"/>
        </w:rPr>
      </w:pPr>
      <w:r w:rsidRPr="00B87455">
        <w:rPr>
          <w:rFonts w:ascii="Times New Roman" w:hAnsi="Times New Roman"/>
          <w:sz w:val="24"/>
          <w:szCs w:val="24"/>
        </w:rPr>
        <w:t>U nové struktury dat při evidenci dobíjecích stanic jsou náklady obdobné jako u</w:t>
      </w:r>
      <w:r w:rsidR="0038289E" w:rsidRPr="00B87455">
        <w:rPr>
          <w:rFonts w:ascii="Times New Roman" w:hAnsi="Times New Roman"/>
          <w:sz w:val="24"/>
          <w:szCs w:val="24"/>
        </w:rPr>
        <w:t> </w:t>
      </w:r>
      <w:r w:rsidRPr="00B87455">
        <w:rPr>
          <w:rFonts w:ascii="Times New Roman" w:hAnsi="Times New Roman"/>
          <w:sz w:val="24"/>
          <w:szCs w:val="24"/>
        </w:rPr>
        <w:t>předchozího případu, tedy jednorázový administrativní úkon provedený prostřednictvím elektronické komunikace. Přínosy pro státn</w:t>
      </w:r>
      <w:r w:rsidR="00923A18" w:rsidRPr="00B87455">
        <w:rPr>
          <w:rFonts w:ascii="Times New Roman" w:hAnsi="Times New Roman"/>
          <w:sz w:val="24"/>
          <w:szCs w:val="24"/>
        </w:rPr>
        <w:t>í správu mají charakter přesnějšího přehledu o</w:t>
      </w:r>
      <w:r w:rsidR="0038289E" w:rsidRPr="00B87455">
        <w:rPr>
          <w:rFonts w:ascii="Times New Roman" w:hAnsi="Times New Roman"/>
          <w:sz w:val="24"/>
          <w:szCs w:val="24"/>
        </w:rPr>
        <w:t> </w:t>
      </w:r>
      <w:r w:rsidR="00923A18" w:rsidRPr="00B87455">
        <w:rPr>
          <w:rFonts w:ascii="Times New Roman" w:hAnsi="Times New Roman"/>
          <w:sz w:val="24"/>
          <w:szCs w:val="24"/>
        </w:rPr>
        <w:t>rozvíjejícím se odvětví a</w:t>
      </w:r>
      <w:r w:rsidR="0038289E" w:rsidRPr="00B87455">
        <w:rPr>
          <w:rFonts w:ascii="Times New Roman" w:hAnsi="Times New Roman"/>
          <w:sz w:val="24"/>
          <w:szCs w:val="24"/>
        </w:rPr>
        <w:t> </w:t>
      </w:r>
      <w:r w:rsidR="00923A18" w:rsidRPr="00B87455">
        <w:rPr>
          <w:rFonts w:ascii="Times New Roman" w:hAnsi="Times New Roman"/>
          <w:sz w:val="24"/>
          <w:szCs w:val="24"/>
        </w:rPr>
        <w:t>možnost</w:t>
      </w:r>
      <w:r w:rsidR="00BB1348" w:rsidRPr="00B87455">
        <w:rPr>
          <w:rFonts w:ascii="Times New Roman" w:hAnsi="Times New Roman"/>
          <w:sz w:val="24"/>
          <w:szCs w:val="24"/>
        </w:rPr>
        <w:t>i</w:t>
      </w:r>
      <w:r w:rsidR="00923A18" w:rsidRPr="00B87455">
        <w:rPr>
          <w:rFonts w:ascii="Times New Roman" w:hAnsi="Times New Roman"/>
          <w:sz w:val="24"/>
          <w:szCs w:val="24"/>
        </w:rPr>
        <w:t xml:space="preserve"> správněji plnit reportní povinnost směrem k</w:t>
      </w:r>
      <w:r w:rsidR="0038289E" w:rsidRPr="00B87455">
        <w:rPr>
          <w:rFonts w:ascii="Times New Roman" w:hAnsi="Times New Roman"/>
          <w:sz w:val="24"/>
          <w:szCs w:val="24"/>
        </w:rPr>
        <w:t> </w:t>
      </w:r>
      <w:r w:rsidR="00923A18" w:rsidRPr="00B87455">
        <w:rPr>
          <w:rFonts w:ascii="Times New Roman" w:hAnsi="Times New Roman"/>
          <w:sz w:val="24"/>
          <w:szCs w:val="24"/>
        </w:rPr>
        <w:t>orgánům EU. Pro dotčené subjekty aktivní v</w:t>
      </w:r>
      <w:r w:rsidR="0038289E" w:rsidRPr="00B87455">
        <w:rPr>
          <w:rFonts w:ascii="Times New Roman" w:hAnsi="Times New Roman"/>
          <w:sz w:val="24"/>
          <w:szCs w:val="24"/>
        </w:rPr>
        <w:t> </w:t>
      </w:r>
      <w:r w:rsidR="00923A18" w:rsidRPr="00B87455">
        <w:rPr>
          <w:rFonts w:ascii="Times New Roman" w:hAnsi="Times New Roman"/>
          <w:sz w:val="24"/>
          <w:szCs w:val="24"/>
        </w:rPr>
        <w:t xml:space="preserve">novém odvětví </w:t>
      </w:r>
      <w:r w:rsidR="00704D3F" w:rsidRPr="00B87455">
        <w:rPr>
          <w:rFonts w:ascii="Times New Roman" w:hAnsi="Times New Roman"/>
          <w:sz w:val="24"/>
          <w:szCs w:val="24"/>
        </w:rPr>
        <w:t>znamen</w:t>
      </w:r>
      <w:r w:rsidR="008C7EDE" w:rsidRPr="00B87455">
        <w:rPr>
          <w:rFonts w:ascii="Times New Roman" w:hAnsi="Times New Roman"/>
          <w:sz w:val="24"/>
          <w:szCs w:val="24"/>
        </w:rPr>
        <w:t>á</w:t>
      </w:r>
      <w:r w:rsidR="00704D3F" w:rsidRPr="00B87455">
        <w:rPr>
          <w:rFonts w:ascii="Times New Roman" w:hAnsi="Times New Roman"/>
          <w:sz w:val="24"/>
          <w:szCs w:val="24"/>
        </w:rPr>
        <w:t xml:space="preserve"> koncentrace a</w:t>
      </w:r>
      <w:r w:rsidR="0038289E" w:rsidRPr="00B87455">
        <w:rPr>
          <w:rFonts w:ascii="Times New Roman" w:hAnsi="Times New Roman"/>
          <w:sz w:val="24"/>
          <w:szCs w:val="24"/>
        </w:rPr>
        <w:t> </w:t>
      </w:r>
      <w:r w:rsidR="00704D3F" w:rsidRPr="00B87455">
        <w:rPr>
          <w:rFonts w:ascii="Times New Roman" w:hAnsi="Times New Roman"/>
          <w:sz w:val="24"/>
          <w:szCs w:val="24"/>
        </w:rPr>
        <w:t>zpřístupnění dat pomůcku při rozhodovacích procesech dalšího rozvoje sítě dobíjecích stanic</w:t>
      </w:r>
      <w:r w:rsidR="005F1BC8" w:rsidRPr="00B87455">
        <w:rPr>
          <w:rFonts w:ascii="Times New Roman" w:hAnsi="Times New Roman"/>
          <w:sz w:val="24"/>
          <w:szCs w:val="24"/>
        </w:rPr>
        <w:t>, z</w:t>
      </w:r>
      <w:r w:rsidR="00704D3F" w:rsidRPr="00B87455">
        <w:rPr>
          <w:rFonts w:ascii="Times New Roman" w:hAnsi="Times New Roman"/>
          <w:sz w:val="24"/>
          <w:szCs w:val="24"/>
        </w:rPr>
        <w:t xml:space="preserve">ejména pak </w:t>
      </w:r>
      <w:r w:rsidR="005F1BC8" w:rsidRPr="00B87455">
        <w:rPr>
          <w:rFonts w:ascii="Times New Roman" w:hAnsi="Times New Roman"/>
          <w:sz w:val="24"/>
          <w:szCs w:val="24"/>
        </w:rPr>
        <w:t xml:space="preserve">při </w:t>
      </w:r>
      <w:r w:rsidR="00704D3F" w:rsidRPr="00B87455">
        <w:rPr>
          <w:rFonts w:ascii="Times New Roman" w:hAnsi="Times New Roman"/>
          <w:sz w:val="24"/>
          <w:szCs w:val="24"/>
        </w:rPr>
        <w:t xml:space="preserve">volbě lokalit pro další nabízené služby. Aktuálně je taková datová základna suplována </w:t>
      </w:r>
      <w:r w:rsidR="00BB1348" w:rsidRPr="00B87455">
        <w:rPr>
          <w:rFonts w:ascii="Times New Roman" w:hAnsi="Times New Roman"/>
          <w:sz w:val="24"/>
          <w:szCs w:val="24"/>
        </w:rPr>
        <w:t xml:space="preserve">individuální nesystémovou </w:t>
      </w:r>
      <w:r w:rsidR="00704D3F" w:rsidRPr="00B87455">
        <w:rPr>
          <w:rFonts w:ascii="Times New Roman" w:hAnsi="Times New Roman"/>
          <w:sz w:val="24"/>
          <w:szCs w:val="24"/>
        </w:rPr>
        <w:t xml:space="preserve">privátní činností </w:t>
      </w:r>
      <w:r w:rsidR="008C7EDE" w:rsidRPr="00B87455">
        <w:rPr>
          <w:rFonts w:ascii="Times New Roman" w:hAnsi="Times New Roman"/>
          <w:sz w:val="24"/>
          <w:szCs w:val="24"/>
        </w:rPr>
        <w:t xml:space="preserve">jednotlivých </w:t>
      </w:r>
      <w:r w:rsidR="00704D3F" w:rsidRPr="00B87455">
        <w:rPr>
          <w:rFonts w:ascii="Times New Roman" w:hAnsi="Times New Roman"/>
          <w:sz w:val="24"/>
          <w:szCs w:val="24"/>
        </w:rPr>
        <w:t>subjektů vlastními silami.</w:t>
      </w:r>
    </w:p>
    <w:p w:rsidR="00BC0E17" w:rsidRPr="00B87455" w:rsidRDefault="00BC0E17" w:rsidP="003829C2">
      <w:pPr>
        <w:ind w:left="360"/>
        <w:rPr>
          <w:rFonts w:ascii="Times New Roman" w:hAnsi="Times New Roman"/>
          <w:sz w:val="24"/>
          <w:szCs w:val="24"/>
        </w:rPr>
      </w:pPr>
    </w:p>
    <w:p w:rsidR="00BC0E17" w:rsidRPr="00B87455" w:rsidRDefault="00BC0E17" w:rsidP="003829C2">
      <w:pPr>
        <w:ind w:left="360"/>
        <w:rPr>
          <w:rFonts w:ascii="Times New Roman" w:hAnsi="Times New Roman"/>
          <w:b/>
          <w:sz w:val="24"/>
          <w:szCs w:val="24"/>
        </w:rPr>
      </w:pPr>
      <w:r w:rsidRPr="00B87455">
        <w:rPr>
          <w:rFonts w:ascii="Times New Roman" w:hAnsi="Times New Roman"/>
          <w:b/>
          <w:sz w:val="24"/>
          <w:szCs w:val="24"/>
        </w:rPr>
        <w:t>3.2. Náklady</w:t>
      </w:r>
    </w:p>
    <w:p w:rsidR="00332C74" w:rsidRPr="00B87455" w:rsidRDefault="00332C74" w:rsidP="003829C2">
      <w:pPr>
        <w:ind w:left="360"/>
        <w:rPr>
          <w:rFonts w:ascii="Times New Roman" w:hAnsi="Times New Roman"/>
          <w:sz w:val="24"/>
          <w:szCs w:val="24"/>
        </w:rPr>
      </w:pPr>
      <w:r w:rsidRPr="00B87455">
        <w:rPr>
          <w:rFonts w:ascii="Times New Roman" w:hAnsi="Times New Roman"/>
          <w:i/>
          <w:sz w:val="24"/>
          <w:szCs w:val="24"/>
        </w:rPr>
        <w:t>Nulová varianta</w:t>
      </w:r>
      <w:r w:rsidRPr="00B87455">
        <w:rPr>
          <w:rFonts w:ascii="Times New Roman" w:hAnsi="Times New Roman"/>
          <w:sz w:val="24"/>
          <w:szCs w:val="24"/>
        </w:rPr>
        <w:t xml:space="preserve"> - vyřazena</w:t>
      </w:r>
    </w:p>
    <w:p w:rsidR="00BE48E0" w:rsidRDefault="00BC0E17" w:rsidP="00F47500">
      <w:pPr>
        <w:ind w:left="360"/>
        <w:jc w:val="both"/>
        <w:rPr>
          <w:rFonts w:ascii="Times New Roman" w:hAnsi="Times New Roman"/>
          <w:sz w:val="24"/>
          <w:szCs w:val="24"/>
        </w:rPr>
      </w:pPr>
      <w:r w:rsidRPr="00B87455">
        <w:rPr>
          <w:rFonts w:ascii="Times New Roman" w:hAnsi="Times New Roman"/>
          <w:i/>
          <w:sz w:val="24"/>
          <w:szCs w:val="24"/>
        </w:rPr>
        <w:t>Varianta 1</w:t>
      </w:r>
      <w:r w:rsidRPr="00B87455">
        <w:rPr>
          <w:rFonts w:ascii="Times New Roman" w:hAnsi="Times New Roman"/>
          <w:sz w:val="24"/>
          <w:szCs w:val="24"/>
        </w:rPr>
        <w:br/>
        <w:t xml:space="preserve">Náklady na realizaci této varianty jsou reprezentovány zejména </w:t>
      </w:r>
      <w:r w:rsidR="00CC45C6" w:rsidRPr="00B87455">
        <w:rPr>
          <w:rFonts w:ascii="Times New Roman" w:hAnsi="Times New Roman"/>
          <w:sz w:val="24"/>
          <w:szCs w:val="24"/>
        </w:rPr>
        <w:t xml:space="preserve">nutným vznikem </w:t>
      </w:r>
      <w:r w:rsidR="005F1BC8" w:rsidRPr="00B87455">
        <w:rPr>
          <w:rFonts w:ascii="Times New Roman" w:hAnsi="Times New Roman"/>
          <w:sz w:val="24"/>
          <w:szCs w:val="24"/>
        </w:rPr>
        <w:t xml:space="preserve">jiných než právních </w:t>
      </w:r>
      <w:r w:rsidR="00CC45C6" w:rsidRPr="00B87455">
        <w:rPr>
          <w:rFonts w:ascii="Times New Roman" w:hAnsi="Times New Roman"/>
          <w:sz w:val="24"/>
          <w:szCs w:val="24"/>
        </w:rPr>
        <w:t>předpisů. Protože vznik, tedy počet, forma, zaměření a</w:t>
      </w:r>
      <w:r w:rsidR="0038289E" w:rsidRPr="00B87455">
        <w:rPr>
          <w:rFonts w:ascii="Times New Roman" w:hAnsi="Times New Roman"/>
          <w:sz w:val="24"/>
          <w:szCs w:val="24"/>
        </w:rPr>
        <w:t> </w:t>
      </w:r>
      <w:r w:rsidR="00CC45C6" w:rsidRPr="00B87455">
        <w:rPr>
          <w:rFonts w:ascii="Times New Roman" w:hAnsi="Times New Roman"/>
          <w:sz w:val="24"/>
          <w:szCs w:val="24"/>
        </w:rPr>
        <w:t>i</w:t>
      </w:r>
      <w:r w:rsidR="0038289E" w:rsidRPr="00B87455">
        <w:rPr>
          <w:rFonts w:ascii="Times New Roman" w:hAnsi="Times New Roman"/>
          <w:sz w:val="24"/>
          <w:szCs w:val="24"/>
        </w:rPr>
        <w:t> </w:t>
      </w:r>
      <w:r w:rsidR="00CC45C6" w:rsidRPr="00B87455">
        <w:rPr>
          <w:rFonts w:ascii="Times New Roman" w:hAnsi="Times New Roman"/>
          <w:sz w:val="24"/>
          <w:szCs w:val="24"/>
        </w:rPr>
        <w:t xml:space="preserve">rozsah upravovaných oblastí by byl </w:t>
      </w:r>
      <w:r w:rsidR="00554B81" w:rsidRPr="00B87455">
        <w:rPr>
          <w:rFonts w:ascii="Times New Roman" w:hAnsi="Times New Roman"/>
          <w:sz w:val="24"/>
          <w:szCs w:val="24"/>
        </w:rPr>
        <w:t>z</w:t>
      </w:r>
      <w:r w:rsidR="0038289E" w:rsidRPr="00B87455">
        <w:rPr>
          <w:rFonts w:ascii="Times New Roman" w:hAnsi="Times New Roman"/>
          <w:sz w:val="24"/>
          <w:szCs w:val="24"/>
        </w:rPr>
        <w:t> </w:t>
      </w:r>
      <w:r w:rsidR="00FC45DC" w:rsidRPr="00B87455">
        <w:rPr>
          <w:rFonts w:ascii="Times New Roman" w:hAnsi="Times New Roman"/>
          <w:sz w:val="24"/>
          <w:szCs w:val="24"/>
        </w:rPr>
        <w:t>převážné</w:t>
      </w:r>
      <w:r w:rsidR="00554B81" w:rsidRPr="00B87455">
        <w:rPr>
          <w:rFonts w:ascii="Times New Roman" w:hAnsi="Times New Roman"/>
          <w:sz w:val="24"/>
          <w:szCs w:val="24"/>
        </w:rPr>
        <w:t xml:space="preserve"> části </w:t>
      </w:r>
      <w:r w:rsidR="00CC45C6" w:rsidRPr="00B87455">
        <w:rPr>
          <w:rFonts w:ascii="Times New Roman" w:hAnsi="Times New Roman"/>
          <w:sz w:val="24"/>
          <w:szCs w:val="24"/>
        </w:rPr>
        <w:t>v</w:t>
      </w:r>
      <w:r w:rsidR="0038289E" w:rsidRPr="00B87455">
        <w:rPr>
          <w:rFonts w:ascii="Times New Roman" w:hAnsi="Times New Roman"/>
          <w:sz w:val="24"/>
          <w:szCs w:val="24"/>
        </w:rPr>
        <w:t> </w:t>
      </w:r>
      <w:r w:rsidR="00CC45C6" w:rsidRPr="00B87455">
        <w:rPr>
          <w:rFonts w:ascii="Times New Roman" w:hAnsi="Times New Roman"/>
          <w:sz w:val="24"/>
          <w:szCs w:val="24"/>
        </w:rPr>
        <w:t>kompetenci jiných orgánů veřejné zprávy než předkladatele RIA, není možné náklady kvantifikovat. Kvalitativně se jedná o</w:t>
      </w:r>
      <w:r w:rsidR="0038289E" w:rsidRPr="00B87455">
        <w:rPr>
          <w:rFonts w:ascii="Times New Roman" w:hAnsi="Times New Roman"/>
          <w:sz w:val="24"/>
          <w:szCs w:val="24"/>
        </w:rPr>
        <w:t> </w:t>
      </w:r>
      <w:r w:rsidR="00CC45C6" w:rsidRPr="00B87455">
        <w:rPr>
          <w:rFonts w:ascii="Times New Roman" w:hAnsi="Times New Roman"/>
          <w:sz w:val="24"/>
          <w:szCs w:val="24"/>
        </w:rPr>
        <w:t xml:space="preserve">náklady na provedení analýz, návrh nového či upraveného předpisu, náklady </w:t>
      </w:r>
      <w:r w:rsidR="005F1BC8" w:rsidRPr="00B87455">
        <w:rPr>
          <w:rFonts w:ascii="Times New Roman" w:hAnsi="Times New Roman"/>
          <w:sz w:val="24"/>
          <w:szCs w:val="24"/>
        </w:rPr>
        <w:t xml:space="preserve">jeho </w:t>
      </w:r>
      <w:r w:rsidR="00CC45C6" w:rsidRPr="00B87455">
        <w:rPr>
          <w:rFonts w:ascii="Times New Roman" w:hAnsi="Times New Roman"/>
          <w:sz w:val="24"/>
          <w:szCs w:val="24"/>
        </w:rPr>
        <w:t>projednání a</w:t>
      </w:r>
      <w:r w:rsidR="0038289E" w:rsidRPr="00B87455">
        <w:rPr>
          <w:rFonts w:ascii="Times New Roman" w:hAnsi="Times New Roman"/>
          <w:sz w:val="24"/>
          <w:szCs w:val="24"/>
        </w:rPr>
        <w:t> </w:t>
      </w:r>
      <w:r w:rsidR="00CC45C6" w:rsidRPr="00B87455">
        <w:rPr>
          <w:rFonts w:ascii="Times New Roman" w:hAnsi="Times New Roman"/>
          <w:sz w:val="24"/>
          <w:szCs w:val="24"/>
        </w:rPr>
        <w:t>zveřejnění. Součástí by byly i</w:t>
      </w:r>
      <w:r w:rsidR="0038289E" w:rsidRPr="00B87455">
        <w:rPr>
          <w:rFonts w:ascii="Times New Roman" w:hAnsi="Times New Roman"/>
          <w:sz w:val="24"/>
          <w:szCs w:val="24"/>
        </w:rPr>
        <w:t> </w:t>
      </w:r>
      <w:r w:rsidR="00CC45C6" w:rsidRPr="00B87455">
        <w:rPr>
          <w:rFonts w:ascii="Times New Roman" w:hAnsi="Times New Roman"/>
          <w:sz w:val="24"/>
          <w:szCs w:val="24"/>
        </w:rPr>
        <w:t>náklady na interní zaškolení odpovědných osob pro dosažení jednotného porozumění a</w:t>
      </w:r>
      <w:r w:rsidR="0038289E" w:rsidRPr="00B87455">
        <w:rPr>
          <w:rFonts w:ascii="Times New Roman" w:hAnsi="Times New Roman"/>
          <w:sz w:val="24"/>
          <w:szCs w:val="24"/>
        </w:rPr>
        <w:t> </w:t>
      </w:r>
      <w:r w:rsidR="00CC45C6" w:rsidRPr="00B87455">
        <w:rPr>
          <w:rFonts w:ascii="Times New Roman" w:hAnsi="Times New Roman"/>
          <w:sz w:val="24"/>
          <w:szCs w:val="24"/>
        </w:rPr>
        <w:t>výkladu napříč organizací.</w:t>
      </w:r>
      <w:r w:rsidR="00FC45DC" w:rsidRPr="00B87455">
        <w:rPr>
          <w:rFonts w:ascii="Times New Roman" w:hAnsi="Times New Roman"/>
          <w:sz w:val="24"/>
          <w:szCs w:val="24"/>
        </w:rPr>
        <w:t xml:space="preserve"> Tyto náklady by se musely vynaložit opakovaně při tvorbě každého samostatného </w:t>
      </w:r>
      <w:r w:rsidR="005F1BC8" w:rsidRPr="00B87455">
        <w:rPr>
          <w:rFonts w:ascii="Times New Roman" w:hAnsi="Times New Roman"/>
          <w:sz w:val="24"/>
          <w:szCs w:val="24"/>
        </w:rPr>
        <w:t>jiného než právního</w:t>
      </w:r>
      <w:r w:rsidR="00FC45DC" w:rsidRPr="00B87455">
        <w:rPr>
          <w:rFonts w:ascii="Times New Roman" w:hAnsi="Times New Roman"/>
          <w:sz w:val="24"/>
          <w:szCs w:val="24"/>
        </w:rPr>
        <w:t xml:space="preserve"> předpisu.</w:t>
      </w:r>
    </w:p>
    <w:p w:rsidR="00CC45C6" w:rsidRPr="00B87455" w:rsidRDefault="00CC45C6" w:rsidP="00F47500">
      <w:pPr>
        <w:ind w:left="360"/>
        <w:jc w:val="both"/>
        <w:rPr>
          <w:rFonts w:ascii="Times New Roman" w:hAnsi="Times New Roman"/>
          <w:sz w:val="24"/>
          <w:szCs w:val="24"/>
        </w:rPr>
      </w:pPr>
      <w:r w:rsidRPr="00B87455">
        <w:rPr>
          <w:rFonts w:ascii="Times New Roman" w:hAnsi="Times New Roman"/>
          <w:sz w:val="24"/>
          <w:szCs w:val="24"/>
        </w:rPr>
        <w:t xml:space="preserve">Náklady dotčených subjektů nelze bez znalosti </w:t>
      </w:r>
      <w:r w:rsidR="009D760B" w:rsidRPr="00B87455">
        <w:rPr>
          <w:rFonts w:ascii="Times New Roman" w:hAnsi="Times New Roman"/>
          <w:sz w:val="24"/>
          <w:szCs w:val="24"/>
        </w:rPr>
        <w:t xml:space="preserve">obsahu </w:t>
      </w:r>
      <w:r w:rsidRPr="00B87455">
        <w:rPr>
          <w:rFonts w:ascii="Times New Roman" w:hAnsi="Times New Roman"/>
          <w:sz w:val="24"/>
          <w:szCs w:val="24"/>
        </w:rPr>
        <w:t xml:space="preserve">návrhu </w:t>
      </w:r>
      <w:r w:rsidR="005F1BC8" w:rsidRPr="00B87455">
        <w:rPr>
          <w:rFonts w:ascii="Times New Roman" w:hAnsi="Times New Roman"/>
          <w:sz w:val="24"/>
          <w:szCs w:val="24"/>
        </w:rPr>
        <w:t>jiného než právního</w:t>
      </w:r>
      <w:r w:rsidRPr="00B87455">
        <w:rPr>
          <w:rFonts w:ascii="Times New Roman" w:hAnsi="Times New Roman"/>
          <w:sz w:val="24"/>
          <w:szCs w:val="24"/>
        </w:rPr>
        <w:t xml:space="preserve"> předpis</w:t>
      </w:r>
      <w:r w:rsidR="005F1BC8" w:rsidRPr="00B87455">
        <w:rPr>
          <w:rFonts w:ascii="Times New Roman" w:hAnsi="Times New Roman"/>
          <w:sz w:val="24"/>
          <w:szCs w:val="24"/>
        </w:rPr>
        <w:t>u</w:t>
      </w:r>
      <w:r w:rsidR="005E1233" w:rsidRPr="00B87455">
        <w:rPr>
          <w:rFonts w:ascii="Times New Roman" w:hAnsi="Times New Roman"/>
          <w:sz w:val="24"/>
          <w:szCs w:val="24"/>
        </w:rPr>
        <w:t xml:space="preserve"> </w:t>
      </w:r>
      <w:r w:rsidR="00AF4AB8" w:rsidRPr="00B87455">
        <w:rPr>
          <w:rFonts w:ascii="Times New Roman" w:hAnsi="Times New Roman"/>
          <w:sz w:val="24"/>
          <w:szCs w:val="24"/>
        </w:rPr>
        <w:t xml:space="preserve">jeho vydavatelem </w:t>
      </w:r>
      <w:r w:rsidRPr="00B87455">
        <w:rPr>
          <w:rFonts w:ascii="Times New Roman" w:hAnsi="Times New Roman"/>
          <w:sz w:val="24"/>
          <w:szCs w:val="24"/>
        </w:rPr>
        <w:t>definovat.</w:t>
      </w:r>
    </w:p>
    <w:p w:rsidR="00BE48E0" w:rsidRDefault="00CC45C6" w:rsidP="00F47500">
      <w:pPr>
        <w:ind w:left="360"/>
        <w:jc w:val="both"/>
        <w:rPr>
          <w:rFonts w:ascii="Times New Roman" w:hAnsi="Times New Roman"/>
          <w:sz w:val="24"/>
          <w:szCs w:val="24"/>
        </w:rPr>
      </w:pPr>
      <w:r w:rsidRPr="00B87455">
        <w:rPr>
          <w:rFonts w:ascii="Times New Roman" w:hAnsi="Times New Roman"/>
          <w:i/>
          <w:sz w:val="24"/>
          <w:szCs w:val="24"/>
        </w:rPr>
        <w:t>Varianta 2</w:t>
      </w:r>
      <w:r w:rsidRPr="00B87455">
        <w:rPr>
          <w:rFonts w:ascii="Times New Roman" w:hAnsi="Times New Roman"/>
          <w:sz w:val="24"/>
          <w:szCs w:val="24"/>
        </w:rPr>
        <w:br/>
        <w:t>Náklady na realizaci této varianty se odvíjí od jejího vzniku, tedy analýzy, projednání a</w:t>
      </w:r>
      <w:r w:rsidR="0038289E" w:rsidRPr="00B87455">
        <w:rPr>
          <w:rFonts w:ascii="Times New Roman" w:hAnsi="Times New Roman"/>
          <w:sz w:val="24"/>
          <w:szCs w:val="24"/>
        </w:rPr>
        <w:t> </w:t>
      </w:r>
      <w:r w:rsidRPr="00B87455">
        <w:rPr>
          <w:rFonts w:ascii="Times New Roman" w:hAnsi="Times New Roman"/>
          <w:sz w:val="24"/>
          <w:szCs w:val="24"/>
        </w:rPr>
        <w:t>zveřejnění. Protože vznik varianty 2 tvoří pracovní náplň existující organizačn</w:t>
      </w:r>
      <w:r w:rsidR="001A0ACC" w:rsidRPr="00B87455">
        <w:rPr>
          <w:rFonts w:ascii="Times New Roman" w:hAnsi="Times New Roman"/>
          <w:sz w:val="24"/>
          <w:szCs w:val="24"/>
        </w:rPr>
        <w:t xml:space="preserve">í struktury zpracovatele, jsou </w:t>
      </w:r>
      <w:r w:rsidRPr="00B87455">
        <w:rPr>
          <w:rFonts w:ascii="Times New Roman" w:hAnsi="Times New Roman"/>
          <w:sz w:val="24"/>
          <w:szCs w:val="24"/>
        </w:rPr>
        <w:t xml:space="preserve">náklady </w:t>
      </w:r>
      <w:r w:rsidR="00577FFD" w:rsidRPr="00B87455">
        <w:rPr>
          <w:rFonts w:ascii="Times New Roman" w:hAnsi="Times New Roman"/>
          <w:sz w:val="24"/>
          <w:szCs w:val="24"/>
        </w:rPr>
        <w:t xml:space="preserve">jejího </w:t>
      </w:r>
      <w:r w:rsidRPr="00B87455">
        <w:rPr>
          <w:rFonts w:ascii="Times New Roman" w:hAnsi="Times New Roman"/>
          <w:sz w:val="24"/>
          <w:szCs w:val="24"/>
        </w:rPr>
        <w:t xml:space="preserve">vzniku </w:t>
      </w:r>
      <w:r w:rsidR="00577FFD" w:rsidRPr="00B87455">
        <w:rPr>
          <w:rFonts w:ascii="Times New Roman" w:hAnsi="Times New Roman"/>
          <w:sz w:val="24"/>
          <w:szCs w:val="24"/>
        </w:rPr>
        <w:t xml:space="preserve">již </w:t>
      </w:r>
      <w:r w:rsidRPr="00B87455">
        <w:rPr>
          <w:rFonts w:ascii="Times New Roman" w:hAnsi="Times New Roman"/>
          <w:sz w:val="24"/>
          <w:szCs w:val="24"/>
        </w:rPr>
        <w:t xml:space="preserve">součástí nákladové </w:t>
      </w:r>
      <w:r w:rsidR="001A0ACC" w:rsidRPr="00B87455">
        <w:rPr>
          <w:rFonts w:ascii="Times New Roman" w:hAnsi="Times New Roman"/>
          <w:sz w:val="24"/>
          <w:szCs w:val="24"/>
        </w:rPr>
        <w:t>struktury a</w:t>
      </w:r>
      <w:r w:rsidR="0038289E" w:rsidRPr="00B87455">
        <w:rPr>
          <w:rFonts w:ascii="Times New Roman" w:hAnsi="Times New Roman"/>
          <w:sz w:val="24"/>
          <w:szCs w:val="24"/>
        </w:rPr>
        <w:t> </w:t>
      </w:r>
      <w:r w:rsidR="001A0ACC" w:rsidRPr="00B87455">
        <w:rPr>
          <w:rFonts w:ascii="Times New Roman" w:hAnsi="Times New Roman"/>
          <w:sz w:val="24"/>
          <w:szCs w:val="24"/>
        </w:rPr>
        <w:t>nepředpokládají se</w:t>
      </w:r>
      <w:r w:rsidRPr="00B87455">
        <w:rPr>
          <w:rFonts w:ascii="Times New Roman" w:hAnsi="Times New Roman"/>
          <w:sz w:val="24"/>
          <w:szCs w:val="24"/>
        </w:rPr>
        <w:t xml:space="preserve"> náklady</w:t>
      </w:r>
      <w:r w:rsidR="00577FFD" w:rsidRPr="00B87455">
        <w:rPr>
          <w:rFonts w:ascii="Times New Roman" w:hAnsi="Times New Roman"/>
          <w:sz w:val="24"/>
          <w:szCs w:val="24"/>
        </w:rPr>
        <w:t xml:space="preserve"> dodatečné či vyvolané</w:t>
      </w:r>
      <w:r w:rsidRPr="00B87455">
        <w:rPr>
          <w:rFonts w:ascii="Times New Roman" w:hAnsi="Times New Roman"/>
          <w:sz w:val="24"/>
          <w:szCs w:val="24"/>
        </w:rPr>
        <w:t xml:space="preserve">. Rovněž při </w:t>
      </w:r>
      <w:r w:rsidR="006B5FDB" w:rsidRPr="00B87455">
        <w:rPr>
          <w:rFonts w:ascii="Times New Roman" w:hAnsi="Times New Roman"/>
          <w:sz w:val="24"/>
          <w:szCs w:val="24"/>
        </w:rPr>
        <w:t>implementaci varianty 2 a</w:t>
      </w:r>
      <w:r w:rsidR="0038289E" w:rsidRPr="00B87455">
        <w:rPr>
          <w:rFonts w:ascii="Times New Roman" w:hAnsi="Times New Roman"/>
          <w:sz w:val="24"/>
          <w:szCs w:val="24"/>
        </w:rPr>
        <w:t> </w:t>
      </w:r>
      <w:r w:rsidR="006B5FDB" w:rsidRPr="00B87455">
        <w:rPr>
          <w:rFonts w:ascii="Times New Roman" w:hAnsi="Times New Roman"/>
          <w:sz w:val="24"/>
          <w:szCs w:val="24"/>
        </w:rPr>
        <w:t xml:space="preserve">vynucování jejího plnění je uvažováno </w:t>
      </w:r>
      <w:r w:rsidR="00E22007" w:rsidRPr="00B87455">
        <w:rPr>
          <w:rFonts w:ascii="Times New Roman" w:hAnsi="Times New Roman"/>
          <w:sz w:val="24"/>
          <w:szCs w:val="24"/>
        </w:rPr>
        <w:t xml:space="preserve">se </w:t>
      </w:r>
      <w:r w:rsidR="00552CA0" w:rsidRPr="00B87455">
        <w:rPr>
          <w:rFonts w:ascii="Times New Roman" w:hAnsi="Times New Roman"/>
          <w:sz w:val="24"/>
          <w:szCs w:val="24"/>
        </w:rPr>
        <w:t xml:space="preserve">zabezpečením </w:t>
      </w:r>
      <w:r w:rsidR="006B5FDB" w:rsidRPr="00B87455">
        <w:rPr>
          <w:rFonts w:ascii="Times New Roman" w:hAnsi="Times New Roman"/>
          <w:sz w:val="24"/>
          <w:szCs w:val="24"/>
        </w:rPr>
        <w:t>pouze s</w:t>
      </w:r>
      <w:r w:rsidR="0038289E" w:rsidRPr="00B87455">
        <w:rPr>
          <w:rFonts w:ascii="Times New Roman" w:hAnsi="Times New Roman"/>
          <w:sz w:val="24"/>
          <w:szCs w:val="24"/>
        </w:rPr>
        <w:t> </w:t>
      </w:r>
      <w:r w:rsidR="006B5FDB" w:rsidRPr="00B87455">
        <w:rPr>
          <w:rFonts w:ascii="Times New Roman" w:hAnsi="Times New Roman"/>
          <w:sz w:val="24"/>
          <w:szCs w:val="24"/>
        </w:rPr>
        <w:t xml:space="preserve">existující organizační strukturou, tedy bez </w:t>
      </w:r>
      <w:r w:rsidR="006B5FDB" w:rsidRPr="00B87455">
        <w:rPr>
          <w:rFonts w:ascii="Times New Roman" w:hAnsi="Times New Roman"/>
          <w:sz w:val="24"/>
          <w:szCs w:val="24"/>
        </w:rPr>
        <w:lastRenderedPageBreak/>
        <w:t xml:space="preserve">navýšení </w:t>
      </w:r>
      <w:r w:rsidR="00E22007" w:rsidRPr="00B87455">
        <w:rPr>
          <w:rFonts w:ascii="Times New Roman" w:hAnsi="Times New Roman"/>
          <w:sz w:val="24"/>
          <w:szCs w:val="24"/>
        </w:rPr>
        <w:t>lidských zdrojů a</w:t>
      </w:r>
      <w:r w:rsidR="0038289E" w:rsidRPr="00B87455">
        <w:rPr>
          <w:rFonts w:ascii="Times New Roman" w:hAnsi="Times New Roman"/>
          <w:sz w:val="24"/>
          <w:szCs w:val="24"/>
        </w:rPr>
        <w:t> </w:t>
      </w:r>
      <w:r w:rsidR="00E22007" w:rsidRPr="00B87455">
        <w:rPr>
          <w:rFonts w:ascii="Times New Roman" w:hAnsi="Times New Roman"/>
          <w:sz w:val="24"/>
          <w:szCs w:val="24"/>
        </w:rPr>
        <w:t xml:space="preserve">jejich </w:t>
      </w:r>
      <w:r w:rsidR="006B5FDB" w:rsidRPr="00B87455">
        <w:rPr>
          <w:rFonts w:ascii="Times New Roman" w:hAnsi="Times New Roman"/>
          <w:sz w:val="24"/>
          <w:szCs w:val="24"/>
        </w:rPr>
        <w:t>nákladů.</w:t>
      </w:r>
      <w:r w:rsidR="00552CA0" w:rsidRPr="00B87455">
        <w:rPr>
          <w:rFonts w:ascii="Times New Roman" w:hAnsi="Times New Roman"/>
          <w:sz w:val="24"/>
          <w:szCs w:val="24"/>
        </w:rPr>
        <w:t xml:space="preserve"> </w:t>
      </w:r>
      <w:r w:rsidR="005E1233" w:rsidRPr="00B87455">
        <w:rPr>
          <w:rFonts w:ascii="Times New Roman" w:hAnsi="Times New Roman"/>
          <w:sz w:val="24"/>
          <w:szCs w:val="24"/>
        </w:rPr>
        <w:t>Zvýšení r</w:t>
      </w:r>
      <w:r w:rsidR="00552CA0" w:rsidRPr="00B87455">
        <w:rPr>
          <w:rFonts w:ascii="Times New Roman" w:hAnsi="Times New Roman"/>
          <w:sz w:val="24"/>
          <w:szCs w:val="24"/>
        </w:rPr>
        <w:t xml:space="preserve">ozsah kontrolní činnosti veřejné správy se také </w:t>
      </w:r>
      <w:r w:rsidR="00B95277" w:rsidRPr="00B87455">
        <w:rPr>
          <w:rFonts w:ascii="Times New Roman" w:hAnsi="Times New Roman"/>
          <w:sz w:val="24"/>
          <w:szCs w:val="24"/>
        </w:rPr>
        <w:t>neuvažuje</w:t>
      </w:r>
      <w:r w:rsidR="00552CA0" w:rsidRPr="00B87455">
        <w:rPr>
          <w:rFonts w:ascii="Times New Roman" w:hAnsi="Times New Roman"/>
          <w:sz w:val="24"/>
          <w:szCs w:val="24"/>
        </w:rPr>
        <w:t>, tedy ani náklady na její provádění.</w:t>
      </w:r>
    </w:p>
    <w:p w:rsidR="00BE48E0" w:rsidRDefault="00552CA0" w:rsidP="00F47500">
      <w:pPr>
        <w:ind w:left="360"/>
        <w:jc w:val="both"/>
        <w:rPr>
          <w:rFonts w:ascii="Times New Roman" w:hAnsi="Times New Roman"/>
          <w:sz w:val="24"/>
          <w:szCs w:val="24"/>
        </w:rPr>
      </w:pPr>
      <w:r w:rsidRPr="00B87455">
        <w:rPr>
          <w:rFonts w:ascii="Times New Roman" w:hAnsi="Times New Roman"/>
          <w:sz w:val="24"/>
          <w:szCs w:val="24"/>
        </w:rPr>
        <w:t>Pro dotčené subjekty privátní sféry varianta 2 přináší pouze omezený rozsah nových povinností, který je</w:t>
      </w:r>
      <w:r w:rsidR="00A72BAD" w:rsidRPr="00B87455">
        <w:rPr>
          <w:rFonts w:ascii="Times New Roman" w:hAnsi="Times New Roman"/>
          <w:sz w:val="24"/>
          <w:szCs w:val="24"/>
        </w:rPr>
        <w:t xml:space="preserve"> směrován výhradně k</w:t>
      </w:r>
      <w:r w:rsidR="0038289E" w:rsidRPr="00B87455">
        <w:rPr>
          <w:rFonts w:ascii="Times New Roman" w:hAnsi="Times New Roman"/>
          <w:sz w:val="24"/>
          <w:szCs w:val="24"/>
        </w:rPr>
        <w:t> </w:t>
      </w:r>
      <w:r w:rsidR="00A72BAD" w:rsidRPr="00B87455">
        <w:rPr>
          <w:rFonts w:ascii="Times New Roman" w:hAnsi="Times New Roman"/>
          <w:sz w:val="24"/>
          <w:szCs w:val="24"/>
        </w:rPr>
        <w:t>evidenci výdejních jednotek či doplnění evidovaných dat u</w:t>
      </w:r>
      <w:r w:rsidR="0038289E" w:rsidRPr="00B87455">
        <w:rPr>
          <w:rFonts w:ascii="Times New Roman" w:hAnsi="Times New Roman"/>
          <w:sz w:val="24"/>
          <w:szCs w:val="24"/>
        </w:rPr>
        <w:t> </w:t>
      </w:r>
      <w:r w:rsidR="00A72BAD" w:rsidRPr="00B87455">
        <w:rPr>
          <w:rFonts w:ascii="Times New Roman" w:hAnsi="Times New Roman"/>
          <w:sz w:val="24"/>
          <w:szCs w:val="24"/>
        </w:rPr>
        <w:t>čerpacích a</w:t>
      </w:r>
      <w:r w:rsidR="0038289E" w:rsidRPr="00B87455">
        <w:rPr>
          <w:rFonts w:ascii="Times New Roman" w:hAnsi="Times New Roman"/>
          <w:sz w:val="24"/>
          <w:szCs w:val="24"/>
        </w:rPr>
        <w:t> </w:t>
      </w:r>
      <w:r w:rsidR="00A72BAD" w:rsidRPr="00B87455">
        <w:rPr>
          <w:rFonts w:ascii="Times New Roman" w:hAnsi="Times New Roman"/>
          <w:sz w:val="24"/>
          <w:szCs w:val="24"/>
        </w:rPr>
        <w:t>dobíjecích stanic.</w:t>
      </w:r>
      <w:r w:rsidRPr="00B87455">
        <w:rPr>
          <w:rFonts w:ascii="Times New Roman" w:hAnsi="Times New Roman"/>
          <w:sz w:val="24"/>
          <w:szCs w:val="24"/>
        </w:rPr>
        <w:t xml:space="preserve"> Protože se v</w:t>
      </w:r>
      <w:r w:rsidR="0038289E" w:rsidRPr="00B87455">
        <w:rPr>
          <w:rFonts w:ascii="Times New Roman" w:hAnsi="Times New Roman"/>
          <w:sz w:val="24"/>
          <w:szCs w:val="24"/>
        </w:rPr>
        <w:t> </w:t>
      </w:r>
      <w:r w:rsidRPr="00B87455">
        <w:rPr>
          <w:rFonts w:ascii="Times New Roman" w:hAnsi="Times New Roman"/>
          <w:sz w:val="24"/>
          <w:szCs w:val="24"/>
        </w:rPr>
        <w:t>obou případech jedná o</w:t>
      </w:r>
      <w:r w:rsidR="0038289E" w:rsidRPr="00B87455">
        <w:rPr>
          <w:rFonts w:ascii="Times New Roman" w:hAnsi="Times New Roman"/>
          <w:sz w:val="24"/>
          <w:szCs w:val="24"/>
        </w:rPr>
        <w:t> </w:t>
      </w:r>
      <w:r w:rsidRPr="00B87455">
        <w:rPr>
          <w:rFonts w:ascii="Times New Roman" w:hAnsi="Times New Roman"/>
          <w:sz w:val="24"/>
          <w:szCs w:val="24"/>
        </w:rPr>
        <w:t>prakticky jednorázový úkon, lze náklady na pořízení a</w:t>
      </w:r>
      <w:r w:rsidR="0038289E" w:rsidRPr="00B87455">
        <w:rPr>
          <w:rFonts w:ascii="Times New Roman" w:hAnsi="Times New Roman"/>
          <w:sz w:val="24"/>
          <w:szCs w:val="24"/>
        </w:rPr>
        <w:t> </w:t>
      </w:r>
      <w:r w:rsidRPr="00B87455">
        <w:rPr>
          <w:rFonts w:ascii="Times New Roman" w:hAnsi="Times New Roman"/>
          <w:sz w:val="24"/>
          <w:szCs w:val="24"/>
        </w:rPr>
        <w:t>konsolidaci potřebných dat odhadnout v</w:t>
      </w:r>
      <w:r w:rsidR="0038289E" w:rsidRPr="00B87455">
        <w:rPr>
          <w:rFonts w:ascii="Times New Roman" w:hAnsi="Times New Roman"/>
          <w:sz w:val="24"/>
          <w:szCs w:val="24"/>
        </w:rPr>
        <w:t> </w:t>
      </w:r>
      <w:r w:rsidRPr="00B87455">
        <w:rPr>
          <w:rFonts w:ascii="Times New Roman" w:hAnsi="Times New Roman"/>
          <w:sz w:val="24"/>
          <w:szCs w:val="24"/>
        </w:rPr>
        <w:t xml:space="preserve">úrovni </w:t>
      </w:r>
      <w:r w:rsidR="00EA1AC7" w:rsidRPr="00B87455">
        <w:rPr>
          <w:rFonts w:ascii="Times New Roman" w:hAnsi="Times New Roman"/>
          <w:sz w:val="24"/>
          <w:szCs w:val="24"/>
        </w:rPr>
        <w:t>4-</w:t>
      </w:r>
      <w:r w:rsidRPr="00B87455">
        <w:rPr>
          <w:rFonts w:ascii="Times New Roman" w:hAnsi="Times New Roman"/>
          <w:sz w:val="24"/>
          <w:szCs w:val="24"/>
        </w:rPr>
        <w:t>6 pracovních hodin jedné osoby</w:t>
      </w:r>
      <w:r w:rsidR="00EA1AC7" w:rsidRPr="00B87455">
        <w:rPr>
          <w:rFonts w:ascii="Times New Roman" w:hAnsi="Times New Roman"/>
          <w:sz w:val="24"/>
          <w:szCs w:val="24"/>
        </w:rPr>
        <w:t>. Není předpoklad, že by bylo nu</w:t>
      </w:r>
      <w:r w:rsidRPr="00B87455">
        <w:rPr>
          <w:rFonts w:ascii="Times New Roman" w:hAnsi="Times New Roman"/>
          <w:sz w:val="24"/>
          <w:szCs w:val="24"/>
        </w:rPr>
        <w:t>tné pro provedení této činnosti zvyšovat počet zaměstnanců dotčeného subjektu a</w:t>
      </w:r>
      <w:r w:rsidR="0038289E" w:rsidRPr="00B87455">
        <w:rPr>
          <w:rFonts w:ascii="Times New Roman" w:hAnsi="Times New Roman"/>
          <w:sz w:val="24"/>
          <w:szCs w:val="24"/>
        </w:rPr>
        <w:t> </w:t>
      </w:r>
      <w:r w:rsidRPr="00B87455">
        <w:rPr>
          <w:rFonts w:ascii="Times New Roman" w:hAnsi="Times New Roman"/>
          <w:sz w:val="24"/>
          <w:szCs w:val="24"/>
        </w:rPr>
        <w:t>práce bude vykonána v</w:t>
      </w:r>
      <w:r w:rsidR="0038289E" w:rsidRPr="00B87455">
        <w:rPr>
          <w:rFonts w:ascii="Times New Roman" w:hAnsi="Times New Roman"/>
          <w:sz w:val="24"/>
          <w:szCs w:val="24"/>
        </w:rPr>
        <w:t> </w:t>
      </w:r>
      <w:r w:rsidRPr="00B87455">
        <w:rPr>
          <w:rFonts w:ascii="Times New Roman" w:hAnsi="Times New Roman"/>
          <w:sz w:val="24"/>
          <w:szCs w:val="24"/>
        </w:rPr>
        <w:t>rámci současné organizační struktury. Pokud by</w:t>
      </w:r>
      <w:r w:rsidR="00EA1AC7" w:rsidRPr="00B87455">
        <w:rPr>
          <w:rFonts w:ascii="Times New Roman" w:hAnsi="Times New Roman"/>
          <w:sz w:val="24"/>
          <w:szCs w:val="24"/>
        </w:rPr>
        <w:t xml:space="preserve"> mě</w:t>
      </w:r>
      <w:r w:rsidRPr="00B87455">
        <w:rPr>
          <w:rFonts w:ascii="Times New Roman" w:hAnsi="Times New Roman"/>
          <w:sz w:val="24"/>
          <w:szCs w:val="24"/>
        </w:rPr>
        <w:t>ly být náklady přesto vyčísleny, pak při průměrné mzdě za rok 2017 v</w:t>
      </w:r>
      <w:r w:rsidR="0038289E" w:rsidRPr="00B87455">
        <w:rPr>
          <w:rFonts w:ascii="Times New Roman" w:hAnsi="Times New Roman"/>
          <w:sz w:val="24"/>
          <w:szCs w:val="24"/>
        </w:rPr>
        <w:t> </w:t>
      </w:r>
      <w:r w:rsidRPr="00B87455">
        <w:rPr>
          <w:rFonts w:ascii="Times New Roman" w:hAnsi="Times New Roman"/>
          <w:sz w:val="24"/>
          <w:szCs w:val="24"/>
        </w:rPr>
        <w:t>ČR ve výši 29 504 Kč</w:t>
      </w:r>
      <w:r w:rsidR="00EA1AC7" w:rsidRPr="00B87455">
        <w:rPr>
          <w:rFonts w:ascii="Times New Roman" w:hAnsi="Times New Roman"/>
          <w:sz w:val="24"/>
          <w:szCs w:val="24"/>
        </w:rPr>
        <w:t>/měsíc (veřejně dostupná data) a</w:t>
      </w:r>
      <w:r w:rsidR="0038289E" w:rsidRPr="00B87455">
        <w:rPr>
          <w:rFonts w:ascii="Times New Roman" w:hAnsi="Times New Roman"/>
          <w:sz w:val="24"/>
          <w:szCs w:val="24"/>
        </w:rPr>
        <w:t> </w:t>
      </w:r>
      <w:r w:rsidR="00EA1AC7" w:rsidRPr="00B87455">
        <w:rPr>
          <w:rFonts w:ascii="Times New Roman" w:hAnsi="Times New Roman"/>
          <w:sz w:val="24"/>
          <w:szCs w:val="24"/>
        </w:rPr>
        <w:t xml:space="preserve">zákonné pracovní době, takový úkon reprezentuje </w:t>
      </w:r>
      <w:r w:rsidR="00A95EF6" w:rsidRPr="00B87455">
        <w:rPr>
          <w:rFonts w:ascii="Times New Roman" w:hAnsi="Times New Roman"/>
          <w:sz w:val="24"/>
          <w:szCs w:val="24"/>
        </w:rPr>
        <w:t xml:space="preserve">jednorázově </w:t>
      </w:r>
      <w:r w:rsidR="00EA1AC7" w:rsidRPr="00B87455">
        <w:rPr>
          <w:rFonts w:ascii="Times New Roman" w:hAnsi="Times New Roman"/>
          <w:sz w:val="24"/>
          <w:szCs w:val="24"/>
        </w:rPr>
        <w:t>náklad ve</w:t>
      </w:r>
      <w:r w:rsidR="00BE48E0">
        <w:rPr>
          <w:rFonts w:ascii="Times New Roman" w:hAnsi="Times New Roman"/>
          <w:sz w:val="24"/>
          <w:szCs w:val="24"/>
        </w:rPr>
        <w:t> </w:t>
      </w:r>
      <w:r w:rsidR="00EA1AC7" w:rsidRPr="00B87455">
        <w:rPr>
          <w:rFonts w:ascii="Times New Roman" w:hAnsi="Times New Roman"/>
          <w:sz w:val="24"/>
          <w:szCs w:val="24"/>
        </w:rPr>
        <w:t>výši 833 Kč</w:t>
      </w:r>
      <w:r w:rsidR="006D46CF" w:rsidRPr="00B87455">
        <w:rPr>
          <w:rFonts w:ascii="Times New Roman" w:hAnsi="Times New Roman"/>
          <w:sz w:val="24"/>
          <w:szCs w:val="24"/>
        </w:rPr>
        <w:t xml:space="preserve"> u</w:t>
      </w:r>
      <w:r w:rsidR="0038289E" w:rsidRPr="00B87455">
        <w:rPr>
          <w:rFonts w:ascii="Times New Roman" w:hAnsi="Times New Roman"/>
          <w:sz w:val="24"/>
          <w:szCs w:val="24"/>
        </w:rPr>
        <w:t> </w:t>
      </w:r>
      <w:r w:rsidR="006D46CF" w:rsidRPr="00B87455">
        <w:rPr>
          <w:rFonts w:ascii="Times New Roman" w:hAnsi="Times New Roman"/>
          <w:sz w:val="24"/>
          <w:szCs w:val="24"/>
        </w:rPr>
        <w:t>podnikatele na provedení požadovaného úkonu</w:t>
      </w:r>
      <w:r w:rsidR="00A95EF6" w:rsidRPr="00B87455">
        <w:rPr>
          <w:rFonts w:ascii="Times New Roman" w:hAnsi="Times New Roman"/>
          <w:sz w:val="24"/>
          <w:szCs w:val="24"/>
        </w:rPr>
        <w:t>.</w:t>
      </w:r>
    </w:p>
    <w:p w:rsidR="00746792" w:rsidRPr="00B87455" w:rsidRDefault="00746792" w:rsidP="00F47500">
      <w:pPr>
        <w:ind w:left="360"/>
        <w:jc w:val="both"/>
        <w:rPr>
          <w:rFonts w:ascii="Times New Roman" w:hAnsi="Times New Roman"/>
          <w:sz w:val="24"/>
          <w:szCs w:val="24"/>
        </w:rPr>
      </w:pPr>
      <w:r w:rsidRPr="00B87455">
        <w:rPr>
          <w:rFonts w:ascii="Times New Roman" w:hAnsi="Times New Roman"/>
          <w:sz w:val="24"/>
          <w:szCs w:val="24"/>
        </w:rPr>
        <w:t xml:space="preserve">Náklady povinných subjektů při vedení evidence vydaných pohonných hmot se neuvažují, neboť </w:t>
      </w:r>
      <w:r w:rsidR="001D3E75" w:rsidRPr="00B87455">
        <w:rPr>
          <w:rFonts w:ascii="Times New Roman" w:hAnsi="Times New Roman"/>
          <w:sz w:val="24"/>
          <w:szCs w:val="24"/>
        </w:rPr>
        <w:t>p</w:t>
      </w:r>
      <w:r w:rsidR="001D3E75" w:rsidRPr="00B87455">
        <w:rPr>
          <w:rFonts w:ascii="Times New Roman" w:hAnsi="Times New Roman"/>
          <w:bCs/>
          <w:iCs/>
          <w:sz w:val="24"/>
          <w:szCs w:val="24"/>
        </w:rPr>
        <w:t xml:space="preserve">odle informací, které poskytly zejména </w:t>
      </w:r>
      <w:r w:rsidR="008F4B20" w:rsidRPr="00B87455">
        <w:rPr>
          <w:rFonts w:ascii="Times New Roman" w:hAnsi="Times New Roman"/>
          <w:bCs/>
          <w:iCs/>
          <w:sz w:val="24"/>
          <w:szCs w:val="24"/>
        </w:rPr>
        <w:t xml:space="preserve">jejich </w:t>
      </w:r>
      <w:r w:rsidR="001D3E75" w:rsidRPr="00B87455">
        <w:rPr>
          <w:rFonts w:ascii="Times New Roman" w:hAnsi="Times New Roman"/>
          <w:bCs/>
          <w:iCs/>
          <w:sz w:val="24"/>
          <w:szCs w:val="24"/>
        </w:rPr>
        <w:t xml:space="preserve">profesní </w:t>
      </w:r>
      <w:r w:rsidR="00A72BAD" w:rsidRPr="00B87455">
        <w:rPr>
          <w:rFonts w:ascii="Times New Roman" w:hAnsi="Times New Roman"/>
          <w:bCs/>
          <w:iCs/>
          <w:sz w:val="24"/>
          <w:szCs w:val="24"/>
        </w:rPr>
        <w:t>svazy a</w:t>
      </w:r>
      <w:r w:rsidR="0038289E" w:rsidRPr="00B87455">
        <w:rPr>
          <w:rFonts w:ascii="Times New Roman" w:hAnsi="Times New Roman"/>
          <w:bCs/>
          <w:iCs/>
          <w:sz w:val="24"/>
          <w:szCs w:val="24"/>
        </w:rPr>
        <w:t> </w:t>
      </w:r>
      <w:r w:rsidR="001D3E75" w:rsidRPr="00B87455">
        <w:rPr>
          <w:rFonts w:ascii="Times New Roman" w:hAnsi="Times New Roman"/>
          <w:bCs/>
          <w:iCs/>
          <w:sz w:val="24"/>
          <w:szCs w:val="24"/>
        </w:rPr>
        <w:t>asociace</w:t>
      </w:r>
      <w:r w:rsidR="005F1BC8" w:rsidRPr="00B87455">
        <w:rPr>
          <w:rFonts w:ascii="Times New Roman" w:hAnsi="Times New Roman"/>
          <w:bCs/>
          <w:iCs/>
          <w:sz w:val="24"/>
          <w:szCs w:val="24"/>
        </w:rPr>
        <w:t>,</w:t>
      </w:r>
      <w:r w:rsidR="001D3E75" w:rsidRPr="00B87455">
        <w:rPr>
          <w:rFonts w:ascii="Times New Roman" w:hAnsi="Times New Roman"/>
          <w:bCs/>
          <w:iCs/>
          <w:sz w:val="24"/>
          <w:szCs w:val="24"/>
        </w:rPr>
        <w:t xml:space="preserve"> subjektů které se touto činností zabývají, je </w:t>
      </w:r>
      <w:r w:rsidR="00A82D91" w:rsidRPr="00B87455">
        <w:rPr>
          <w:rFonts w:ascii="Times New Roman" w:hAnsi="Times New Roman"/>
          <w:bCs/>
          <w:iCs/>
          <w:sz w:val="24"/>
          <w:szCs w:val="24"/>
        </w:rPr>
        <w:t xml:space="preserve">vedení </w:t>
      </w:r>
      <w:r w:rsidR="001D3E75" w:rsidRPr="00B87455">
        <w:rPr>
          <w:rFonts w:ascii="Times New Roman" w:hAnsi="Times New Roman"/>
          <w:bCs/>
          <w:iCs/>
          <w:sz w:val="24"/>
          <w:szCs w:val="24"/>
        </w:rPr>
        <w:t xml:space="preserve">takové evidence </w:t>
      </w:r>
      <w:r w:rsidR="00AF528B" w:rsidRPr="00B87455">
        <w:rPr>
          <w:rFonts w:ascii="Times New Roman" w:hAnsi="Times New Roman"/>
          <w:bCs/>
          <w:iCs/>
          <w:sz w:val="24"/>
          <w:szCs w:val="24"/>
        </w:rPr>
        <w:t>dnešní běžn</w:t>
      </w:r>
      <w:r w:rsidR="00A82D91" w:rsidRPr="00B87455">
        <w:rPr>
          <w:rFonts w:ascii="Times New Roman" w:hAnsi="Times New Roman"/>
          <w:bCs/>
          <w:iCs/>
          <w:sz w:val="24"/>
          <w:szCs w:val="24"/>
        </w:rPr>
        <w:t>ou</w:t>
      </w:r>
      <w:r w:rsidR="00AF528B" w:rsidRPr="00B87455">
        <w:rPr>
          <w:rFonts w:ascii="Times New Roman" w:hAnsi="Times New Roman"/>
          <w:bCs/>
          <w:iCs/>
          <w:sz w:val="24"/>
          <w:szCs w:val="24"/>
        </w:rPr>
        <w:t xml:space="preserve"> prax</w:t>
      </w:r>
      <w:r w:rsidR="00A82D91" w:rsidRPr="00B87455">
        <w:rPr>
          <w:rFonts w:ascii="Times New Roman" w:hAnsi="Times New Roman"/>
          <w:bCs/>
          <w:iCs/>
          <w:sz w:val="24"/>
          <w:szCs w:val="24"/>
        </w:rPr>
        <w:t>í</w:t>
      </w:r>
      <w:r w:rsidRPr="00B87455">
        <w:rPr>
          <w:rFonts w:ascii="Times New Roman" w:hAnsi="Times New Roman"/>
          <w:sz w:val="24"/>
          <w:szCs w:val="24"/>
        </w:rPr>
        <w:t xml:space="preserve">. Úprava zajišťující možnost kontrolních orgánů do evidence nahlédnout </w:t>
      </w:r>
      <w:r w:rsidR="005131DC" w:rsidRPr="00B87455">
        <w:rPr>
          <w:rFonts w:ascii="Times New Roman" w:hAnsi="Times New Roman"/>
          <w:sz w:val="24"/>
          <w:szCs w:val="24"/>
        </w:rPr>
        <w:t xml:space="preserve">další </w:t>
      </w:r>
      <w:r w:rsidRPr="00B87455">
        <w:rPr>
          <w:rFonts w:ascii="Times New Roman" w:hAnsi="Times New Roman"/>
          <w:sz w:val="24"/>
          <w:szCs w:val="24"/>
        </w:rPr>
        <w:t>náklady nepřináší.</w:t>
      </w:r>
    </w:p>
    <w:p w:rsidR="004669D8" w:rsidRPr="00B87455" w:rsidRDefault="004669D8" w:rsidP="003829C2">
      <w:pPr>
        <w:ind w:left="360"/>
        <w:rPr>
          <w:rFonts w:ascii="Times New Roman" w:hAnsi="Times New Roman"/>
          <w:sz w:val="24"/>
          <w:szCs w:val="24"/>
        </w:rPr>
      </w:pPr>
    </w:p>
    <w:p w:rsidR="00944FB0" w:rsidRPr="00B87455" w:rsidRDefault="004669D8" w:rsidP="003829C2">
      <w:pPr>
        <w:ind w:left="360"/>
        <w:rPr>
          <w:rFonts w:ascii="Times New Roman" w:hAnsi="Times New Roman"/>
          <w:b/>
          <w:sz w:val="24"/>
          <w:szCs w:val="24"/>
        </w:rPr>
      </w:pPr>
      <w:r w:rsidRPr="00B87455">
        <w:rPr>
          <w:rFonts w:ascii="Times New Roman" w:hAnsi="Times New Roman"/>
          <w:b/>
          <w:sz w:val="24"/>
          <w:szCs w:val="24"/>
        </w:rPr>
        <w:t>3.3. Přínosy</w:t>
      </w:r>
      <w:r w:rsidRPr="00B87455">
        <w:rPr>
          <w:rFonts w:ascii="Times New Roman" w:hAnsi="Times New Roman"/>
          <w:b/>
          <w:sz w:val="24"/>
          <w:szCs w:val="24"/>
        </w:rPr>
        <w:br/>
      </w:r>
    </w:p>
    <w:p w:rsidR="00332C74" w:rsidRPr="00B87455" w:rsidRDefault="00332C74" w:rsidP="003829C2">
      <w:pPr>
        <w:ind w:left="360"/>
        <w:rPr>
          <w:rFonts w:ascii="Times New Roman" w:hAnsi="Times New Roman"/>
          <w:sz w:val="24"/>
          <w:szCs w:val="24"/>
        </w:rPr>
      </w:pPr>
      <w:r w:rsidRPr="00B87455">
        <w:rPr>
          <w:rFonts w:ascii="Times New Roman" w:hAnsi="Times New Roman"/>
          <w:i/>
          <w:sz w:val="24"/>
          <w:szCs w:val="24"/>
        </w:rPr>
        <w:t>Nulová varianta</w:t>
      </w:r>
      <w:r w:rsidRPr="00B87455">
        <w:rPr>
          <w:rFonts w:ascii="Times New Roman" w:hAnsi="Times New Roman"/>
          <w:sz w:val="24"/>
          <w:szCs w:val="24"/>
        </w:rPr>
        <w:t xml:space="preserve"> - vyřazena</w:t>
      </w:r>
    </w:p>
    <w:p w:rsidR="004669D8" w:rsidRPr="00B87455" w:rsidRDefault="004669D8" w:rsidP="00F47500">
      <w:pPr>
        <w:ind w:left="360"/>
        <w:jc w:val="both"/>
        <w:rPr>
          <w:rFonts w:ascii="Times New Roman" w:hAnsi="Times New Roman"/>
          <w:sz w:val="24"/>
          <w:szCs w:val="24"/>
        </w:rPr>
      </w:pPr>
      <w:r w:rsidRPr="00B87455">
        <w:rPr>
          <w:rFonts w:ascii="Times New Roman" w:hAnsi="Times New Roman"/>
          <w:i/>
          <w:sz w:val="24"/>
          <w:szCs w:val="24"/>
        </w:rPr>
        <w:t>Varianta 1</w:t>
      </w:r>
      <w:r w:rsidRPr="00B87455">
        <w:rPr>
          <w:rFonts w:ascii="Times New Roman" w:hAnsi="Times New Roman"/>
          <w:sz w:val="24"/>
          <w:szCs w:val="24"/>
        </w:rPr>
        <w:br/>
        <w:t>Přínosy z</w:t>
      </w:r>
      <w:r w:rsidR="0038289E" w:rsidRPr="00B87455">
        <w:rPr>
          <w:rFonts w:ascii="Times New Roman" w:hAnsi="Times New Roman"/>
          <w:sz w:val="24"/>
          <w:szCs w:val="24"/>
        </w:rPr>
        <w:t> </w:t>
      </w:r>
      <w:r w:rsidRPr="00B87455">
        <w:rPr>
          <w:rFonts w:ascii="Times New Roman" w:hAnsi="Times New Roman"/>
          <w:sz w:val="24"/>
          <w:szCs w:val="24"/>
        </w:rPr>
        <w:t xml:space="preserve">implementace varianty 1, podobně jako náklady, není možné </w:t>
      </w:r>
      <w:r w:rsidR="00493A77" w:rsidRPr="00B87455">
        <w:rPr>
          <w:rFonts w:ascii="Times New Roman" w:hAnsi="Times New Roman"/>
          <w:sz w:val="24"/>
          <w:szCs w:val="24"/>
        </w:rPr>
        <w:t xml:space="preserve">objektivně </w:t>
      </w:r>
      <w:r w:rsidRPr="00B87455">
        <w:rPr>
          <w:rFonts w:ascii="Times New Roman" w:hAnsi="Times New Roman"/>
          <w:sz w:val="24"/>
          <w:szCs w:val="24"/>
        </w:rPr>
        <w:t>kvantifikovat. Není znám rozsah, zaměření, účinnost</w:t>
      </w:r>
      <w:r w:rsidR="000F361C" w:rsidRPr="00B87455">
        <w:rPr>
          <w:rFonts w:ascii="Times New Roman" w:hAnsi="Times New Roman"/>
          <w:sz w:val="24"/>
          <w:szCs w:val="24"/>
        </w:rPr>
        <w:t>,</w:t>
      </w:r>
      <w:r w:rsidRPr="00B87455">
        <w:rPr>
          <w:rFonts w:ascii="Times New Roman" w:hAnsi="Times New Roman"/>
          <w:sz w:val="24"/>
          <w:szCs w:val="24"/>
        </w:rPr>
        <w:t xml:space="preserve"> působnost </w:t>
      </w:r>
      <w:r w:rsidR="000F361C" w:rsidRPr="00B87455">
        <w:rPr>
          <w:rFonts w:ascii="Times New Roman" w:hAnsi="Times New Roman"/>
          <w:sz w:val="24"/>
          <w:szCs w:val="24"/>
        </w:rPr>
        <w:t>a</w:t>
      </w:r>
      <w:r w:rsidR="0038289E" w:rsidRPr="00B87455">
        <w:rPr>
          <w:rFonts w:ascii="Times New Roman" w:hAnsi="Times New Roman"/>
          <w:sz w:val="24"/>
          <w:szCs w:val="24"/>
        </w:rPr>
        <w:t> </w:t>
      </w:r>
      <w:r w:rsidR="000F361C" w:rsidRPr="00B87455">
        <w:rPr>
          <w:rFonts w:ascii="Times New Roman" w:hAnsi="Times New Roman"/>
          <w:sz w:val="24"/>
          <w:szCs w:val="24"/>
        </w:rPr>
        <w:t xml:space="preserve">dopad </w:t>
      </w:r>
      <w:r w:rsidRPr="00B87455">
        <w:rPr>
          <w:rFonts w:ascii="Times New Roman" w:hAnsi="Times New Roman"/>
          <w:sz w:val="24"/>
          <w:szCs w:val="24"/>
        </w:rPr>
        <w:t>případných podzákonných předpisů</w:t>
      </w:r>
      <w:r w:rsidR="000F361C" w:rsidRPr="00B87455">
        <w:rPr>
          <w:rFonts w:ascii="Times New Roman" w:hAnsi="Times New Roman"/>
          <w:sz w:val="24"/>
          <w:szCs w:val="24"/>
        </w:rPr>
        <w:t>, které by musely být zpracovány</w:t>
      </w:r>
      <w:r w:rsidRPr="00B87455">
        <w:rPr>
          <w:rFonts w:ascii="Times New Roman" w:hAnsi="Times New Roman"/>
          <w:sz w:val="24"/>
          <w:szCs w:val="24"/>
        </w:rPr>
        <w:t>. Není zcela zjevný přesný okruh jejich zpracovatelů.</w:t>
      </w:r>
      <w:r w:rsidR="000F361C" w:rsidRPr="00B87455">
        <w:rPr>
          <w:rFonts w:ascii="Times New Roman" w:hAnsi="Times New Roman"/>
          <w:sz w:val="24"/>
          <w:szCs w:val="24"/>
        </w:rPr>
        <w:t xml:space="preserve"> Přínosy této varianty by jistě nebyly v</w:t>
      </w:r>
      <w:r w:rsidR="0038289E" w:rsidRPr="00B87455">
        <w:rPr>
          <w:rFonts w:ascii="Times New Roman" w:hAnsi="Times New Roman"/>
          <w:sz w:val="24"/>
          <w:szCs w:val="24"/>
        </w:rPr>
        <w:t> </w:t>
      </w:r>
      <w:r w:rsidR="000F361C" w:rsidRPr="00B87455">
        <w:rPr>
          <w:rFonts w:ascii="Times New Roman" w:hAnsi="Times New Roman"/>
          <w:sz w:val="24"/>
          <w:szCs w:val="24"/>
        </w:rPr>
        <w:t>celém okruhu řešení rizik, zejména těch, kde povinnost subjektů privátní sféry je dána zákonem a</w:t>
      </w:r>
      <w:r w:rsidR="0038289E" w:rsidRPr="00B87455">
        <w:rPr>
          <w:rFonts w:ascii="Times New Roman" w:hAnsi="Times New Roman"/>
          <w:sz w:val="24"/>
          <w:szCs w:val="24"/>
        </w:rPr>
        <w:t> </w:t>
      </w:r>
      <w:r w:rsidR="000F361C" w:rsidRPr="00B87455">
        <w:rPr>
          <w:rFonts w:ascii="Times New Roman" w:hAnsi="Times New Roman"/>
          <w:sz w:val="24"/>
          <w:szCs w:val="24"/>
        </w:rPr>
        <w:t>nelze ji podzákonnou formou zmírňovat.</w:t>
      </w:r>
    </w:p>
    <w:p w:rsidR="00BE48E0" w:rsidRDefault="004669D8" w:rsidP="00F47500">
      <w:pPr>
        <w:ind w:left="360"/>
        <w:jc w:val="both"/>
        <w:rPr>
          <w:rFonts w:ascii="Times New Roman" w:hAnsi="Times New Roman"/>
          <w:sz w:val="24"/>
          <w:szCs w:val="24"/>
        </w:rPr>
      </w:pPr>
      <w:r w:rsidRPr="00B87455">
        <w:rPr>
          <w:rFonts w:ascii="Times New Roman" w:hAnsi="Times New Roman"/>
          <w:i/>
          <w:sz w:val="24"/>
          <w:szCs w:val="24"/>
        </w:rPr>
        <w:t>Varianta 2</w:t>
      </w:r>
      <w:r w:rsidRPr="00B87455">
        <w:rPr>
          <w:rFonts w:ascii="Times New Roman" w:hAnsi="Times New Roman"/>
          <w:sz w:val="24"/>
          <w:szCs w:val="24"/>
        </w:rPr>
        <w:br/>
      </w:r>
      <w:r w:rsidR="000F361C" w:rsidRPr="00B87455">
        <w:rPr>
          <w:rFonts w:ascii="Times New Roman" w:hAnsi="Times New Roman"/>
          <w:sz w:val="24"/>
          <w:szCs w:val="24"/>
        </w:rPr>
        <w:t xml:space="preserve">Implementace varianty 2 znamená již </w:t>
      </w:r>
      <w:r w:rsidR="0095630B" w:rsidRPr="00B87455">
        <w:rPr>
          <w:rFonts w:ascii="Times New Roman" w:hAnsi="Times New Roman"/>
          <w:sz w:val="24"/>
          <w:szCs w:val="24"/>
        </w:rPr>
        <w:t>v</w:t>
      </w:r>
      <w:r w:rsidR="0038289E" w:rsidRPr="00B87455">
        <w:rPr>
          <w:rFonts w:ascii="Times New Roman" w:hAnsi="Times New Roman"/>
          <w:sz w:val="24"/>
          <w:szCs w:val="24"/>
        </w:rPr>
        <w:t> </w:t>
      </w:r>
      <w:r w:rsidR="000F361C" w:rsidRPr="00B87455">
        <w:rPr>
          <w:rFonts w:ascii="Times New Roman" w:hAnsi="Times New Roman"/>
          <w:sz w:val="24"/>
          <w:szCs w:val="24"/>
        </w:rPr>
        <w:t>dřívějších kapitolách zmiňované posílení právní jistoty velkého okruhu subjektů privátní sféry i</w:t>
      </w:r>
      <w:r w:rsidR="0038289E" w:rsidRPr="00B87455">
        <w:rPr>
          <w:rFonts w:ascii="Times New Roman" w:hAnsi="Times New Roman"/>
          <w:sz w:val="24"/>
          <w:szCs w:val="24"/>
        </w:rPr>
        <w:t> </w:t>
      </w:r>
      <w:r w:rsidR="000F361C" w:rsidRPr="00B87455">
        <w:rPr>
          <w:rFonts w:ascii="Times New Roman" w:hAnsi="Times New Roman"/>
          <w:sz w:val="24"/>
          <w:szCs w:val="24"/>
        </w:rPr>
        <w:t>zaměstnanců. Právní jistota, že subjekty nebudou při extenzivním výkladu povinn</w:t>
      </w:r>
      <w:r w:rsidR="0095630B" w:rsidRPr="00B87455">
        <w:rPr>
          <w:rFonts w:ascii="Times New Roman" w:hAnsi="Times New Roman"/>
          <w:sz w:val="24"/>
          <w:szCs w:val="24"/>
        </w:rPr>
        <w:t>y</w:t>
      </w:r>
      <w:r w:rsidR="000F361C" w:rsidRPr="00B87455">
        <w:rPr>
          <w:rFonts w:ascii="Times New Roman" w:hAnsi="Times New Roman"/>
          <w:sz w:val="24"/>
          <w:szCs w:val="24"/>
        </w:rPr>
        <w:t xml:space="preserve"> podstoupit registraci jako distributoři pohonných hmot, může být nepřímo vyjádřena jako nevynaložení zákonem určených nákladů. Existující právní předpis předpokládá, že distributor pohonných hmot provede svou registraci u</w:t>
      </w:r>
      <w:r w:rsidR="0038289E" w:rsidRPr="00B87455">
        <w:rPr>
          <w:rFonts w:ascii="Times New Roman" w:hAnsi="Times New Roman"/>
          <w:sz w:val="24"/>
          <w:szCs w:val="24"/>
        </w:rPr>
        <w:t> </w:t>
      </w:r>
      <w:r w:rsidR="000F361C" w:rsidRPr="00B87455">
        <w:rPr>
          <w:rFonts w:ascii="Times New Roman" w:hAnsi="Times New Roman"/>
          <w:sz w:val="24"/>
          <w:szCs w:val="24"/>
        </w:rPr>
        <w:t>příslušného orgánu státní správy, přičemž nedílnou součástí registrace je i</w:t>
      </w:r>
      <w:r w:rsidR="0038289E" w:rsidRPr="00B87455">
        <w:rPr>
          <w:rFonts w:ascii="Times New Roman" w:hAnsi="Times New Roman"/>
          <w:sz w:val="24"/>
          <w:szCs w:val="24"/>
        </w:rPr>
        <w:t> </w:t>
      </w:r>
      <w:r w:rsidR="000F361C" w:rsidRPr="00B87455">
        <w:rPr>
          <w:rFonts w:ascii="Times New Roman" w:hAnsi="Times New Roman"/>
          <w:sz w:val="24"/>
          <w:szCs w:val="24"/>
        </w:rPr>
        <w:t>složení kauce ve výši 20 milion</w:t>
      </w:r>
      <w:r w:rsidR="005D581C" w:rsidRPr="00B87455">
        <w:rPr>
          <w:rFonts w:ascii="Times New Roman" w:hAnsi="Times New Roman"/>
          <w:sz w:val="24"/>
          <w:szCs w:val="24"/>
        </w:rPr>
        <w:t>ů Kč. V</w:t>
      </w:r>
      <w:r w:rsidR="0038289E" w:rsidRPr="00B87455">
        <w:rPr>
          <w:rFonts w:ascii="Times New Roman" w:hAnsi="Times New Roman"/>
          <w:sz w:val="24"/>
          <w:szCs w:val="24"/>
        </w:rPr>
        <w:t> </w:t>
      </w:r>
      <w:r w:rsidR="005D581C" w:rsidRPr="00B87455">
        <w:rPr>
          <w:rFonts w:ascii="Times New Roman" w:hAnsi="Times New Roman"/>
          <w:sz w:val="24"/>
          <w:szCs w:val="24"/>
        </w:rPr>
        <w:t>odůvodněných případech,</w:t>
      </w:r>
      <w:r w:rsidR="00493A77" w:rsidRPr="00B87455">
        <w:rPr>
          <w:rFonts w:ascii="Times New Roman" w:hAnsi="Times New Roman"/>
          <w:sz w:val="24"/>
          <w:szCs w:val="24"/>
        </w:rPr>
        <w:t xml:space="preserve"> </w:t>
      </w:r>
      <w:r w:rsidR="005D581C" w:rsidRPr="00B87455">
        <w:rPr>
          <w:rFonts w:ascii="Times New Roman" w:hAnsi="Times New Roman"/>
          <w:sz w:val="24"/>
          <w:szCs w:val="24"/>
        </w:rPr>
        <w:t>kdy distributor se složenou kaucí působí na trhu minimálně 3 roky,</w:t>
      </w:r>
      <w:r w:rsidR="000F361C" w:rsidRPr="00B87455">
        <w:rPr>
          <w:rFonts w:ascii="Times New Roman" w:hAnsi="Times New Roman"/>
          <w:sz w:val="24"/>
          <w:szCs w:val="24"/>
        </w:rPr>
        <w:t xml:space="preserve"> objem </w:t>
      </w:r>
      <w:r w:rsidR="005D581C" w:rsidRPr="00B87455">
        <w:rPr>
          <w:rFonts w:ascii="Times New Roman" w:hAnsi="Times New Roman"/>
          <w:sz w:val="24"/>
          <w:szCs w:val="24"/>
        </w:rPr>
        <w:t>jím</w:t>
      </w:r>
      <w:r w:rsidR="00493A77" w:rsidRPr="00B87455">
        <w:rPr>
          <w:rFonts w:ascii="Times New Roman" w:hAnsi="Times New Roman"/>
          <w:sz w:val="24"/>
          <w:szCs w:val="24"/>
        </w:rPr>
        <w:t xml:space="preserve"> </w:t>
      </w:r>
      <w:r w:rsidR="000F361C" w:rsidRPr="00B87455">
        <w:rPr>
          <w:rFonts w:ascii="Times New Roman" w:hAnsi="Times New Roman"/>
          <w:sz w:val="24"/>
          <w:szCs w:val="24"/>
        </w:rPr>
        <w:t>obchodovaných pohonných hmot ne</w:t>
      </w:r>
      <w:r w:rsidR="00493A77" w:rsidRPr="00B87455">
        <w:rPr>
          <w:rFonts w:ascii="Times New Roman" w:hAnsi="Times New Roman"/>
          <w:sz w:val="24"/>
          <w:szCs w:val="24"/>
        </w:rPr>
        <w:t xml:space="preserve">poklesne pod </w:t>
      </w:r>
      <w:r w:rsidR="000F361C" w:rsidRPr="00B87455">
        <w:rPr>
          <w:rFonts w:ascii="Times New Roman" w:hAnsi="Times New Roman"/>
          <w:sz w:val="24"/>
          <w:szCs w:val="24"/>
        </w:rPr>
        <w:t>úrov</w:t>
      </w:r>
      <w:r w:rsidR="00493A77" w:rsidRPr="00B87455">
        <w:rPr>
          <w:rFonts w:ascii="Times New Roman" w:hAnsi="Times New Roman"/>
          <w:sz w:val="24"/>
          <w:szCs w:val="24"/>
        </w:rPr>
        <w:t>eň</w:t>
      </w:r>
      <w:r w:rsidR="000F361C" w:rsidRPr="00B87455">
        <w:rPr>
          <w:rFonts w:ascii="Times New Roman" w:hAnsi="Times New Roman"/>
          <w:sz w:val="24"/>
          <w:szCs w:val="24"/>
        </w:rPr>
        <w:t xml:space="preserve"> nižší než 300 000 litrů kvartálně </w:t>
      </w:r>
      <w:r w:rsidR="00DF79C5" w:rsidRPr="00B87455">
        <w:rPr>
          <w:rFonts w:ascii="Times New Roman" w:hAnsi="Times New Roman"/>
          <w:sz w:val="24"/>
          <w:szCs w:val="24"/>
        </w:rPr>
        <w:t>a</w:t>
      </w:r>
      <w:r w:rsidR="0038289E" w:rsidRPr="00B87455">
        <w:rPr>
          <w:rFonts w:ascii="Times New Roman" w:hAnsi="Times New Roman"/>
          <w:sz w:val="24"/>
          <w:szCs w:val="24"/>
        </w:rPr>
        <w:t> </w:t>
      </w:r>
      <w:r w:rsidR="00DF79C5" w:rsidRPr="00B87455">
        <w:rPr>
          <w:rFonts w:ascii="Times New Roman" w:hAnsi="Times New Roman"/>
          <w:sz w:val="24"/>
          <w:szCs w:val="24"/>
        </w:rPr>
        <w:t xml:space="preserve">nepřesáhne 3 000 000 litrů </w:t>
      </w:r>
      <w:r w:rsidR="00DF79C5" w:rsidRPr="00B87455">
        <w:rPr>
          <w:rFonts w:ascii="Times New Roman" w:hAnsi="Times New Roman"/>
          <w:sz w:val="24"/>
          <w:szCs w:val="24"/>
        </w:rPr>
        <w:lastRenderedPageBreak/>
        <w:t>kvartálně a</w:t>
      </w:r>
      <w:r w:rsidR="0038289E" w:rsidRPr="00B87455">
        <w:rPr>
          <w:rFonts w:ascii="Times New Roman" w:hAnsi="Times New Roman"/>
          <w:sz w:val="24"/>
          <w:szCs w:val="24"/>
        </w:rPr>
        <w:t> </w:t>
      </w:r>
      <w:r w:rsidR="00DF79C5" w:rsidRPr="00B87455">
        <w:rPr>
          <w:rFonts w:ascii="Times New Roman" w:hAnsi="Times New Roman"/>
          <w:sz w:val="24"/>
          <w:szCs w:val="24"/>
        </w:rPr>
        <w:t>současně při zachování všech ostatních podmínek registrace</w:t>
      </w:r>
      <w:r w:rsidR="00493A77" w:rsidRPr="00B87455">
        <w:rPr>
          <w:rFonts w:ascii="Times New Roman" w:hAnsi="Times New Roman"/>
          <w:sz w:val="24"/>
          <w:szCs w:val="24"/>
        </w:rPr>
        <w:t>,</w:t>
      </w:r>
      <w:r w:rsidR="00DF79C5" w:rsidRPr="00B87455">
        <w:rPr>
          <w:rFonts w:ascii="Times New Roman" w:hAnsi="Times New Roman"/>
          <w:sz w:val="24"/>
          <w:szCs w:val="24"/>
        </w:rPr>
        <w:t xml:space="preserve"> je </w:t>
      </w:r>
      <w:r w:rsidR="003B1B62" w:rsidRPr="00B87455">
        <w:rPr>
          <w:rFonts w:ascii="Times New Roman" w:hAnsi="Times New Roman"/>
          <w:sz w:val="24"/>
          <w:szCs w:val="24"/>
        </w:rPr>
        <w:t xml:space="preserve">možné dosáhnout </w:t>
      </w:r>
      <w:r w:rsidR="00DF79C5" w:rsidRPr="00B87455">
        <w:rPr>
          <w:rFonts w:ascii="Times New Roman" w:hAnsi="Times New Roman"/>
          <w:sz w:val="24"/>
          <w:szCs w:val="24"/>
        </w:rPr>
        <w:t>snížen</w:t>
      </w:r>
      <w:r w:rsidR="003B1B62" w:rsidRPr="00B87455">
        <w:rPr>
          <w:rFonts w:ascii="Times New Roman" w:hAnsi="Times New Roman"/>
          <w:sz w:val="24"/>
          <w:szCs w:val="24"/>
        </w:rPr>
        <w:t>é</w:t>
      </w:r>
      <w:r w:rsidR="00DF79C5" w:rsidRPr="00B87455">
        <w:rPr>
          <w:rFonts w:ascii="Times New Roman" w:hAnsi="Times New Roman"/>
          <w:sz w:val="24"/>
          <w:szCs w:val="24"/>
        </w:rPr>
        <w:t xml:space="preserve"> výše kauce v</w:t>
      </w:r>
      <w:r w:rsidR="0038289E" w:rsidRPr="00B87455">
        <w:rPr>
          <w:rFonts w:ascii="Times New Roman" w:hAnsi="Times New Roman"/>
          <w:sz w:val="24"/>
          <w:szCs w:val="24"/>
        </w:rPr>
        <w:t> </w:t>
      </w:r>
      <w:r w:rsidR="00DF79C5" w:rsidRPr="00B87455">
        <w:rPr>
          <w:rFonts w:ascii="Times New Roman" w:hAnsi="Times New Roman"/>
          <w:sz w:val="24"/>
          <w:szCs w:val="24"/>
        </w:rPr>
        <w:t>hodnotě 10 milionů Kč. Kauci lze nahradit bankovní zárukou ve stejné nominální výši.</w:t>
      </w:r>
      <w:r w:rsidR="00CB69D5" w:rsidRPr="00B87455">
        <w:rPr>
          <w:rFonts w:ascii="Times New Roman" w:hAnsi="Times New Roman"/>
          <w:sz w:val="24"/>
          <w:szCs w:val="24"/>
        </w:rPr>
        <w:t xml:space="preserve"> Cena za vystavení bankovní záruky se liší podle vztah</w:t>
      </w:r>
      <w:r w:rsidR="003F6085" w:rsidRPr="00B87455">
        <w:rPr>
          <w:rFonts w:ascii="Times New Roman" w:hAnsi="Times New Roman"/>
          <w:sz w:val="24"/>
          <w:szCs w:val="24"/>
        </w:rPr>
        <w:t>ů</w:t>
      </w:r>
      <w:r w:rsidR="00CB69D5" w:rsidRPr="00B87455">
        <w:rPr>
          <w:rFonts w:ascii="Times New Roman" w:hAnsi="Times New Roman"/>
          <w:sz w:val="24"/>
          <w:szCs w:val="24"/>
        </w:rPr>
        <w:t xml:space="preserve"> subjektu s</w:t>
      </w:r>
      <w:r w:rsidR="0038289E" w:rsidRPr="00B87455">
        <w:rPr>
          <w:rFonts w:ascii="Times New Roman" w:hAnsi="Times New Roman"/>
          <w:sz w:val="24"/>
          <w:szCs w:val="24"/>
        </w:rPr>
        <w:t> </w:t>
      </w:r>
      <w:r w:rsidR="003B1B62" w:rsidRPr="00B87455">
        <w:rPr>
          <w:rFonts w:ascii="Times New Roman" w:hAnsi="Times New Roman"/>
          <w:sz w:val="24"/>
          <w:szCs w:val="24"/>
        </w:rPr>
        <w:t xml:space="preserve">relevantní </w:t>
      </w:r>
      <w:r w:rsidR="00CB69D5" w:rsidRPr="00B87455">
        <w:rPr>
          <w:rFonts w:ascii="Times New Roman" w:hAnsi="Times New Roman"/>
          <w:sz w:val="24"/>
          <w:szCs w:val="24"/>
        </w:rPr>
        <w:t>bankou a</w:t>
      </w:r>
      <w:r w:rsidR="0038289E" w:rsidRPr="00B87455">
        <w:rPr>
          <w:rFonts w:ascii="Times New Roman" w:hAnsi="Times New Roman"/>
          <w:sz w:val="24"/>
          <w:szCs w:val="24"/>
        </w:rPr>
        <w:t> </w:t>
      </w:r>
      <w:r w:rsidR="005D581C" w:rsidRPr="00B87455">
        <w:rPr>
          <w:rFonts w:ascii="Times New Roman" w:hAnsi="Times New Roman"/>
          <w:sz w:val="24"/>
          <w:szCs w:val="24"/>
        </w:rPr>
        <w:t>může dosáhnout až půl milionu Kč za kalendářní rok. Obvykle platí, že čím menší subjekt, tím vyšší úroková sazba. Ta se pohybuje v</w:t>
      </w:r>
      <w:r w:rsidR="0038289E" w:rsidRPr="00B87455">
        <w:rPr>
          <w:rFonts w:ascii="Times New Roman" w:hAnsi="Times New Roman"/>
          <w:sz w:val="24"/>
          <w:szCs w:val="24"/>
        </w:rPr>
        <w:t> </w:t>
      </w:r>
      <w:r w:rsidR="005D581C" w:rsidRPr="00B87455">
        <w:rPr>
          <w:rFonts w:ascii="Times New Roman" w:hAnsi="Times New Roman"/>
          <w:sz w:val="24"/>
          <w:szCs w:val="24"/>
        </w:rPr>
        <w:t>úrovni 0,4% (u subjektů největších) až po 3% (u subjektů malých)</w:t>
      </w:r>
      <w:r w:rsidR="00CB69D5" w:rsidRPr="00B87455">
        <w:rPr>
          <w:rFonts w:ascii="Times New Roman" w:hAnsi="Times New Roman"/>
          <w:sz w:val="24"/>
          <w:szCs w:val="24"/>
        </w:rPr>
        <w:t>.</w:t>
      </w:r>
    </w:p>
    <w:p w:rsidR="00963D95" w:rsidRPr="00B87455" w:rsidRDefault="003F6085" w:rsidP="00F47500">
      <w:pPr>
        <w:ind w:left="360"/>
        <w:jc w:val="both"/>
        <w:rPr>
          <w:rFonts w:ascii="Times New Roman" w:hAnsi="Times New Roman"/>
          <w:sz w:val="24"/>
          <w:szCs w:val="24"/>
        </w:rPr>
      </w:pPr>
      <w:r w:rsidRPr="00B87455">
        <w:rPr>
          <w:rFonts w:ascii="Times New Roman" w:hAnsi="Times New Roman"/>
          <w:sz w:val="24"/>
          <w:szCs w:val="24"/>
        </w:rPr>
        <w:t>Přínosy varianty 2 v</w:t>
      </w:r>
      <w:r w:rsidR="0038289E" w:rsidRPr="00B87455">
        <w:rPr>
          <w:rFonts w:ascii="Times New Roman" w:hAnsi="Times New Roman"/>
          <w:sz w:val="24"/>
          <w:szCs w:val="24"/>
        </w:rPr>
        <w:t> </w:t>
      </w:r>
      <w:r w:rsidRPr="00B87455">
        <w:rPr>
          <w:rFonts w:ascii="Times New Roman" w:hAnsi="Times New Roman"/>
          <w:sz w:val="24"/>
          <w:szCs w:val="24"/>
        </w:rPr>
        <w:t xml:space="preserve">případech, kdy je upravována evidenční povinnost </w:t>
      </w:r>
      <w:r w:rsidR="0038664D" w:rsidRPr="00B87455">
        <w:rPr>
          <w:rFonts w:ascii="Times New Roman" w:hAnsi="Times New Roman"/>
          <w:sz w:val="24"/>
          <w:szCs w:val="24"/>
        </w:rPr>
        <w:t>výdejních zařízení, zpřístupnění evidence výdeje pohonných hmot či upravena struktura dat z</w:t>
      </w:r>
      <w:r w:rsidR="0038289E" w:rsidRPr="00B87455">
        <w:rPr>
          <w:rFonts w:ascii="Times New Roman" w:hAnsi="Times New Roman"/>
          <w:sz w:val="24"/>
          <w:szCs w:val="24"/>
        </w:rPr>
        <w:t> </w:t>
      </w:r>
      <w:r w:rsidR="0038664D" w:rsidRPr="00B87455">
        <w:rPr>
          <w:rFonts w:ascii="Times New Roman" w:hAnsi="Times New Roman"/>
          <w:sz w:val="24"/>
          <w:szCs w:val="24"/>
        </w:rPr>
        <w:t xml:space="preserve">dobíjecích stanic pro </w:t>
      </w:r>
      <w:proofErr w:type="spellStart"/>
      <w:r w:rsidR="0038664D" w:rsidRPr="00B87455">
        <w:rPr>
          <w:rFonts w:ascii="Times New Roman" w:hAnsi="Times New Roman"/>
          <w:sz w:val="24"/>
          <w:szCs w:val="24"/>
        </w:rPr>
        <w:t>elektromobilitu</w:t>
      </w:r>
      <w:proofErr w:type="spellEnd"/>
      <w:r w:rsidR="00BE48E0">
        <w:rPr>
          <w:rFonts w:ascii="Times New Roman" w:hAnsi="Times New Roman"/>
          <w:sz w:val="24"/>
          <w:szCs w:val="24"/>
        </w:rPr>
        <w:t>,</w:t>
      </w:r>
      <w:r w:rsidR="0038664D" w:rsidRPr="00B87455">
        <w:rPr>
          <w:rFonts w:ascii="Times New Roman" w:hAnsi="Times New Roman"/>
          <w:sz w:val="24"/>
          <w:szCs w:val="24"/>
        </w:rPr>
        <w:t xml:space="preserve"> jsou zaznamenány zejména na straně veřejné správy.</w:t>
      </w:r>
      <w:r w:rsidR="00003A99" w:rsidRPr="00B87455">
        <w:rPr>
          <w:rFonts w:ascii="Times New Roman" w:hAnsi="Times New Roman"/>
          <w:sz w:val="24"/>
          <w:szCs w:val="24"/>
        </w:rPr>
        <w:t xml:space="preserve"> Zpřesnění registru a</w:t>
      </w:r>
      <w:r w:rsidR="0038289E" w:rsidRPr="00B87455">
        <w:rPr>
          <w:rFonts w:ascii="Times New Roman" w:hAnsi="Times New Roman"/>
          <w:sz w:val="24"/>
          <w:szCs w:val="24"/>
        </w:rPr>
        <w:t> </w:t>
      </w:r>
      <w:r w:rsidR="00003A99" w:rsidRPr="00B87455">
        <w:rPr>
          <w:rFonts w:ascii="Times New Roman" w:hAnsi="Times New Roman"/>
          <w:sz w:val="24"/>
          <w:szCs w:val="24"/>
        </w:rPr>
        <w:t>dat evidovaných subjektů nese potenciál efektivnějšího systému kontrolní činnosti, případně přesnější obsah povinných zpráv vůči EU.</w:t>
      </w:r>
      <w:r w:rsidR="00D81B71" w:rsidRPr="00B87455">
        <w:rPr>
          <w:rFonts w:ascii="Times New Roman" w:hAnsi="Times New Roman"/>
          <w:sz w:val="24"/>
          <w:szCs w:val="24"/>
        </w:rPr>
        <w:t xml:space="preserve"> O</w:t>
      </w:r>
      <w:r w:rsidR="0038289E" w:rsidRPr="00B87455">
        <w:rPr>
          <w:rFonts w:ascii="Times New Roman" w:hAnsi="Times New Roman"/>
          <w:sz w:val="24"/>
          <w:szCs w:val="24"/>
        </w:rPr>
        <w:t> </w:t>
      </w:r>
      <w:r w:rsidR="00D81B71" w:rsidRPr="00B87455">
        <w:rPr>
          <w:rFonts w:ascii="Times New Roman" w:hAnsi="Times New Roman"/>
          <w:sz w:val="24"/>
          <w:szCs w:val="24"/>
        </w:rPr>
        <w:t xml:space="preserve">využití získaných dat pro </w:t>
      </w:r>
      <w:r w:rsidR="00493A77" w:rsidRPr="00B87455">
        <w:rPr>
          <w:rFonts w:ascii="Times New Roman" w:hAnsi="Times New Roman"/>
          <w:sz w:val="24"/>
          <w:szCs w:val="24"/>
        </w:rPr>
        <w:t>o</w:t>
      </w:r>
      <w:r w:rsidR="00D81B71" w:rsidRPr="00B87455">
        <w:rPr>
          <w:rFonts w:ascii="Times New Roman" w:hAnsi="Times New Roman"/>
          <w:sz w:val="24"/>
          <w:szCs w:val="24"/>
        </w:rPr>
        <w:t>světovou práci v</w:t>
      </w:r>
      <w:r w:rsidR="0038289E" w:rsidRPr="00B87455">
        <w:rPr>
          <w:rFonts w:ascii="Times New Roman" w:hAnsi="Times New Roman"/>
          <w:sz w:val="24"/>
          <w:szCs w:val="24"/>
        </w:rPr>
        <w:t> </w:t>
      </w:r>
      <w:r w:rsidR="00D81B71" w:rsidRPr="00B87455">
        <w:rPr>
          <w:rFonts w:ascii="Times New Roman" w:hAnsi="Times New Roman"/>
          <w:sz w:val="24"/>
          <w:szCs w:val="24"/>
        </w:rPr>
        <w:t xml:space="preserve">oblasti </w:t>
      </w:r>
      <w:proofErr w:type="spellStart"/>
      <w:r w:rsidR="00D81B71" w:rsidRPr="00B87455">
        <w:rPr>
          <w:rFonts w:ascii="Times New Roman" w:hAnsi="Times New Roman"/>
          <w:sz w:val="24"/>
          <w:szCs w:val="24"/>
        </w:rPr>
        <w:t>elektromobilty</w:t>
      </w:r>
      <w:proofErr w:type="spellEnd"/>
      <w:r w:rsidR="00D81B71" w:rsidRPr="00B87455">
        <w:rPr>
          <w:rFonts w:ascii="Times New Roman" w:hAnsi="Times New Roman"/>
          <w:sz w:val="24"/>
          <w:szCs w:val="24"/>
        </w:rPr>
        <w:t xml:space="preserve"> </w:t>
      </w:r>
      <w:r w:rsidR="00903122" w:rsidRPr="00B87455">
        <w:rPr>
          <w:rFonts w:ascii="Times New Roman" w:hAnsi="Times New Roman"/>
          <w:sz w:val="24"/>
          <w:szCs w:val="24"/>
        </w:rPr>
        <w:t>a</w:t>
      </w:r>
      <w:r w:rsidR="0038289E" w:rsidRPr="00B87455">
        <w:rPr>
          <w:rFonts w:ascii="Times New Roman" w:hAnsi="Times New Roman"/>
          <w:sz w:val="24"/>
          <w:szCs w:val="24"/>
        </w:rPr>
        <w:t> </w:t>
      </w:r>
      <w:r w:rsidR="00903122" w:rsidRPr="00B87455">
        <w:rPr>
          <w:rFonts w:ascii="Times New Roman" w:hAnsi="Times New Roman"/>
          <w:sz w:val="24"/>
          <w:szCs w:val="24"/>
        </w:rPr>
        <w:t xml:space="preserve">jejího dalšího rozvoje podpořeného zveřejňováním objektivních údajů </w:t>
      </w:r>
      <w:r w:rsidR="00D81B71" w:rsidRPr="00B87455">
        <w:rPr>
          <w:rFonts w:ascii="Times New Roman" w:hAnsi="Times New Roman"/>
          <w:sz w:val="24"/>
          <w:szCs w:val="24"/>
        </w:rPr>
        <w:t>bylo pojednáno v</w:t>
      </w:r>
      <w:r w:rsidR="0038289E" w:rsidRPr="00B87455">
        <w:rPr>
          <w:rFonts w:ascii="Times New Roman" w:hAnsi="Times New Roman"/>
          <w:sz w:val="24"/>
          <w:szCs w:val="24"/>
        </w:rPr>
        <w:t> </w:t>
      </w:r>
      <w:r w:rsidR="00D81B71" w:rsidRPr="00B87455">
        <w:rPr>
          <w:rFonts w:ascii="Times New Roman" w:hAnsi="Times New Roman"/>
          <w:sz w:val="24"/>
          <w:szCs w:val="24"/>
        </w:rPr>
        <w:t>předchozím textu např.</w:t>
      </w:r>
      <w:r w:rsidR="00B65E48" w:rsidRPr="00B87455">
        <w:rPr>
          <w:rFonts w:ascii="Times New Roman" w:hAnsi="Times New Roman"/>
          <w:sz w:val="24"/>
          <w:szCs w:val="24"/>
        </w:rPr>
        <w:t xml:space="preserve"> v</w:t>
      </w:r>
      <w:r w:rsidR="0038289E" w:rsidRPr="00B87455">
        <w:rPr>
          <w:rFonts w:ascii="Times New Roman" w:hAnsi="Times New Roman"/>
          <w:sz w:val="24"/>
          <w:szCs w:val="24"/>
        </w:rPr>
        <w:t> </w:t>
      </w:r>
      <w:r w:rsidR="00D81B71" w:rsidRPr="00B87455">
        <w:rPr>
          <w:rFonts w:ascii="Times New Roman" w:hAnsi="Times New Roman"/>
          <w:sz w:val="24"/>
          <w:szCs w:val="24"/>
        </w:rPr>
        <w:t xml:space="preserve">kapitole 1.6. </w:t>
      </w:r>
    </w:p>
    <w:p w:rsidR="00963D95" w:rsidRPr="00B87455" w:rsidRDefault="00963D95" w:rsidP="003829C2">
      <w:pPr>
        <w:ind w:left="360"/>
        <w:rPr>
          <w:rFonts w:ascii="Times New Roman" w:hAnsi="Times New Roman"/>
          <w:sz w:val="24"/>
          <w:szCs w:val="24"/>
        </w:rPr>
      </w:pPr>
    </w:p>
    <w:p w:rsidR="00BE48E0" w:rsidRDefault="00963D95" w:rsidP="00F47500">
      <w:pPr>
        <w:ind w:left="360"/>
        <w:jc w:val="both"/>
        <w:rPr>
          <w:rFonts w:ascii="Times New Roman" w:hAnsi="Times New Roman"/>
          <w:sz w:val="24"/>
          <w:szCs w:val="24"/>
        </w:rPr>
      </w:pPr>
      <w:r w:rsidRPr="00B87455">
        <w:rPr>
          <w:rFonts w:ascii="Times New Roman" w:hAnsi="Times New Roman"/>
          <w:b/>
          <w:sz w:val="24"/>
          <w:szCs w:val="24"/>
        </w:rPr>
        <w:t>3.4. Vyhodnocení variant</w:t>
      </w:r>
      <w:r w:rsidRPr="00B87455">
        <w:rPr>
          <w:rFonts w:ascii="Times New Roman" w:hAnsi="Times New Roman"/>
          <w:sz w:val="24"/>
          <w:szCs w:val="24"/>
        </w:rPr>
        <w:br/>
      </w:r>
      <w:r w:rsidRPr="00B87455">
        <w:rPr>
          <w:rFonts w:ascii="Times New Roman" w:hAnsi="Times New Roman"/>
          <w:sz w:val="24"/>
          <w:szCs w:val="24"/>
        </w:rPr>
        <w:br/>
        <w:t>Jak vyplývá z</w:t>
      </w:r>
      <w:r w:rsidR="0038289E" w:rsidRPr="00B87455">
        <w:rPr>
          <w:rFonts w:ascii="Times New Roman" w:hAnsi="Times New Roman"/>
          <w:sz w:val="24"/>
          <w:szCs w:val="24"/>
        </w:rPr>
        <w:t> </w:t>
      </w:r>
      <w:r w:rsidR="00DA61DF" w:rsidRPr="00B87455">
        <w:rPr>
          <w:rFonts w:ascii="Times New Roman" w:hAnsi="Times New Roman"/>
          <w:sz w:val="24"/>
          <w:szCs w:val="24"/>
        </w:rPr>
        <w:t>kapitol návrhu variant a</w:t>
      </w:r>
      <w:r w:rsidR="0038289E" w:rsidRPr="00B87455">
        <w:rPr>
          <w:rFonts w:ascii="Times New Roman" w:hAnsi="Times New Roman"/>
          <w:sz w:val="24"/>
          <w:szCs w:val="24"/>
        </w:rPr>
        <w:t> </w:t>
      </w:r>
      <w:r w:rsidR="00DA61DF" w:rsidRPr="00B87455">
        <w:rPr>
          <w:rFonts w:ascii="Times New Roman" w:hAnsi="Times New Roman"/>
          <w:sz w:val="24"/>
          <w:szCs w:val="24"/>
        </w:rPr>
        <w:t>identifikace nákladů a</w:t>
      </w:r>
      <w:r w:rsidR="0038289E" w:rsidRPr="00B87455">
        <w:rPr>
          <w:rFonts w:ascii="Times New Roman" w:hAnsi="Times New Roman"/>
          <w:sz w:val="24"/>
          <w:szCs w:val="24"/>
        </w:rPr>
        <w:t> </w:t>
      </w:r>
      <w:r w:rsidR="00DA61DF" w:rsidRPr="00B87455">
        <w:rPr>
          <w:rFonts w:ascii="Times New Roman" w:hAnsi="Times New Roman"/>
          <w:sz w:val="24"/>
          <w:szCs w:val="24"/>
        </w:rPr>
        <w:t>přínosů, dosažení cílového stavu není prvoplánově měřeno fiskální</w:t>
      </w:r>
      <w:r w:rsidR="00493A77" w:rsidRPr="00B87455">
        <w:rPr>
          <w:rFonts w:ascii="Times New Roman" w:hAnsi="Times New Roman"/>
          <w:sz w:val="24"/>
          <w:szCs w:val="24"/>
        </w:rPr>
        <w:t>mi</w:t>
      </w:r>
      <w:r w:rsidR="00DA61DF" w:rsidRPr="00B87455">
        <w:rPr>
          <w:rFonts w:ascii="Times New Roman" w:hAnsi="Times New Roman"/>
          <w:sz w:val="24"/>
          <w:szCs w:val="24"/>
        </w:rPr>
        <w:t xml:space="preserve"> ukazatel</w:t>
      </w:r>
      <w:r w:rsidR="00493A77" w:rsidRPr="00B87455">
        <w:rPr>
          <w:rFonts w:ascii="Times New Roman" w:hAnsi="Times New Roman"/>
          <w:sz w:val="24"/>
          <w:szCs w:val="24"/>
        </w:rPr>
        <w:t>i</w:t>
      </w:r>
      <w:r w:rsidR="00DA61DF" w:rsidRPr="00B87455">
        <w:rPr>
          <w:rFonts w:ascii="Times New Roman" w:hAnsi="Times New Roman"/>
          <w:sz w:val="24"/>
          <w:szCs w:val="24"/>
        </w:rPr>
        <w:t>. Také při eliminaci rizik identifikovaných v</w:t>
      </w:r>
      <w:r w:rsidR="0038289E" w:rsidRPr="00B87455">
        <w:rPr>
          <w:rFonts w:ascii="Times New Roman" w:hAnsi="Times New Roman"/>
          <w:sz w:val="24"/>
          <w:szCs w:val="24"/>
        </w:rPr>
        <w:t> </w:t>
      </w:r>
      <w:r w:rsidR="00DA61DF" w:rsidRPr="00B87455">
        <w:rPr>
          <w:rFonts w:ascii="Times New Roman" w:hAnsi="Times New Roman"/>
          <w:sz w:val="24"/>
          <w:szCs w:val="24"/>
        </w:rPr>
        <w:t>průběhu konzultací se zástupci privátní i</w:t>
      </w:r>
      <w:r w:rsidR="0038289E" w:rsidRPr="00B87455">
        <w:rPr>
          <w:rFonts w:ascii="Times New Roman" w:hAnsi="Times New Roman"/>
          <w:sz w:val="24"/>
          <w:szCs w:val="24"/>
        </w:rPr>
        <w:t> </w:t>
      </w:r>
      <w:r w:rsidR="00DA61DF" w:rsidRPr="00B87455">
        <w:rPr>
          <w:rFonts w:ascii="Times New Roman" w:hAnsi="Times New Roman"/>
          <w:sz w:val="24"/>
          <w:szCs w:val="24"/>
        </w:rPr>
        <w:t>státní sféry není základní prioritou úspora přímých nákladů či získání kvantifikovatelných přínosů nad rámec současného stavu. Charakter navrhovaných opatření je především v</w:t>
      </w:r>
      <w:r w:rsidR="0038289E" w:rsidRPr="00B87455">
        <w:rPr>
          <w:rFonts w:ascii="Times New Roman" w:hAnsi="Times New Roman"/>
          <w:sz w:val="24"/>
          <w:szCs w:val="24"/>
        </w:rPr>
        <w:t> </w:t>
      </w:r>
      <w:r w:rsidR="00DA61DF" w:rsidRPr="00B87455">
        <w:rPr>
          <w:rFonts w:ascii="Times New Roman" w:hAnsi="Times New Roman"/>
          <w:sz w:val="24"/>
          <w:szCs w:val="24"/>
        </w:rPr>
        <w:t>získání větší právní jistoty v</w:t>
      </w:r>
      <w:r w:rsidR="0038289E" w:rsidRPr="00B87455">
        <w:rPr>
          <w:rFonts w:ascii="Times New Roman" w:hAnsi="Times New Roman"/>
          <w:sz w:val="24"/>
          <w:szCs w:val="24"/>
        </w:rPr>
        <w:t> </w:t>
      </w:r>
      <w:r w:rsidR="00DA61DF" w:rsidRPr="00B87455">
        <w:rPr>
          <w:rFonts w:ascii="Times New Roman" w:hAnsi="Times New Roman"/>
          <w:sz w:val="24"/>
          <w:szCs w:val="24"/>
        </w:rPr>
        <w:t>oboru svého podnikání pro velkou skupinu subjektů, v</w:t>
      </w:r>
      <w:r w:rsidR="0038289E" w:rsidRPr="00B87455">
        <w:rPr>
          <w:rFonts w:ascii="Times New Roman" w:hAnsi="Times New Roman"/>
          <w:sz w:val="24"/>
          <w:szCs w:val="24"/>
        </w:rPr>
        <w:t> </w:t>
      </w:r>
      <w:r w:rsidR="00DA61DF" w:rsidRPr="00B87455">
        <w:rPr>
          <w:rFonts w:ascii="Times New Roman" w:hAnsi="Times New Roman"/>
          <w:sz w:val="24"/>
          <w:szCs w:val="24"/>
        </w:rPr>
        <w:t>případě prodeje a</w:t>
      </w:r>
      <w:r w:rsidR="0038289E" w:rsidRPr="00B87455">
        <w:rPr>
          <w:rFonts w:ascii="Times New Roman" w:hAnsi="Times New Roman"/>
          <w:sz w:val="24"/>
          <w:szCs w:val="24"/>
        </w:rPr>
        <w:t> </w:t>
      </w:r>
      <w:r w:rsidR="00DA61DF" w:rsidRPr="00B87455">
        <w:rPr>
          <w:rFonts w:ascii="Times New Roman" w:hAnsi="Times New Roman"/>
          <w:sz w:val="24"/>
          <w:szCs w:val="24"/>
        </w:rPr>
        <w:t>výdej</w:t>
      </w:r>
      <w:r w:rsidR="00261563" w:rsidRPr="00B87455">
        <w:rPr>
          <w:rFonts w:ascii="Times New Roman" w:hAnsi="Times New Roman"/>
          <w:sz w:val="24"/>
          <w:szCs w:val="24"/>
        </w:rPr>
        <w:t>e</w:t>
      </w:r>
      <w:r w:rsidR="00DA61DF" w:rsidRPr="00B87455">
        <w:rPr>
          <w:rFonts w:ascii="Times New Roman" w:hAnsi="Times New Roman"/>
          <w:sz w:val="24"/>
          <w:szCs w:val="24"/>
        </w:rPr>
        <w:t xml:space="preserve"> pohonných hmot pak posílení rovnosti skupin subjektů, které takto s</w:t>
      </w:r>
      <w:r w:rsidR="0038289E" w:rsidRPr="00B87455">
        <w:rPr>
          <w:rFonts w:ascii="Times New Roman" w:hAnsi="Times New Roman"/>
          <w:sz w:val="24"/>
          <w:szCs w:val="24"/>
        </w:rPr>
        <w:t> </w:t>
      </w:r>
      <w:r w:rsidR="00DA61DF" w:rsidRPr="00B87455">
        <w:rPr>
          <w:rFonts w:ascii="Times New Roman" w:hAnsi="Times New Roman"/>
          <w:sz w:val="24"/>
          <w:szCs w:val="24"/>
        </w:rPr>
        <w:t xml:space="preserve">pohonnými hmotami nakládají. </w:t>
      </w:r>
    </w:p>
    <w:p w:rsidR="00BE48E0" w:rsidRDefault="00DA61DF" w:rsidP="00F47500">
      <w:pPr>
        <w:ind w:left="360"/>
        <w:jc w:val="both"/>
        <w:rPr>
          <w:rFonts w:ascii="Times New Roman" w:hAnsi="Times New Roman"/>
          <w:sz w:val="24"/>
          <w:szCs w:val="24"/>
        </w:rPr>
      </w:pPr>
      <w:r w:rsidRPr="00B87455">
        <w:rPr>
          <w:rFonts w:ascii="Times New Roman" w:hAnsi="Times New Roman"/>
          <w:sz w:val="24"/>
          <w:szCs w:val="24"/>
        </w:rPr>
        <w:t>Vyhodnocení jednotlivých možných variant se tedy soustředí na to, jakým způsobem jsou schopné eliminovat celý rozsah identifikovaných rizik a</w:t>
      </w:r>
      <w:r w:rsidR="0038289E" w:rsidRPr="00B87455">
        <w:rPr>
          <w:rFonts w:ascii="Times New Roman" w:hAnsi="Times New Roman"/>
          <w:sz w:val="24"/>
          <w:szCs w:val="24"/>
        </w:rPr>
        <w:t> </w:t>
      </w:r>
      <w:r w:rsidRPr="00B87455">
        <w:rPr>
          <w:rFonts w:ascii="Times New Roman" w:hAnsi="Times New Roman"/>
          <w:sz w:val="24"/>
          <w:szCs w:val="24"/>
        </w:rPr>
        <w:t>zda vedou k</w:t>
      </w:r>
      <w:r w:rsidR="0038289E" w:rsidRPr="00B87455">
        <w:rPr>
          <w:rFonts w:ascii="Times New Roman" w:hAnsi="Times New Roman"/>
          <w:sz w:val="24"/>
          <w:szCs w:val="24"/>
        </w:rPr>
        <w:t> </w:t>
      </w:r>
      <w:r w:rsidRPr="00B87455">
        <w:rPr>
          <w:rFonts w:ascii="Times New Roman" w:hAnsi="Times New Roman"/>
          <w:sz w:val="24"/>
          <w:szCs w:val="24"/>
        </w:rPr>
        <w:t>naplnění cílů, stanovených zejména konzultacemi s</w:t>
      </w:r>
      <w:r w:rsidR="0038289E" w:rsidRPr="00B87455">
        <w:rPr>
          <w:rFonts w:ascii="Times New Roman" w:hAnsi="Times New Roman"/>
          <w:sz w:val="24"/>
          <w:szCs w:val="24"/>
        </w:rPr>
        <w:t> </w:t>
      </w:r>
      <w:r w:rsidRPr="00B87455">
        <w:rPr>
          <w:rFonts w:ascii="Times New Roman" w:hAnsi="Times New Roman"/>
          <w:sz w:val="24"/>
          <w:szCs w:val="24"/>
        </w:rPr>
        <w:t xml:space="preserve">profesními zástupci širokého okruhu dotčených subjektů. </w:t>
      </w:r>
    </w:p>
    <w:p w:rsidR="008E3776" w:rsidRPr="00B87455" w:rsidRDefault="00DA61DF" w:rsidP="00F47500">
      <w:pPr>
        <w:ind w:left="360"/>
        <w:jc w:val="both"/>
        <w:rPr>
          <w:rFonts w:ascii="Times New Roman" w:hAnsi="Times New Roman"/>
          <w:sz w:val="24"/>
          <w:szCs w:val="24"/>
        </w:rPr>
      </w:pPr>
      <w:r w:rsidRPr="00B87455">
        <w:rPr>
          <w:rFonts w:ascii="Times New Roman" w:hAnsi="Times New Roman"/>
          <w:sz w:val="24"/>
          <w:szCs w:val="24"/>
        </w:rPr>
        <w:t>Vyhodnocení zahrnuje i</w:t>
      </w:r>
      <w:r w:rsidR="0038289E" w:rsidRPr="00B87455">
        <w:rPr>
          <w:rFonts w:ascii="Times New Roman" w:hAnsi="Times New Roman"/>
          <w:sz w:val="24"/>
          <w:szCs w:val="24"/>
        </w:rPr>
        <w:t> </w:t>
      </w:r>
      <w:r w:rsidRPr="00B87455">
        <w:rPr>
          <w:rFonts w:ascii="Times New Roman" w:hAnsi="Times New Roman"/>
          <w:sz w:val="24"/>
          <w:szCs w:val="24"/>
        </w:rPr>
        <w:t>možnou rychlost a</w:t>
      </w:r>
      <w:r w:rsidR="0038289E" w:rsidRPr="00B87455">
        <w:rPr>
          <w:rFonts w:ascii="Times New Roman" w:hAnsi="Times New Roman"/>
          <w:sz w:val="24"/>
          <w:szCs w:val="24"/>
        </w:rPr>
        <w:t> </w:t>
      </w:r>
      <w:r w:rsidRPr="00B87455">
        <w:rPr>
          <w:rFonts w:ascii="Times New Roman" w:hAnsi="Times New Roman"/>
          <w:sz w:val="24"/>
          <w:szCs w:val="24"/>
        </w:rPr>
        <w:t>komplexnost uplatnění dané varianty</w:t>
      </w:r>
      <w:r w:rsidR="001B013D" w:rsidRPr="00B87455">
        <w:rPr>
          <w:rFonts w:ascii="Times New Roman" w:hAnsi="Times New Roman"/>
          <w:sz w:val="24"/>
          <w:szCs w:val="24"/>
        </w:rPr>
        <w:t xml:space="preserve">, obecně </w:t>
      </w:r>
      <w:r w:rsidR="00493A77" w:rsidRPr="00B87455">
        <w:rPr>
          <w:rFonts w:ascii="Times New Roman" w:hAnsi="Times New Roman"/>
          <w:sz w:val="24"/>
          <w:szCs w:val="24"/>
        </w:rPr>
        <w:t xml:space="preserve">- </w:t>
      </w:r>
      <w:r w:rsidR="001B013D" w:rsidRPr="00B87455">
        <w:rPr>
          <w:rFonts w:ascii="Times New Roman" w:hAnsi="Times New Roman"/>
          <w:sz w:val="24"/>
          <w:szCs w:val="24"/>
        </w:rPr>
        <w:t>proveditelnost.</w:t>
      </w:r>
    </w:p>
    <w:p w:rsidR="008E3776" w:rsidRPr="00B87455" w:rsidRDefault="008E3776" w:rsidP="003829C2">
      <w:pPr>
        <w:ind w:left="360"/>
        <w:rPr>
          <w:rFonts w:ascii="Times New Roman" w:hAnsi="Times New Roman"/>
          <w:sz w:val="24"/>
          <w:szCs w:val="24"/>
        </w:rPr>
      </w:pPr>
    </w:p>
    <w:p w:rsidR="008E3776" w:rsidRPr="00B87455" w:rsidRDefault="008E3776" w:rsidP="003829C2">
      <w:pPr>
        <w:ind w:left="360"/>
        <w:rPr>
          <w:rFonts w:ascii="Times New Roman" w:hAnsi="Times New Roman"/>
          <w:b/>
          <w:sz w:val="24"/>
          <w:szCs w:val="24"/>
        </w:rPr>
      </w:pPr>
      <w:r w:rsidRPr="00B87455">
        <w:rPr>
          <w:rFonts w:ascii="Times New Roman" w:hAnsi="Times New Roman"/>
          <w:b/>
          <w:sz w:val="24"/>
          <w:szCs w:val="24"/>
        </w:rPr>
        <w:t>4. Stanovení pořadí variant a</w:t>
      </w:r>
      <w:r w:rsidR="0038289E" w:rsidRPr="00B87455">
        <w:rPr>
          <w:rFonts w:ascii="Times New Roman" w:hAnsi="Times New Roman"/>
          <w:b/>
          <w:sz w:val="24"/>
          <w:szCs w:val="24"/>
        </w:rPr>
        <w:t> </w:t>
      </w:r>
      <w:r w:rsidRPr="00B87455">
        <w:rPr>
          <w:rFonts w:ascii="Times New Roman" w:hAnsi="Times New Roman"/>
          <w:b/>
          <w:sz w:val="24"/>
          <w:szCs w:val="24"/>
        </w:rPr>
        <w:t>výběr nejvhodnějšího řešení</w:t>
      </w:r>
    </w:p>
    <w:p w:rsidR="00A1148A" w:rsidRPr="00B87455" w:rsidRDefault="00A1148A" w:rsidP="003829C2">
      <w:pPr>
        <w:ind w:left="360"/>
        <w:rPr>
          <w:rFonts w:ascii="Times New Roman" w:hAnsi="Times New Roman"/>
          <w:sz w:val="24"/>
          <w:szCs w:val="24"/>
        </w:rPr>
      </w:pPr>
      <w:r w:rsidRPr="00B87455">
        <w:rPr>
          <w:rFonts w:ascii="Times New Roman" w:hAnsi="Times New Roman"/>
          <w:i/>
          <w:sz w:val="24"/>
          <w:szCs w:val="24"/>
        </w:rPr>
        <w:t>Nulová varianta</w:t>
      </w:r>
      <w:r w:rsidRPr="00B87455">
        <w:rPr>
          <w:rFonts w:ascii="Times New Roman" w:hAnsi="Times New Roman"/>
          <w:sz w:val="24"/>
          <w:szCs w:val="24"/>
        </w:rPr>
        <w:t xml:space="preserve"> - vyřazena</w:t>
      </w:r>
    </w:p>
    <w:p w:rsidR="00FD5B78" w:rsidRPr="00B87455" w:rsidRDefault="00FD5B78" w:rsidP="00F47500">
      <w:pPr>
        <w:ind w:left="360"/>
        <w:jc w:val="both"/>
        <w:rPr>
          <w:rFonts w:ascii="Times New Roman" w:hAnsi="Times New Roman"/>
          <w:sz w:val="24"/>
          <w:szCs w:val="24"/>
        </w:rPr>
      </w:pPr>
      <w:r w:rsidRPr="00B87455">
        <w:rPr>
          <w:rFonts w:ascii="Times New Roman" w:hAnsi="Times New Roman"/>
          <w:sz w:val="24"/>
          <w:szCs w:val="24"/>
        </w:rPr>
        <w:t xml:space="preserve">Obě uvažované </w:t>
      </w:r>
      <w:r w:rsidRPr="00B87455">
        <w:rPr>
          <w:rFonts w:ascii="Times New Roman" w:hAnsi="Times New Roman"/>
          <w:i/>
          <w:sz w:val="24"/>
          <w:szCs w:val="24"/>
        </w:rPr>
        <w:t>varianty</w:t>
      </w:r>
      <w:r w:rsidR="00A1148A" w:rsidRPr="00B87455">
        <w:rPr>
          <w:rFonts w:ascii="Times New Roman" w:hAnsi="Times New Roman"/>
          <w:i/>
          <w:sz w:val="24"/>
          <w:szCs w:val="24"/>
        </w:rPr>
        <w:t xml:space="preserve"> 1 a</w:t>
      </w:r>
      <w:r w:rsidR="0038289E" w:rsidRPr="00B87455">
        <w:rPr>
          <w:rFonts w:ascii="Times New Roman" w:hAnsi="Times New Roman"/>
          <w:i/>
          <w:sz w:val="24"/>
          <w:szCs w:val="24"/>
        </w:rPr>
        <w:t> </w:t>
      </w:r>
      <w:r w:rsidR="00A1148A" w:rsidRPr="00B87455">
        <w:rPr>
          <w:rFonts w:ascii="Times New Roman" w:hAnsi="Times New Roman"/>
          <w:i/>
          <w:sz w:val="24"/>
          <w:szCs w:val="24"/>
        </w:rPr>
        <w:t>2</w:t>
      </w:r>
      <w:r w:rsidRPr="00B87455">
        <w:rPr>
          <w:rFonts w:ascii="Times New Roman" w:hAnsi="Times New Roman"/>
          <w:sz w:val="24"/>
          <w:szCs w:val="24"/>
        </w:rPr>
        <w:t xml:space="preserve"> byly komplexně posuzovány z</w:t>
      </w:r>
      <w:r w:rsidR="0038289E" w:rsidRPr="00B87455">
        <w:rPr>
          <w:rFonts w:ascii="Times New Roman" w:hAnsi="Times New Roman"/>
          <w:sz w:val="24"/>
          <w:szCs w:val="24"/>
        </w:rPr>
        <w:t> </w:t>
      </w:r>
      <w:r w:rsidRPr="00B87455">
        <w:rPr>
          <w:rFonts w:ascii="Times New Roman" w:hAnsi="Times New Roman"/>
          <w:sz w:val="24"/>
          <w:szCs w:val="24"/>
        </w:rPr>
        <w:t>hlediska jejich nákladů, přínosů, proveditelnosti, časového aspektu, plnění cílů, dopadů do státního rozpočtu a</w:t>
      </w:r>
      <w:r w:rsidR="0038289E" w:rsidRPr="00B87455">
        <w:rPr>
          <w:rFonts w:ascii="Times New Roman" w:hAnsi="Times New Roman"/>
          <w:sz w:val="24"/>
          <w:szCs w:val="24"/>
        </w:rPr>
        <w:t> </w:t>
      </w:r>
      <w:r w:rsidRPr="00B87455">
        <w:rPr>
          <w:rFonts w:ascii="Times New Roman" w:hAnsi="Times New Roman"/>
          <w:sz w:val="24"/>
          <w:szCs w:val="24"/>
        </w:rPr>
        <w:t>dalších atributů.</w:t>
      </w:r>
      <w:r w:rsidRPr="00B87455">
        <w:rPr>
          <w:rFonts w:ascii="Times New Roman" w:hAnsi="Times New Roman"/>
          <w:sz w:val="24"/>
          <w:szCs w:val="24"/>
        </w:rPr>
        <w:br/>
      </w:r>
      <w:r w:rsidRPr="00B87455">
        <w:rPr>
          <w:rFonts w:ascii="Times New Roman" w:hAnsi="Times New Roman"/>
          <w:sz w:val="24"/>
          <w:szCs w:val="24"/>
        </w:rPr>
        <w:lastRenderedPageBreak/>
        <w:t>Z předchozích kapitol vyplývá, že nejvhodnější pro uskutečnění záměru a</w:t>
      </w:r>
      <w:r w:rsidR="0038289E" w:rsidRPr="00B87455">
        <w:rPr>
          <w:rFonts w:ascii="Times New Roman" w:hAnsi="Times New Roman"/>
          <w:sz w:val="24"/>
          <w:szCs w:val="24"/>
        </w:rPr>
        <w:t> </w:t>
      </w:r>
      <w:r w:rsidRPr="00B87455">
        <w:rPr>
          <w:rFonts w:ascii="Times New Roman" w:hAnsi="Times New Roman"/>
          <w:sz w:val="24"/>
          <w:szCs w:val="24"/>
        </w:rPr>
        <w:t xml:space="preserve">naplnění cílů identifikovaných při konzultacích zejména se zástupci podnikatelské veřejnosti je </w:t>
      </w:r>
      <w:r w:rsidRPr="00B87455">
        <w:rPr>
          <w:rFonts w:ascii="Times New Roman" w:hAnsi="Times New Roman"/>
          <w:i/>
          <w:sz w:val="24"/>
          <w:szCs w:val="24"/>
        </w:rPr>
        <w:t>varianta</w:t>
      </w:r>
      <w:r w:rsidR="00BE48E0">
        <w:rPr>
          <w:rFonts w:ascii="Times New Roman" w:hAnsi="Times New Roman"/>
          <w:i/>
          <w:sz w:val="24"/>
          <w:szCs w:val="24"/>
        </w:rPr>
        <w:t> </w:t>
      </w:r>
      <w:r w:rsidRPr="00B87455">
        <w:rPr>
          <w:rFonts w:ascii="Times New Roman" w:hAnsi="Times New Roman"/>
          <w:i/>
          <w:sz w:val="24"/>
          <w:szCs w:val="24"/>
        </w:rPr>
        <w:t>2</w:t>
      </w:r>
      <w:r w:rsidRPr="00B87455">
        <w:rPr>
          <w:rFonts w:ascii="Times New Roman" w:hAnsi="Times New Roman"/>
          <w:sz w:val="24"/>
          <w:szCs w:val="24"/>
        </w:rPr>
        <w:t>.</w:t>
      </w:r>
    </w:p>
    <w:p w:rsidR="00B81F27" w:rsidRPr="00B87455" w:rsidRDefault="00B81F27" w:rsidP="00F47500">
      <w:pPr>
        <w:ind w:left="360"/>
        <w:jc w:val="both"/>
        <w:rPr>
          <w:rFonts w:ascii="Times New Roman" w:hAnsi="Times New Roman"/>
          <w:sz w:val="24"/>
          <w:szCs w:val="24"/>
        </w:rPr>
      </w:pPr>
      <w:r w:rsidRPr="00B87455">
        <w:rPr>
          <w:rFonts w:ascii="Times New Roman" w:hAnsi="Times New Roman"/>
          <w:sz w:val="24"/>
          <w:szCs w:val="24"/>
        </w:rPr>
        <w:t>U zvolené varianty byly rovněž hodnoceny širší vlivy a</w:t>
      </w:r>
      <w:r w:rsidR="0038289E" w:rsidRPr="00B87455">
        <w:rPr>
          <w:rFonts w:ascii="Times New Roman" w:hAnsi="Times New Roman"/>
          <w:sz w:val="24"/>
          <w:szCs w:val="24"/>
        </w:rPr>
        <w:t> </w:t>
      </w:r>
      <w:r w:rsidRPr="00B87455">
        <w:rPr>
          <w:rFonts w:ascii="Times New Roman" w:hAnsi="Times New Roman"/>
          <w:sz w:val="24"/>
          <w:szCs w:val="24"/>
        </w:rPr>
        <w:t>bylo konstatováno, že:</w:t>
      </w:r>
    </w:p>
    <w:p w:rsidR="00B81F27" w:rsidRPr="00B87455" w:rsidRDefault="00B81F27" w:rsidP="00BE48E0">
      <w:pPr>
        <w:pStyle w:val="Odstavecseseznamem"/>
        <w:numPr>
          <w:ilvl w:val="0"/>
          <w:numId w:val="27"/>
        </w:numPr>
        <w:spacing w:before="120"/>
        <w:jc w:val="both"/>
        <w:rPr>
          <w:rFonts w:ascii="Times New Roman" w:hAnsi="Times New Roman"/>
          <w:sz w:val="24"/>
          <w:szCs w:val="24"/>
        </w:rPr>
      </w:pPr>
      <w:r w:rsidRPr="00B87455">
        <w:rPr>
          <w:rFonts w:ascii="Times New Roman" w:hAnsi="Times New Roman"/>
          <w:sz w:val="24"/>
          <w:szCs w:val="24"/>
        </w:rPr>
        <w:t>nemá negativní dopad na státní rozpočet,</w:t>
      </w:r>
      <w:r w:rsidR="00D56410" w:rsidRPr="00B87455">
        <w:rPr>
          <w:rFonts w:ascii="Times New Roman" w:hAnsi="Times New Roman"/>
          <w:sz w:val="24"/>
          <w:szCs w:val="24"/>
        </w:rPr>
        <w:t xml:space="preserve"> </w:t>
      </w:r>
      <w:r w:rsidR="00B6621D" w:rsidRPr="00B87455">
        <w:rPr>
          <w:rFonts w:ascii="Times New Roman" w:hAnsi="Times New Roman"/>
          <w:sz w:val="24"/>
          <w:szCs w:val="24"/>
        </w:rPr>
        <w:t>n</w:t>
      </w:r>
      <w:r w:rsidRPr="00B87455">
        <w:rPr>
          <w:rFonts w:ascii="Times New Roman" w:hAnsi="Times New Roman"/>
          <w:sz w:val="24"/>
          <w:szCs w:val="24"/>
        </w:rPr>
        <w:t>emá negativní dopad do sociální oblasti včet</w:t>
      </w:r>
      <w:r w:rsidR="00B6621D" w:rsidRPr="00B87455">
        <w:rPr>
          <w:rFonts w:ascii="Times New Roman" w:hAnsi="Times New Roman"/>
          <w:sz w:val="24"/>
          <w:szCs w:val="24"/>
        </w:rPr>
        <w:t xml:space="preserve">ně dopadů na rodiny, specifické </w:t>
      </w:r>
      <w:r w:rsidRPr="00B87455">
        <w:rPr>
          <w:rFonts w:ascii="Times New Roman" w:hAnsi="Times New Roman"/>
          <w:sz w:val="24"/>
          <w:szCs w:val="24"/>
        </w:rPr>
        <w:t>skupiny obyvatel sociálně slabých, se zdravotním postižením či národnostní menšiny. Navrhované kroky se takových skupin vůbec nedotýkají a</w:t>
      </w:r>
      <w:r w:rsidR="0038289E" w:rsidRPr="00B87455">
        <w:rPr>
          <w:rFonts w:ascii="Times New Roman" w:hAnsi="Times New Roman"/>
          <w:sz w:val="24"/>
          <w:szCs w:val="24"/>
        </w:rPr>
        <w:t> </w:t>
      </w:r>
      <w:r w:rsidR="006762D6" w:rsidRPr="00B87455">
        <w:rPr>
          <w:rFonts w:ascii="Times New Roman" w:hAnsi="Times New Roman"/>
          <w:sz w:val="24"/>
          <w:szCs w:val="24"/>
        </w:rPr>
        <w:t xml:space="preserve">zamýšlené </w:t>
      </w:r>
      <w:r w:rsidRPr="00B87455">
        <w:rPr>
          <w:rFonts w:ascii="Times New Roman" w:hAnsi="Times New Roman"/>
          <w:sz w:val="24"/>
          <w:szCs w:val="24"/>
        </w:rPr>
        <w:t>změny v</w:t>
      </w:r>
      <w:r w:rsidR="0038289E" w:rsidRPr="00B87455">
        <w:rPr>
          <w:rFonts w:ascii="Times New Roman" w:hAnsi="Times New Roman"/>
          <w:sz w:val="24"/>
          <w:szCs w:val="24"/>
        </w:rPr>
        <w:t> </w:t>
      </w:r>
      <w:r w:rsidRPr="00B87455">
        <w:rPr>
          <w:rFonts w:ascii="Times New Roman" w:hAnsi="Times New Roman"/>
          <w:sz w:val="24"/>
          <w:szCs w:val="24"/>
        </w:rPr>
        <w:t>podnikatelském prostředí na ně necílí</w:t>
      </w:r>
      <w:r w:rsidR="005F1BC8" w:rsidRPr="00B87455">
        <w:rPr>
          <w:rFonts w:ascii="Times New Roman" w:hAnsi="Times New Roman"/>
          <w:sz w:val="24"/>
          <w:szCs w:val="24"/>
        </w:rPr>
        <w:t>,</w:t>
      </w:r>
    </w:p>
    <w:p w:rsidR="00924664" w:rsidRPr="00B87455" w:rsidRDefault="00B81F27" w:rsidP="00BE48E0">
      <w:pPr>
        <w:pStyle w:val="Odstavecseseznamem"/>
        <w:numPr>
          <w:ilvl w:val="0"/>
          <w:numId w:val="27"/>
        </w:numPr>
        <w:spacing w:before="120"/>
        <w:jc w:val="both"/>
        <w:rPr>
          <w:rFonts w:ascii="Times New Roman" w:hAnsi="Times New Roman"/>
          <w:sz w:val="24"/>
          <w:szCs w:val="24"/>
        </w:rPr>
      </w:pPr>
      <w:r w:rsidRPr="00B87455">
        <w:rPr>
          <w:rFonts w:ascii="Times New Roman" w:hAnsi="Times New Roman"/>
          <w:sz w:val="24"/>
          <w:szCs w:val="24"/>
        </w:rPr>
        <w:t>uvažované řešení pro zlepšení současného stavu nemá dopad na zákaz diskriminace, na rovnost práv žen a</w:t>
      </w:r>
      <w:r w:rsidR="0038289E" w:rsidRPr="00B87455">
        <w:rPr>
          <w:rFonts w:ascii="Times New Roman" w:hAnsi="Times New Roman"/>
          <w:sz w:val="24"/>
          <w:szCs w:val="24"/>
        </w:rPr>
        <w:t> </w:t>
      </w:r>
      <w:r w:rsidRPr="00B87455">
        <w:rPr>
          <w:rFonts w:ascii="Times New Roman" w:hAnsi="Times New Roman"/>
          <w:sz w:val="24"/>
          <w:szCs w:val="24"/>
        </w:rPr>
        <w:t>mužů</w:t>
      </w:r>
      <w:r w:rsidR="00924664" w:rsidRPr="00B87455">
        <w:rPr>
          <w:rFonts w:ascii="Times New Roman" w:hAnsi="Times New Roman"/>
          <w:sz w:val="24"/>
          <w:szCs w:val="24"/>
        </w:rPr>
        <w:t xml:space="preserve"> ani nezakládá korupční rizika, tedy nemá dopad na míru korupce</w:t>
      </w:r>
      <w:r w:rsidR="005F1BC8" w:rsidRPr="00B87455">
        <w:rPr>
          <w:rFonts w:ascii="Times New Roman" w:hAnsi="Times New Roman"/>
          <w:sz w:val="24"/>
          <w:szCs w:val="24"/>
        </w:rPr>
        <w:t>,</w:t>
      </w:r>
    </w:p>
    <w:p w:rsidR="00F06C99" w:rsidRPr="00B87455" w:rsidRDefault="00F06C99" w:rsidP="00BE48E0">
      <w:pPr>
        <w:pStyle w:val="Odstavecseseznamem"/>
        <w:numPr>
          <w:ilvl w:val="0"/>
          <w:numId w:val="27"/>
        </w:numPr>
        <w:spacing w:before="120"/>
        <w:ind w:left="714" w:hanging="357"/>
        <w:jc w:val="both"/>
        <w:rPr>
          <w:rFonts w:ascii="Times New Roman" w:hAnsi="Times New Roman"/>
          <w:sz w:val="24"/>
          <w:szCs w:val="24"/>
        </w:rPr>
      </w:pPr>
      <w:r w:rsidRPr="00B87455">
        <w:rPr>
          <w:rFonts w:ascii="Times New Roman" w:hAnsi="Times New Roman"/>
          <w:sz w:val="24"/>
          <w:szCs w:val="24"/>
        </w:rPr>
        <w:t>bezpečnost, nebo obrana státu, zájmy zpravodajských služeb a</w:t>
      </w:r>
      <w:r w:rsidR="0038289E" w:rsidRPr="00B87455">
        <w:rPr>
          <w:rFonts w:ascii="Times New Roman" w:hAnsi="Times New Roman"/>
          <w:sz w:val="24"/>
          <w:szCs w:val="24"/>
        </w:rPr>
        <w:t> </w:t>
      </w:r>
      <w:r w:rsidRPr="00B87455">
        <w:rPr>
          <w:rFonts w:ascii="Times New Roman" w:hAnsi="Times New Roman"/>
          <w:sz w:val="24"/>
          <w:szCs w:val="24"/>
        </w:rPr>
        <w:t>bezpečnostních sborů či armády navrženou variantou řešení nejsou v</w:t>
      </w:r>
      <w:r w:rsidR="0038289E" w:rsidRPr="00B87455">
        <w:rPr>
          <w:rFonts w:ascii="Times New Roman" w:hAnsi="Times New Roman"/>
          <w:sz w:val="24"/>
          <w:szCs w:val="24"/>
        </w:rPr>
        <w:t> </w:t>
      </w:r>
      <w:r w:rsidRPr="00B87455">
        <w:rPr>
          <w:rFonts w:ascii="Times New Roman" w:hAnsi="Times New Roman"/>
          <w:sz w:val="24"/>
          <w:szCs w:val="24"/>
        </w:rPr>
        <w:t>žádném případě dotčeny, uvažované úpravy na tuto oblast nemají žádný vliv a</w:t>
      </w:r>
      <w:r w:rsidR="0038289E" w:rsidRPr="00B87455">
        <w:rPr>
          <w:rFonts w:ascii="Times New Roman" w:hAnsi="Times New Roman"/>
          <w:sz w:val="24"/>
          <w:szCs w:val="24"/>
        </w:rPr>
        <w:t> </w:t>
      </w:r>
      <w:r w:rsidRPr="00B87455">
        <w:rPr>
          <w:rFonts w:ascii="Times New Roman" w:hAnsi="Times New Roman"/>
          <w:sz w:val="24"/>
          <w:szCs w:val="24"/>
        </w:rPr>
        <w:t>nezakládají pro ni aktuální ani budoucí riziko</w:t>
      </w:r>
      <w:r w:rsidR="005F1BC8" w:rsidRPr="00B87455">
        <w:rPr>
          <w:rFonts w:ascii="Times New Roman" w:hAnsi="Times New Roman"/>
          <w:sz w:val="24"/>
          <w:szCs w:val="24"/>
        </w:rPr>
        <w:t>,</w:t>
      </w:r>
    </w:p>
    <w:p w:rsidR="00F12835" w:rsidRPr="00B87455" w:rsidRDefault="00F12835" w:rsidP="00BE48E0">
      <w:pPr>
        <w:pStyle w:val="Odstavecseseznamem"/>
        <w:numPr>
          <w:ilvl w:val="0"/>
          <w:numId w:val="27"/>
        </w:numPr>
        <w:spacing w:before="120"/>
        <w:jc w:val="both"/>
        <w:rPr>
          <w:rFonts w:ascii="Times New Roman" w:hAnsi="Times New Roman"/>
          <w:sz w:val="24"/>
          <w:szCs w:val="24"/>
        </w:rPr>
      </w:pPr>
      <w:r w:rsidRPr="00B87455">
        <w:rPr>
          <w:rFonts w:ascii="Times New Roman" w:hAnsi="Times New Roman"/>
          <w:sz w:val="24"/>
          <w:szCs w:val="24"/>
        </w:rPr>
        <w:t>pozitivní dopady pro zaměstnavatele i</w:t>
      </w:r>
      <w:r w:rsidR="0038289E" w:rsidRPr="00B87455">
        <w:rPr>
          <w:rFonts w:ascii="Times New Roman" w:hAnsi="Times New Roman"/>
          <w:sz w:val="24"/>
          <w:szCs w:val="24"/>
        </w:rPr>
        <w:t> </w:t>
      </w:r>
      <w:r w:rsidRPr="00B87455">
        <w:rPr>
          <w:rFonts w:ascii="Times New Roman" w:hAnsi="Times New Roman"/>
          <w:sz w:val="24"/>
          <w:szCs w:val="24"/>
        </w:rPr>
        <w:t>zaměstnance při posílení právní jistoty podnikatelského prostředí pak tvoří podstatnou část cílů úpravy</w:t>
      </w:r>
      <w:r w:rsidR="00931D4B" w:rsidRPr="00B87455">
        <w:rPr>
          <w:rFonts w:ascii="Times New Roman" w:hAnsi="Times New Roman"/>
          <w:sz w:val="24"/>
          <w:szCs w:val="24"/>
        </w:rPr>
        <w:t>, jak opakovaně v</w:t>
      </w:r>
      <w:r w:rsidR="0038289E" w:rsidRPr="00B87455">
        <w:rPr>
          <w:rFonts w:ascii="Times New Roman" w:hAnsi="Times New Roman"/>
          <w:sz w:val="24"/>
          <w:szCs w:val="24"/>
        </w:rPr>
        <w:t> </w:t>
      </w:r>
      <w:r w:rsidR="00931D4B" w:rsidRPr="00B87455">
        <w:rPr>
          <w:rFonts w:ascii="Times New Roman" w:hAnsi="Times New Roman"/>
          <w:sz w:val="24"/>
          <w:szCs w:val="24"/>
        </w:rPr>
        <w:t>textu zmiňuje toto hodnocení</w:t>
      </w:r>
      <w:r w:rsidRPr="00B87455">
        <w:rPr>
          <w:rFonts w:ascii="Times New Roman" w:hAnsi="Times New Roman"/>
          <w:sz w:val="24"/>
          <w:szCs w:val="24"/>
        </w:rPr>
        <w:t>. Současně pozitivní vliv dopadá do oblasti podnikatelské sféry zaměřené na pronájem vozidel, strojů a</w:t>
      </w:r>
      <w:r w:rsidR="0038289E" w:rsidRPr="00B87455">
        <w:rPr>
          <w:rFonts w:ascii="Times New Roman" w:hAnsi="Times New Roman"/>
          <w:sz w:val="24"/>
          <w:szCs w:val="24"/>
        </w:rPr>
        <w:t> </w:t>
      </w:r>
      <w:r w:rsidRPr="00B87455">
        <w:rPr>
          <w:rFonts w:ascii="Times New Roman" w:hAnsi="Times New Roman"/>
          <w:sz w:val="24"/>
          <w:szCs w:val="24"/>
        </w:rPr>
        <w:t>zařízení a</w:t>
      </w:r>
      <w:r w:rsidR="0038289E" w:rsidRPr="00B87455">
        <w:rPr>
          <w:rFonts w:ascii="Times New Roman" w:hAnsi="Times New Roman"/>
          <w:sz w:val="24"/>
          <w:szCs w:val="24"/>
        </w:rPr>
        <w:t> </w:t>
      </w:r>
      <w:r w:rsidRPr="00B87455">
        <w:rPr>
          <w:rFonts w:ascii="Times New Roman" w:hAnsi="Times New Roman"/>
          <w:sz w:val="24"/>
          <w:szCs w:val="24"/>
        </w:rPr>
        <w:t>také vydavatele a</w:t>
      </w:r>
      <w:r w:rsidR="0038289E" w:rsidRPr="00B87455">
        <w:rPr>
          <w:rFonts w:ascii="Times New Roman" w:hAnsi="Times New Roman"/>
          <w:sz w:val="24"/>
          <w:szCs w:val="24"/>
        </w:rPr>
        <w:t> </w:t>
      </w:r>
      <w:r w:rsidRPr="00B87455">
        <w:rPr>
          <w:rFonts w:ascii="Times New Roman" w:hAnsi="Times New Roman"/>
          <w:sz w:val="24"/>
          <w:szCs w:val="24"/>
        </w:rPr>
        <w:t>zprostředkovatele palivových karet, jejichž prostřednictvím dochází k</w:t>
      </w:r>
      <w:r w:rsidR="0038289E" w:rsidRPr="00B87455">
        <w:rPr>
          <w:rFonts w:ascii="Times New Roman" w:hAnsi="Times New Roman"/>
          <w:sz w:val="24"/>
          <w:szCs w:val="24"/>
        </w:rPr>
        <w:t> </w:t>
      </w:r>
      <w:r w:rsidRPr="00B87455">
        <w:rPr>
          <w:rFonts w:ascii="Times New Roman" w:hAnsi="Times New Roman"/>
          <w:sz w:val="24"/>
          <w:szCs w:val="24"/>
        </w:rPr>
        <w:t>pořizování pohonných hmot</w:t>
      </w:r>
      <w:r w:rsidR="002942D6" w:rsidRPr="00B87455">
        <w:rPr>
          <w:rFonts w:ascii="Times New Roman" w:hAnsi="Times New Roman"/>
          <w:sz w:val="24"/>
          <w:szCs w:val="24"/>
        </w:rPr>
        <w:t xml:space="preserve"> bezhotovostní formou</w:t>
      </w:r>
      <w:r w:rsidR="005F1BC8" w:rsidRPr="00B87455">
        <w:rPr>
          <w:rFonts w:ascii="Times New Roman" w:hAnsi="Times New Roman"/>
          <w:sz w:val="24"/>
          <w:szCs w:val="24"/>
        </w:rPr>
        <w:t>.</w:t>
      </w:r>
    </w:p>
    <w:p w:rsidR="00F06C99" w:rsidRPr="00B87455" w:rsidRDefault="00F06C99" w:rsidP="00B6621D">
      <w:pPr>
        <w:jc w:val="both"/>
        <w:rPr>
          <w:rFonts w:ascii="Times New Roman" w:hAnsi="Times New Roman"/>
          <w:sz w:val="24"/>
          <w:szCs w:val="24"/>
        </w:rPr>
      </w:pPr>
      <w:r w:rsidRPr="00B87455">
        <w:rPr>
          <w:rFonts w:ascii="Times New Roman" w:hAnsi="Times New Roman"/>
          <w:sz w:val="24"/>
          <w:szCs w:val="24"/>
        </w:rPr>
        <w:t>Ochrana soukromí a</w:t>
      </w:r>
      <w:r w:rsidR="0038289E" w:rsidRPr="00B87455">
        <w:rPr>
          <w:rFonts w:ascii="Times New Roman" w:hAnsi="Times New Roman"/>
          <w:sz w:val="24"/>
          <w:szCs w:val="24"/>
        </w:rPr>
        <w:t> </w:t>
      </w:r>
      <w:r w:rsidRPr="00B87455">
        <w:rPr>
          <w:rFonts w:ascii="Times New Roman" w:hAnsi="Times New Roman"/>
          <w:sz w:val="24"/>
          <w:szCs w:val="24"/>
        </w:rPr>
        <w:t>osobních dat podléhá existujícímu právnímu rámci. Evidence dat, a</w:t>
      </w:r>
      <w:r w:rsidR="0038289E" w:rsidRPr="00B87455">
        <w:rPr>
          <w:rFonts w:ascii="Times New Roman" w:hAnsi="Times New Roman"/>
          <w:sz w:val="24"/>
          <w:szCs w:val="24"/>
        </w:rPr>
        <w:t> </w:t>
      </w:r>
      <w:r w:rsidRPr="00B87455">
        <w:rPr>
          <w:rFonts w:ascii="Times New Roman" w:hAnsi="Times New Roman"/>
          <w:sz w:val="24"/>
          <w:szCs w:val="24"/>
        </w:rPr>
        <w:t>to i</w:t>
      </w:r>
      <w:r w:rsidR="0038289E" w:rsidRPr="00B87455">
        <w:rPr>
          <w:rFonts w:ascii="Times New Roman" w:hAnsi="Times New Roman"/>
          <w:sz w:val="24"/>
          <w:szCs w:val="24"/>
        </w:rPr>
        <w:t> </w:t>
      </w:r>
      <w:r w:rsidRPr="00B87455">
        <w:rPr>
          <w:rFonts w:ascii="Times New Roman" w:hAnsi="Times New Roman"/>
          <w:sz w:val="24"/>
          <w:szCs w:val="24"/>
        </w:rPr>
        <w:t>nově pořizovaných, se řídí příslušnými právními předpisy evropského práva i</w:t>
      </w:r>
      <w:r w:rsidR="0038289E" w:rsidRPr="00B87455">
        <w:rPr>
          <w:rFonts w:ascii="Times New Roman" w:hAnsi="Times New Roman"/>
          <w:sz w:val="24"/>
          <w:szCs w:val="24"/>
        </w:rPr>
        <w:t> </w:t>
      </w:r>
      <w:r w:rsidRPr="00B87455">
        <w:rPr>
          <w:rFonts w:ascii="Times New Roman" w:hAnsi="Times New Roman"/>
          <w:sz w:val="24"/>
          <w:szCs w:val="24"/>
        </w:rPr>
        <w:t xml:space="preserve">národní legislativy. Ochrana dat </w:t>
      </w:r>
      <w:r w:rsidR="00D005BC" w:rsidRPr="00B87455">
        <w:rPr>
          <w:rFonts w:ascii="Times New Roman" w:hAnsi="Times New Roman"/>
          <w:sz w:val="24"/>
          <w:szCs w:val="24"/>
        </w:rPr>
        <w:t xml:space="preserve">při správě </w:t>
      </w:r>
      <w:r w:rsidRPr="00B87455">
        <w:rPr>
          <w:rFonts w:ascii="Times New Roman" w:hAnsi="Times New Roman"/>
          <w:sz w:val="24"/>
          <w:szCs w:val="24"/>
        </w:rPr>
        <w:t xml:space="preserve">je zajištěna stejným mechanismem aplikovaným na již existující soubory </w:t>
      </w:r>
      <w:r w:rsidR="00D005BC" w:rsidRPr="00B87455">
        <w:rPr>
          <w:rFonts w:ascii="Times New Roman" w:hAnsi="Times New Roman"/>
          <w:sz w:val="24"/>
          <w:szCs w:val="24"/>
        </w:rPr>
        <w:t xml:space="preserve">zpracovávaných </w:t>
      </w:r>
      <w:r w:rsidRPr="00B87455">
        <w:rPr>
          <w:rFonts w:ascii="Times New Roman" w:hAnsi="Times New Roman"/>
          <w:sz w:val="24"/>
          <w:szCs w:val="24"/>
        </w:rPr>
        <w:t xml:space="preserve">dat </w:t>
      </w:r>
      <w:r w:rsidR="00D005BC" w:rsidRPr="00B87455">
        <w:rPr>
          <w:rFonts w:ascii="Times New Roman" w:hAnsi="Times New Roman"/>
          <w:sz w:val="24"/>
          <w:szCs w:val="24"/>
        </w:rPr>
        <w:t>d</w:t>
      </w:r>
      <w:r w:rsidRPr="00B87455">
        <w:rPr>
          <w:rFonts w:ascii="Times New Roman" w:hAnsi="Times New Roman"/>
          <w:sz w:val="24"/>
          <w:szCs w:val="24"/>
        </w:rPr>
        <w:t>otčený</w:t>
      </w:r>
      <w:r w:rsidR="00D005BC" w:rsidRPr="00B87455">
        <w:rPr>
          <w:rFonts w:ascii="Times New Roman" w:hAnsi="Times New Roman"/>
          <w:sz w:val="24"/>
          <w:szCs w:val="24"/>
        </w:rPr>
        <w:t>mi</w:t>
      </w:r>
      <w:r w:rsidRPr="00B87455">
        <w:rPr>
          <w:rFonts w:ascii="Times New Roman" w:hAnsi="Times New Roman"/>
          <w:sz w:val="24"/>
          <w:szCs w:val="24"/>
        </w:rPr>
        <w:t xml:space="preserve"> orgán</w:t>
      </w:r>
      <w:r w:rsidR="00D005BC" w:rsidRPr="00B87455">
        <w:rPr>
          <w:rFonts w:ascii="Times New Roman" w:hAnsi="Times New Roman"/>
          <w:sz w:val="24"/>
          <w:szCs w:val="24"/>
        </w:rPr>
        <w:t>y</w:t>
      </w:r>
      <w:r w:rsidRPr="00B87455">
        <w:rPr>
          <w:rFonts w:ascii="Times New Roman" w:hAnsi="Times New Roman"/>
          <w:sz w:val="24"/>
          <w:szCs w:val="24"/>
        </w:rPr>
        <w:t xml:space="preserve"> veřejné správy. Nevznikají nová rizika při nakládání se zákonně pořízenými daty.</w:t>
      </w:r>
    </w:p>
    <w:p w:rsidR="00786CE3" w:rsidRPr="00B87455" w:rsidRDefault="00786CE3" w:rsidP="00A31C65">
      <w:pPr>
        <w:ind w:left="360"/>
        <w:rPr>
          <w:rFonts w:ascii="Times New Roman" w:hAnsi="Times New Roman"/>
          <w:sz w:val="24"/>
          <w:szCs w:val="24"/>
        </w:rPr>
      </w:pPr>
    </w:p>
    <w:p w:rsidR="007F6A22" w:rsidRPr="00B87455" w:rsidRDefault="00786CE3" w:rsidP="007F6A22">
      <w:pPr>
        <w:jc w:val="both"/>
        <w:rPr>
          <w:rFonts w:ascii="Times New Roman" w:hAnsi="Times New Roman"/>
          <w:b/>
          <w:sz w:val="24"/>
          <w:szCs w:val="24"/>
        </w:rPr>
      </w:pPr>
      <w:r w:rsidRPr="00B87455">
        <w:rPr>
          <w:rFonts w:ascii="Times New Roman" w:hAnsi="Times New Roman"/>
          <w:b/>
          <w:sz w:val="24"/>
          <w:szCs w:val="24"/>
        </w:rPr>
        <w:t>5. Implementace doporučené varianty a</w:t>
      </w:r>
      <w:r w:rsidR="0038289E" w:rsidRPr="00B87455">
        <w:rPr>
          <w:rFonts w:ascii="Times New Roman" w:hAnsi="Times New Roman"/>
          <w:b/>
          <w:sz w:val="24"/>
          <w:szCs w:val="24"/>
        </w:rPr>
        <w:t> </w:t>
      </w:r>
      <w:r w:rsidRPr="00B87455">
        <w:rPr>
          <w:rFonts w:ascii="Times New Roman" w:hAnsi="Times New Roman"/>
          <w:b/>
          <w:sz w:val="24"/>
          <w:szCs w:val="24"/>
        </w:rPr>
        <w:t>vynucování</w:t>
      </w:r>
    </w:p>
    <w:p w:rsidR="004F09C9" w:rsidRPr="00B87455" w:rsidRDefault="004F09C9" w:rsidP="004F09C9">
      <w:pPr>
        <w:suppressAutoHyphens/>
        <w:spacing w:before="240"/>
        <w:jc w:val="both"/>
        <w:rPr>
          <w:rFonts w:ascii="Times New Roman" w:hAnsi="Times New Roman"/>
          <w:sz w:val="24"/>
          <w:szCs w:val="24"/>
          <w:lang w:eastAsia="ar-SA"/>
        </w:rPr>
      </w:pPr>
      <w:r w:rsidRPr="00B87455">
        <w:rPr>
          <w:rFonts w:ascii="Times New Roman" w:hAnsi="Times New Roman"/>
          <w:sz w:val="24"/>
          <w:szCs w:val="24"/>
          <w:lang w:eastAsia="ar-SA"/>
        </w:rPr>
        <w:t>Zavádění navrhovaných úprav do praxe bude pak následně monitorováno v</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rámci přezkumu účinnosti. Odpovědným orgánem je Ministerstvo průmyslu a</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obchodu, přičemž využije zkušenosti i</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jiných spolupracujících resortů, zejména Ministerstva financí.</w:t>
      </w:r>
    </w:p>
    <w:p w:rsidR="00BE48E0" w:rsidRDefault="00006003" w:rsidP="00831344">
      <w:pPr>
        <w:suppressAutoHyphens/>
        <w:spacing w:before="240"/>
        <w:jc w:val="both"/>
        <w:rPr>
          <w:rFonts w:ascii="Times New Roman" w:hAnsi="Times New Roman"/>
          <w:sz w:val="24"/>
          <w:szCs w:val="24"/>
          <w:lang w:eastAsia="ar-SA"/>
        </w:rPr>
      </w:pPr>
      <w:r w:rsidRPr="00B87455">
        <w:rPr>
          <w:rFonts w:ascii="Times New Roman" w:hAnsi="Times New Roman"/>
          <w:sz w:val="24"/>
          <w:szCs w:val="24"/>
          <w:lang w:eastAsia="ar-SA"/>
        </w:rPr>
        <w:t>Pro implementaci není nutné přijmout žádný další prováděcí předpis. Práva a</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povinnosti jednotlivých dotčených subjektů i</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orgánů veřejné správy jsou v</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návrhu novely dostatečně specifikována.</w:t>
      </w:r>
    </w:p>
    <w:p w:rsidR="00BE48E0" w:rsidRDefault="00006003" w:rsidP="00831344">
      <w:pPr>
        <w:suppressAutoHyphens/>
        <w:spacing w:before="240"/>
        <w:jc w:val="both"/>
        <w:rPr>
          <w:rFonts w:ascii="Times New Roman" w:hAnsi="Times New Roman"/>
          <w:sz w:val="24"/>
          <w:szCs w:val="24"/>
          <w:lang w:eastAsia="ar-SA"/>
        </w:rPr>
      </w:pPr>
      <w:r w:rsidRPr="00B87455">
        <w:rPr>
          <w:rFonts w:ascii="Times New Roman" w:hAnsi="Times New Roman"/>
          <w:sz w:val="24"/>
          <w:szCs w:val="24"/>
          <w:lang w:eastAsia="ar-SA"/>
        </w:rPr>
        <w:t xml:space="preserve">Kontrolní mechanismy </w:t>
      </w:r>
      <w:r w:rsidR="00831344" w:rsidRPr="00B87455">
        <w:rPr>
          <w:rFonts w:ascii="Times New Roman" w:hAnsi="Times New Roman"/>
          <w:sz w:val="24"/>
          <w:szCs w:val="24"/>
          <w:lang w:eastAsia="ar-SA"/>
        </w:rPr>
        <w:t>určenými</w:t>
      </w:r>
      <w:r w:rsidRPr="00B87455">
        <w:rPr>
          <w:rFonts w:ascii="Times New Roman" w:hAnsi="Times New Roman"/>
          <w:sz w:val="24"/>
          <w:szCs w:val="24"/>
          <w:lang w:eastAsia="ar-SA"/>
        </w:rPr>
        <w:t xml:space="preserve"> orgány pak mají docílit účinné vynucování uložených povinností</w:t>
      </w:r>
      <w:r w:rsidR="00831344" w:rsidRPr="00B87455">
        <w:rPr>
          <w:rFonts w:ascii="Times New Roman" w:hAnsi="Times New Roman"/>
          <w:sz w:val="24"/>
          <w:szCs w:val="24"/>
          <w:lang w:eastAsia="ar-SA"/>
        </w:rPr>
        <w:t xml:space="preserve"> a</w:t>
      </w:r>
      <w:r w:rsidR="0038289E" w:rsidRPr="00B87455">
        <w:rPr>
          <w:rFonts w:ascii="Times New Roman" w:hAnsi="Times New Roman"/>
          <w:sz w:val="24"/>
          <w:szCs w:val="24"/>
          <w:lang w:eastAsia="ar-SA"/>
        </w:rPr>
        <w:t> </w:t>
      </w:r>
      <w:r w:rsidR="00831344" w:rsidRPr="00B87455">
        <w:rPr>
          <w:rFonts w:ascii="Times New Roman" w:hAnsi="Times New Roman"/>
          <w:sz w:val="24"/>
          <w:szCs w:val="24"/>
          <w:lang w:eastAsia="ar-SA"/>
        </w:rPr>
        <w:t>tedy přiblížení se cílovému stavu</w:t>
      </w:r>
      <w:r w:rsidRPr="00B87455">
        <w:rPr>
          <w:rFonts w:ascii="Times New Roman" w:hAnsi="Times New Roman"/>
          <w:sz w:val="24"/>
          <w:szCs w:val="24"/>
          <w:lang w:eastAsia="ar-SA"/>
        </w:rPr>
        <w:t>. Nedochází k</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 xml:space="preserve">navýšení požadavků na rozsah </w:t>
      </w:r>
      <w:r w:rsidRPr="00B87455">
        <w:rPr>
          <w:rFonts w:ascii="Times New Roman" w:hAnsi="Times New Roman"/>
          <w:sz w:val="24"/>
          <w:szCs w:val="24"/>
          <w:lang w:eastAsia="ar-SA"/>
        </w:rPr>
        <w:lastRenderedPageBreak/>
        <w:t>kontrol, pouze se vymezuje okruh kontrolovaných subjektů a</w:t>
      </w:r>
      <w:r w:rsidR="0038289E" w:rsidRPr="00B87455">
        <w:rPr>
          <w:rFonts w:ascii="Times New Roman" w:hAnsi="Times New Roman"/>
          <w:sz w:val="24"/>
          <w:szCs w:val="24"/>
          <w:lang w:eastAsia="ar-SA"/>
        </w:rPr>
        <w:t> </w:t>
      </w:r>
      <w:r w:rsidR="00831344" w:rsidRPr="00B87455">
        <w:rPr>
          <w:rFonts w:ascii="Times New Roman" w:hAnsi="Times New Roman"/>
          <w:sz w:val="24"/>
          <w:szCs w:val="24"/>
          <w:lang w:eastAsia="ar-SA"/>
        </w:rPr>
        <w:t>ten</w:t>
      </w:r>
      <w:r w:rsidRPr="00B87455">
        <w:rPr>
          <w:rFonts w:ascii="Times New Roman" w:hAnsi="Times New Roman"/>
          <w:sz w:val="24"/>
          <w:szCs w:val="24"/>
          <w:lang w:eastAsia="ar-SA"/>
        </w:rPr>
        <w:t xml:space="preserve"> zahrnuje i</w:t>
      </w:r>
      <w:r w:rsidR="0038289E" w:rsidRPr="00B87455">
        <w:rPr>
          <w:rFonts w:ascii="Times New Roman" w:hAnsi="Times New Roman"/>
          <w:sz w:val="24"/>
          <w:szCs w:val="24"/>
          <w:lang w:eastAsia="ar-SA"/>
        </w:rPr>
        <w:t> </w:t>
      </w:r>
      <w:r w:rsidR="004F09C9" w:rsidRPr="00B87455">
        <w:rPr>
          <w:rFonts w:ascii="Times New Roman" w:hAnsi="Times New Roman"/>
          <w:sz w:val="24"/>
          <w:szCs w:val="24"/>
          <w:lang w:eastAsia="ar-SA"/>
        </w:rPr>
        <w:t>vlastníky výdejních jednotek</w:t>
      </w:r>
      <w:r w:rsidRPr="00B87455">
        <w:rPr>
          <w:rFonts w:ascii="Times New Roman" w:hAnsi="Times New Roman"/>
          <w:sz w:val="24"/>
          <w:szCs w:val="24"/>
          <w:lang w:eastAsia="ar-SA"/>
        </w:rPr>
        <w:t xml:space="preserve">. </w:t>
      </w:r>
    </w:p>
    <w:p w:rsidR="00BE48E0" w:rsidRDefault="00006003" w:rsidP="00831344">
      <w:pPr>
        <w:suppressAutoHyphens/>
        <w:spacing w:before="240"/>
        <w:jc w:val="both"/>
        <w:rPr>
          <w:rFonts w:ascii="Times New Roman" w:hAnsi="Times New Roman"/>
          <w:sz w:val="24"/>
          <w:szCs w:val="24"/>
          <w:lang w:eastAsia="ar-SA"/>
        </w:rPr>
      </w:pPr>
      <w:r w:rsidRPr="00B87455">
        <w:rPr>
          <w:rFonts w:ascii="Times New Roman" w:hAnsi="Times New Roman"/>
          <w:sz w:val="24"/>
          <w:szCs w:val="24"/>
          <w:lang w:eastAsia="ar-SA"/>
        </w:rPr>
        <w:t>Navrhované úpravy pak v</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zájmu spravedlivého posuzování rozsahu a</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 xml:space="preserve">dopadů neplnění povinností ukládají subjektům sankce obdobným způsobem, nenarušujícím pravidlo „za stejný přestupek stejná sankce“. </w:t>
      </w:r>
    </w:p>
    <w:p w:rsidR="00C97EFB" w:rsidRPr="00B87455" w:rsidRDefault="009A20BE" w:rsidP="00831344">
      <w:pPr>
        <w:suppressAutoHyphens/>
        <w:spacing w:before="240"/>
        <w:jc w:val="both"/>
        <w:rPr>
          <w:rFonts w:ascii="Times New Roman" w:hAnsi="Times New Roman"/>
          <w:sz w:val="24"/>
          <w:szCs w:val="24"/>
          <w:lang w:eastAsia="ar-SA"/>
        </w:rPr>
      </w:pPr>
      <w:r w:rsidRPr="00B87455">
        <w:rPr>
          <w:rFonts w:ascii="Times New Roman" w:hAnsi="Times New Roman"/>
          <w:sz w:val="24"/>
          <w:szCs w:val="24"/>
          <w:lang w:eastAsia="ar-SA"/>
        </w:rPr>
        <w:t>Při samotné implementaci se uvažuje i</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s</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aktivním přístupem podnikatelské veřejnosti, protože podstatná část navrhovaných úprav vzešla z</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jejích vlastních požadavků a</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jsou navrženy k</w:t>
      </w:r>
      <w:r w:rsidR="0038289E" w:rsidRPr="00B87455">
        <w:rPr>
          <w:rFonts w:ascii="Times New Roman" w:hAnsi="Times New Roman"/>
          <w:sz w:val="24"/>
          <w:szCs w:val="24"/>
          <w:lang w:eastAsia="ar-SA"/>
        </w:rPr>
        <w:t> </w:t>
      </w:r>
      <w:r w:rsidRPr="00B87455">
        <w:rPr>
          <w:rFonts w:ascii="Times New Roman" w:hAnsi="Times New Roman"/>
          <w:sz w:val="24"/>
          <w:szCs w:val="24"/>
          <w:lang w:eastAsia="ar-SA"/>
        </w:rPr>
        <w:t>jejímu prospěchu.</w:t>
      </w:r>
      <w:r w:rsidR="00777FE7" w:rsidRPr="00B87455">
        <w:rPr>
          <w:rFonts w:ascii="Times New Roman" w:hAnsi="Times New Roman"/>
          <w:sz w:val="24"/>
          <w:szCs w:val="24"/>
          <w:lang w:eastAsia="ar-SA"/>
        </w:rPr>
        <w:br/>
      </w:r>
    </w:p>
    <w:p w:rsidR="00BE48E0" w:rsidRDefault="007022EB" w:rsidP="00FA4E92">
      <w:pPr>
        <w:jc w:val="both"/>
        <w:rPr>
          <w:rFonts w:ascii="Times New Roman" w:hAnsi="Times New Roman"/>
          <w:sz w:val="24"/>
          <w:szCs w:val="24"/>
        </w:rPr>
      </w:pPr>
      <w:r w:rsidRPr="00B87455">
        <w:rPr>
          <w:rFonts w:ascii="Times New Roman" w:hAnsi="Times New Roman"/>
          <w:b/>
          <w:sz w:val="24"/>
          <w:szCs w:val="24"/>
        </w:rPr>
        <w:t>6. Přezkum účinnosti regulace</w:t>
      </w:r>
      <w:r w:rsidR="00FA4E92" w:rsidRPr="00B87455">
        <w:rPr>
          <w:rFonts w:ascii="Times New Roman" w:hAnsi="Times New Roman"/>
          <w:sz w:val="24"/>
          <w:szCs w:val="24"/>
        </w:rPr>
        <w:br/>
      </w:r>
      <w:r w:rsidR="00FA4E92" w:rsidRPr="00B87455">
        <w:rPr>
          <w:rFonts w:ascii="Times New Roman" w:hAnsi="Times New Roman"/>
          <w:sz w:val="24"/>
          <w:szCs w:val="24"/>
        </w:rPr>
        <w:br/>
        <w:t>Jako perioda přiměřená pro přezkum účinnosti implementovaných opatření a</w:t>
      </w:r>
      <w:r w:rsidR="0038289E" w:rsidRPr="00B87455">
        <w:rPr>
          <w:rFonts w:ascii="Times New Roman" w:hAnsi="Times New Roman"/>
          <w:sz w:val="24"/>
          <w:szCs w:val="24"/>
        </w:rPr>
        <w:t> </w:t>
      </w:r>
      <w:r w:rsidR="00FA4E92" w:rsidRPr="00B87455">
        <w:rPr>
          <w:rFonts w:ascii="Times New Roman" w:hAnsi="Times New Roman"/>
          <w:sz w:val="24"/>
          <w:szCs w:val="24"/>
        </w:rPr>
        <w:t>pro zhodnocení pokroku při dosahování cílů se doporučuje doba 2 let. Tato perioda je dostatečná pro shromáždění potřebného objemu dat relevantních pro přezkum účinnosti a</w:t>
      </w:r>
      <w:r w:rsidR="0038289E" w:rsidRPr="00B87455">
        <w:rPr>
          <w:rFonts w:ascii="Times New Roman" w:hAnsi="Times New Roman"/>
          <w:sz w:val="24"/>
          <w:szCs w:val="24"/>
        </w:rPr>
        <w:t> </w:t>
      </w:r>
      <w:r w:rsidR="00FA4E92" w:rsidRPr="00B87455">
        <w:rPr>
          <w:rFonts w:ascii="Times New Roman" w:hAnsi="Times New Roman"/>
          <w:sz w:val="24"/>
          <w:szCs w:val="24"/>
        </w:rPr>
        <w:t>podnětů od dotčených subjektů a</w:t>
      </w:r>
      <w:r w:rsidR="0038289E" w:rsidRPr="00B87455">
        <w:rPr>
          <w:rFonts w:ascii="Times New Roman" w:hAnsi="Times New Roman"/>
          <w:sz w:val="24"/>
          <w:szCs w:val="24"/>
        </w:rPr>
        <w:t> </w:t>
      </w:r>
      <w:r w:rsidR="00FA4E92" w:rsidRPr="00B87455">
        <w:rPr>
          <w:rFonts w:ascii="Times New Roman" w:hAnsi="Times New Roman"/>
          <w:sz w:val="24"/>
          <w:szCs w:val="24"/>
        </w:rPr>
        <w:t xml:space="preserve">zároveň dostatečně krátká </w:t>
      </w:r>
      <w:r w:rsidR="00143BFF" w:rsidRPr="00B87455">
        <w:rPr>
          <w:rFonts w:ascii="Times New Roman" w:hAnsi="Times New Roman"/>
          <w:sz w:val="24"/>
          <w:szCs w:val="24"/>
        </w:rPr>
        <w:t>na to</w:t>
      </w:r>
      <w:r w:rsidR="00FA4E92" w:rsidRPr="00B87455">
        <w:rPr>
          <w:rFonts w:ascii="Times New Roman" w:hAnsi="Times New Roman"/>
          <w:sz w:val="24"/>
          <w:szCs w:val="24"/>
        </w:rPr>
        <w:t>, aby nedošlo k</w:t>
      </w:r>
      <w:r w:rsidR="0038289E" w:rsidRPr="00B87455">
        <w:rPr>
          <w:rFonts w:ascii="Times New Roman" w:hAnsi="Times New Roman"/>
          <w:sz w:val="24"/>
          <w:szCs w:val="24"/>
        </w:rPr>
        <w:t> </w:t>
      </w:r>
      <w:r w:rsidR="00FA4E92" w:rsidRPr="00B87455">
        <w:rPr>
          <w:rFonts w:ascii="Times New Roman" w:hAnsi="Times New Roman"/>
          <w:sz w:val="24"/>
          <w:szCs w:val="24"/>
        </w:rPr>
        <w:t xml:space="preserve">přehlcení </w:t>
      </w:r>
      <w:r w:rsidR="00143BFF" w:rsidRPr="00B87455">
        <w:rPr>
          <w:rFonts w:ascii="Times New Roman" w:hAnsi="Times New Roman"/>
          <w:sz w:val="24"/>
          <w:szCs w:val="24"/>
        </w:rPr>
        <w:t xml:space="preserve">systému </w:t>
      </w:r>
      <w:r w:rsidR="00FA4E92" w:rsidRPr="00B87455">
        <w:rPr>
          <w:rFonts w:ascii="Times New Roman" w:hAnsi="Times New Roman"/>
          <w:sz w:val="24"/>
          <w:szCs w:val="24"/>
        </w:rPr>
        <w:t xml:space="preserve">velkým objemem </w:t>
      </w:r>
      <w:r w:rsidR="00143BFF" w:rsidRPr="00B87455">
        <w:rPr>
          <w:rFonts w:ascii="Times New Roman" w:hAnsi="Times New Roman"/>
          <w:sz w:val="24"/>
          <w:szCs w:val="24"/>
        </w:rPr>
        <w:t xml:space="preserve">nových </w:t>
      </w:r>
      <w:r w:rsidR="00FA4E92" w:rsidRPr="00B87455">
        <w:rPr>
          <w:rFonts w:ascii="Times New Roman" w:hAnsi="Times New Roman"/>
          <w:sz w:val="24"/>
          <w:szCs w:val="24"/>
        </w:rPr>
        <w:t>podnětů a</w:t>
      </w:r>
      <w:r w:rsidR="0038289E" w:rsidRPr="00B87455">
        <w:rPr>
          <w:rFonts w:ascii="Times New Roman" w:hAnsi="Times New Roman"/>
          <w:sz w:val="24"/>
          <w:szCs w:val="24"/>
        </w:rPr>
        <w:t> </w:t>
      </w:r>
      <w:r w:rsidR="00FA4E92" w:rsidRPr="00B87455">
        <w:rPr>
          <w:rFonts w:ascii="Times New Roman" w:hAnsi="Times New Roman"/>
          <w:sz w:val="24"/>
          <w:szCs w:val="24"/>
        </w:rPr>
        <w:t>navrhovaných změn</w:t>
      </w:r>
      <w:r w:rsidR="00143BFF" w:rsidRPr="00B87455">
        <w:rPr>
          <w:rFonts w:ascii="Times New Roman" w:hAnsi="Times New Roman"/>
          <w:sz w:val="24"/>
          <w:szCs w:val="24"/>
        </w:rPr>
        <w:t xml:space="preserve"> plynoucích z</w:t>
      </w:r>
      <w:r w:rsidR="0038289E" w:rsidRPr="00B87455">
        <w:rPr>
          <w:rFonts w:ascii="Times New Roman" w:hAnsi="Times New Roman"/>
          <w:sz w:val="24"/>
          <w:szCs w:val="24"/>
        </w:rPr>
        <w:t> </w:t>
      </w:r>
      <w:r w:rsidR="00143BFF" w:rsidRPr="00B87455">
        <w:rPr>
          <w:rFonts w:ascii="Times New Roman" w:hAnsi="Times New Roman"/>
          <w:sz w:val="24"/>
          <w:szCs w:val="24"/>
        </w:rPr>
        <w:t>podnikatelské činnosti</w:t>
      </w:r>
      <w:r w:rsidR="00FA4E92" w:rsidRPr="00B87455">
        <w:rPr>
          <w:rFonts w:ascii="Times New Roman" w:hAnsi="Times New Roman"/>
          <w:sz w:val="24"/>
          <w:szCs w:val="24"/>
        </w:rPr>
        <w:t xml:space="preserve">. </w:t>
      </w:r>
    </w:p>
    <w:p w:rsidR="00FA4E92" w:rsidRDefault="00FA4E92" w:rsidP="00FA4E92">
      <w:pPr>
        <w:jc w:val="both"/>
        <w:rPr>
          <w:rFonts w:ascii="Times New Roman" w:hAnsi="Times New Roman"/>
          <w:sz w:val="24"/>
          <w:szCs w:val="24"/>
        </w:rPr>
      </w:pPr>
      <w:r w:rsidRPr="00B87455">
        <w:rPr>
          <w:rFonts w:ascii="Times New Roman" w:hAnsi="Times New Roman"/>
          <w:sz w:val="24"/>
          <w:szCs w:val="24"/>
        </w:rPr>
        <w:t>Délka přezkumné doby bere rovněž v</w:t>
      </w:r>
      <w:r w:rsidR="0038289E" w:rsidRPr="00B87455">
        <w:rPr>
          <w:rFonts w:ascii="Times New Roman" w:hAnsi="Times New Roman"/>
          <w:sz w:val="24"/>
          <w:szCs w:val="24"/>
        </w:rPr>
        <w:t> </w:t>
      </w:r>
      <w:r w:rsidRPr="00B87455">
        <w:rPr>
          <w:rFonts w:ascii="Times New Roman" w:hAnsi="Times New Roman"/>
          <w:sz w:val="24"/>
          <w:szCs w:val="24"/>
        </w:rPr>
        <w:t>úvahu skutečnost, že obsahem úprav je nové a</w:t>
      </w:r>
      <w:r w:rsidR="0038289E" w:rsidRPr="00B87455">
        <w:rPr>
          <w:rFonts w:ascii="Times New Roman" w:hAnsi="Times New Roman"/>
          <w:sz w:val="24"/>
          <w:szCs w:val="24"/>
        </w:rPr>
        <w:t> </w:t>
      </w:r>
      <w:r w:rsidRPr="00B87455">
        <w:rPr>
          <w:rFonts w:ascii="Times New Roman" w:hAnsi="Times New Roman"/>
          <w:sz w:val="24"/>
          <w:szCs w:val="24"/>
        </w:rPr>
        <w:t xml:space="preserve">dynamické odvětví </w:t>
      </w:r>
      <w:proofErr w:type="spellStart"/>
      <w:r w:rsidRPr="00B87455">
        <w:rPr>
          <w:rFonts w:ascii="Times New Roman" w:hAnsi="Times New Roman"/>
          <w:sz w:val="24"/>
          <w:szCs w:val="24"/>
        </w:rPr>
        <w:t>elektromobility</w:t>
      </w:r>
      <w:proofErr w:type="spellEnd"/>
      <w:r w:rsidRPr="00B87455">
        <w:rPr>
          <w:rFonts w:ascii="Times New Roman" w:hAnsi="Times New Roman"/>
          <w:sz w:val="24"/>
          <w:szCs w:val="24"/>
        </w:rPr>
        <w:t xml:space="preserve"> pro dopravu, kde lze v</w:t>
      </w:r>
      <w:r w:rsidR="0038289E" w:rsidRPr="00B87455">
        <w:rPr>
          <w:rFonts w:ascii="Times New Roman" w:hAnsi="Times New Roman"/>
          <w:sz w:val="24"/>
          <w:szCs w:val="24"/>
        </w:rPr>
        <w:t> </w:t>
      </w:r>
      <w:r w:rsidRPr="00B87455">
        <w:rPr>
          <w:rFonts w:ascii="Times New Roman" w:hAnsi="Times New Roman"/>
          <w:sz w:val="24"/>
          <w:szCs w:val="24"/>
        </w:rPr>
        <w:t>tomto časovém horizontu předpokládat nashromáždění většího objemu dat z</w:t>
      </w:r>
      <w:r w:rsidR="0038289E" w:rsidRPr="00B87455">
        <w:rPr>
          <w:rFonts w:ascii="Times New Roman" w:hAnsi="Times New Roman"/>
          <w:sz w:val="24"/>
          <w:szCs w:val="24"/>
        </w:rPr>
        <w:t> </w:t>
      </w:r>
      <w:r w:rsidRPr="00B87455">
        <w:rPr>
          <w:rFonts w:ascii="Times New Roman" w:hAnsi="Times New Roman"/>
          <w:sz w:val="24"/>
          <w:szCs w:val="24"/>
        </w:rPr>
        <w:t>denní praxe.</w:t>
      </w:r>
    </w:p>
    <w:p w:rsidR="00BE48E0" w:rsidRPr="00B87455" w:rsidRDefault="00BE48E0" w:rsidP="00FA4E92">
      <w:pPr>
        <w:jc w:val="both"/>
        <w:rPr>
          <w:rFonts w:ascii="Times New Roman" w:hAnsi="Times New Roman"/>
          <w:sz w:val="24"/>
          <w:szCs w:val="24"/>
        </w:rPr>
      </w:pPr>
    </w:p>
    <w:p w:rsidR="007022EB" w:rsidRPr="00B87455" w:rsidRDefault="007022EB" w:rsidP="00F47500">
      <w:pPr>
        <w:rPr>
          <w:rFonts w:ascii="Times New Roman" w:hAnsi="Times New Roman"/>
          <w:b/>
          <w:sz w:val="24"/>
          <w:szCs w:val="24"/>
        </w:rPr>
      </w:pPr>
      <w:r w:rsidRPr="00B87455">
        <w:rPr>
          <w:rFonts w:ascii="Times New Roman" w:hAnsi="Times New Roman"/>
          <w:b/>
          <w:sz w:val="24"/>
          <w:szCs w:val="24"/>
        </w:rPr>
        <w:t>7. Konzultace a</w:t>
      </w:r>
      <w:r w:rsidR="0038289E" w:rsidRPr="00B87455">
        <w:rPr>
          <w:rFonts w:ascii="Times New Roman" w:hAnsi="Times New Roman"/>
          <w:b/>
          <w:sz w:val="24"/>
          <w:szCs w:val="24"/>
        </w:rPr>
        <w:t> </w:t>
      </w:r>
      <w:r w:rsidRPr="00B87455">
        <w:rPr>
          <w:rFonts w:ascii="Times New Roman" w:hAnsi="Times New Roman"/>
          <w:b/>
          <w:sz w:val="24"/>
          <w:szCs w:val="24"/>
        </w:rPr>
        <w:t>zdroje dat</w:t>
      </w:r>
    </w:p>
    <w:p w:rsidR="001B5C94" w:rsidRPr="00B87455" w:rsidRDefault="009D6B94" w:rsidP="001B5C94">
      <w:pPr>
        <w:jc w:val="both"/>
        <w:rPr>
          <w:rFonts w:ascii="Times New Roman" w:hAnsi="Times New Roman"/>
          <w:sz w:val="24"/>
          <w:szCs w:val="24"/>
        </w:rPr>
      </w:pPr>
      <w:r w:rsidRPr="00B87455">
        <w:rPr>
          <w:rFonts w:ascii="Times New Roman" w:hAnsi="Times New Roman"/>
          <w:sz w:val="24"/>
          <w:szCs w:val="24"/>
        </w:rPr>
        <w:t xml:space="preserve">Uvažované </w:t>
      </w:r>
      <w:r w:rsidR="001B5C94" w:rsidRPr="00B87455">
        <w:rPr>
          <w:rFonts w:ascii="Times New Roman" w:hAnsi="Times New Roman"/>
          <w:sz w:val="24"/>
          <w:szCs w:val="24"/>
        </w:rPr>
        <w:t xml:space="preserve">změny </w:t>
      </w:r>
      <w:r w:rsidRPr="00B87455">
        <w:rPr>
          <w:rFonts w:ascii="Times New Roman" w:hAnsi="Times New Roman"/>
          <w:sz w:val="24"/>
          <w:szCs w:val="24"/>
        </w:rPr>
        <w:t>a</w:t>
      </w:r>
      <w:r w:rsidR="0038289E" w:rsidRPr="00B87455">
        <w:rPr>
          <w:rFonts w:ascii="Times New Roman" w:hAnsi="Times New Roman"/>
          <w:sz w:val="24"/>
          <w:szCs w:val="24"/>
        </w:rPr>
        <w:t> </w:t>
      </w:r>
      <w:r w:rsidRPr="00B87455">
        <w:rPr>
          <w:rFonts w:ascii="Times New Roman" w:hAnsi="Times New Roman"/>
          <w:sz w:val="24"/>
          <w:szCs w:val="24"/>
        </w:rPr>
        <w:t xml:space="preserve">zejména cíle návrhu </w:t>
      </w:r>
      <w:r w:rsidR="001B5C94" w:rsidRPr="00B87455">
        <w:rPr>
          <w:rFonts w:ascii="Times New Roman" w:hAnsi="Times New Roman"/>
          <w:sz w:val="24"/>
          <w:szCs w:val="24"/>
        </w:rPr>
        <w:t>byly konzultovány s</w:t>
      </w:r>
      <w:r w:rsidR="0038289E" w:rsidRPr="00B87455">
        <w:rPr>
          <w:rFonts w:ascii="Times New Roman" w:hAnsi="Times New Roman"/>
          <w:sz w:val="24"/>
          <w:szCs w:val="24"/>
        </w:rPr>
        <w:t> </w:t>
      </w:r>
      <w:r w:rsidR="001B5C94" w:rsidRPr="00B87455">
        <w:rPr>
          <w:rFonts w:ascii="Times New Roman" w:hAnsi="Times New Roman"/>
          <w:sz w:val="24"/>
          <w:szCs w:val="24"/>
        </w:rPr>
        <w:t>následujícími organizacemi a</w:t>
      </w:r>
      <w:r w:rsidR="0038289E" w:rsidRPr="00B87455">
        <w:rPr>
          <w:rFonts w:ascii="Times New Roman" w:hAnsi="Times New Roman"/>
          <w:sz w:val="24"/>
          <w:szCs w:val="24"/>
        </w:rPr>
        <w:t> </w:t>
      </w:r>
      <w:r w:rsidR="001B5C94" w:rsidRPr="00B87455">
        <w:rPr>
          <w:rFonts w:ascii="Times New Roman" w:hAnsi="Times New Roman"/>
          <w:sz w:val="24"/>
          <w:szCs w:val="24"/>
        </w:rPr>
        <w:t>společnostmi:</w:t>
      </w:r>
    </w:p>
    <w:p w:rsidR="001B5C94" w:rsidRPr="00B87455" w:rsidRDefault="001B5C94" w:rsidP="001B5C94">
      <w:pPr>
        <w:jc w:val="both"/>
        <w:rPr>
          <w:rFonts w:ascii="Times New Roman" w:hAnsi="Times New Roman"/>
          <w:sz w:val="24"/>
          <w:szCs w:val="24"/>
          <w:u w:val="single"/>
        </w:rPr>
      </w:pPr>
      <w:r w:rsidRPr="00B87455">
        <w:rPr>
          <w:rFonts w:ascii="Times New Roman" w:hAnsi="Times New Roman"/>
          <w:sz w:val="24"/>
          <w:szCs w:val="24"/>
          <w:u w:val="single"/>
        </w:rPr>
        <w:t>Státní orgány:</w:t>
      </w:r>
    </w:p>
    <w:p w:rsidR="00223051" w:rsidRPr="00B87455" w:rsidRDefault="00223051" w:rsidP="001B5C94">
      <w:pPr>
        <w:jc w:val="both"/>
        <w:rPr>
          <w:rFonts w:ascii="Times New Roman" w:hAnsi="Times New Roman"/>
          <w:sz w:val="24"/>
          <w:szCs w:val="24"/>
        </w:rPr>
      </w:pPr>
      <w:r w:rsidRPr="00B87455">
        <w:rPr>
          <w:rFonts w:ascii="Times New Roman" w:hAnsi="Times New Roman"/>
          <w:sz w:val="24"/>
          <w:szCs w:val="24"/>
        </w:rPr>
        <w:t>Ministerstvo financí</w:t>
      </w:r>
    </w:p>
    <w:p w:rsidR="001B5C94" w:rsidRPr="00B87455" w:rsidRDefault="001B5C94" w:rsidP="001B5C94">
      <w:pPr>
        <w:jc w:val="both"/>
        <w:rPr>
          <w:rFonts w:ascii="Times New Roman" w:hAnsi="Times New Roman"/>
          <w:sz w:val="24"/>
          <w:szCs w:val="24"/>
        </w:rPr>
      </w:pPr>
      <w:r w:rsidRPr="00B87455">
        <w:rPr>
          <w:rFonts w:ascii="Times New Roman" w:hAnsi="Times New Roman"/>
          <w:sz w:val="24"/>
          <w:szCs w:val="24"/>
        </w:rPr>
        <w:t>Ministerstvo dopravy</w:t>
      </w:r>
    </w:p>
    <w:p w:rsidR="001B5C94" w:rsidRPr="00B87455" w:rsidRDefault="001B5C94" w:rsidP="001B5C94">
      <w:pPr>
        <w:jc w:val="both"/>
        <w:rPr>
          <w:rFonts w:ascii="Times New Roman" w:hAnsi="Times New Roman"/>
          <w:sz w:val="24"/>
          <w:szCs w:val="24"/>
        </w:rPr>
      </w:pPr>
      <w:r w:rsidRPr="00B87455">
        <w:rPr>
          <w:rFonts w:ascii="Times New Roman" w:hAnsi="Times New Roman"/>
          <w:sz w:val="24"/>
          <w:szCs w:val="24"/>
        </w:rPr>
        <w:t>Ministerstvo pro místní rozvoj</w:t>
      </w:r>
    </w:p>
    <w:p w:rsidR="00223051" w:rsidRPr="00B87455" w:rsidRDefault="00223051" w:rsidP="001B5C94">
      <w:pPr>
        <w:jc w:val="both"/>
        <w:rPr>
          <w:rFonts w:ascii="Times New Roman" w:hAnsi="Times New Roman"/>
          <w:sz w:val="24"/>
          <w:szCs w:val="24"/>
        </w:rPr>
      </w:pPr>
      <w:r w:rsidRPr="00B87455">
        <w:rPr>
          <w:rFonts w:ascii="Times New Roman" w:hAnsi="Times New Roman"/>
          <w:sz w:val="24"/>
          <w:szCs w:val="24"/>
        </w:rPr>
        <w:t>Ministerstvo zemědělství</w:t>
      </w:r>
    </w:p>
    <w:p w:rsidR="00223051" w:rsidRPr="00B87455" w:rsidRDefault="00223051" w:rsidP="001B5C94">
      <w:pPr>
        <w:jc w:val="both"/>
        <w:rPr>
          <w:rFonts w:ascii="Times New Roman" w:hAnsi="Times New Roman"/>
          <w:sz w:val="24"/>
          <w:szCs w:val="24"/>
        </w:rPr>
      </w:pPr>
      <w:r w:rsidRPr="00B87455">
        <w:rPr>
          <w:rFonts w:ascii="Times New Roman" w:hAnsi="Times New Roman"/>
          <w:sz w:val="24"/>
          <w:szCs w:val="24"/>
        </w:rPr>
        <w:t>Ministerstvo životního prostředí</w:t>
      </w:r>
    </w:p>
    <w:p w:rsidR="001B5C94" w:rsidRPr="00B87455" w:rsidRDefault="001B5C94" w:rsidP="001B5C94">
      <w:pPr>
        <w:jc w:val="both"/>
        <w:rPr>
          <w:rFonts w:ascii="Times New Roman" w:hAnsi="Times New Roman"/>
          <w:sz w:val="24"/>
          <w:szCs w:val="24"/>
        </w:rPr>
      </w:pPr>
      <w:r w:rsidRPr="00B87455">
        <w:rPr>
          <w:rFonts w:ascii="Times New Roman" w:hAnsi="Times New Roman"/>
          <w:sz w:val="24"/>
          <w:szCs w:val="24"/>
        </w:rPr>
        <w:t>Česká obchodní inspekce</w:t>
      </w:r>
    </w:p>
    <w:p w:rsidR="001B5C94" w:rsidRPr="00B87455" w:rsidRDefault="001B5C94" w:rsidP="001B5C94">
      <w:pPr>
        <w:jc w:val="both"/>
        <w:rPr>
          <w:rFonts w:ascii="Times New Roman" w:hAnsi="Times New Roman"/>
          <w:sz w:val="24"/>
          <w:szCs w:val="24"/>
          <w:u w:val="single"/>
        </w:rPr>
      </w:pPr>
      <w:r w:rsidRPr="00B87455">
        <w:rPr>
          <w:rFonts w:ascii="Times New Roman" w:hAnsi="Times New Roman"/>
          <w:sz w:val="24"/>
          <w:szCs w:val="24"/>
          <w:u w:val="single"/>
        </w:rPr>
        <w:t>Profesní svazy a</w:t>
      </w:r>
      <w:r w:rsidR="0038289E" w:rsidRPr="00B87455">
        <w:rPr>
          <w:rFonts w:ascii="Times New Roman" w:hAnsi="Times New Roman"/>
          <w:sz w:val="24"/>
          <w:szCs w:val="24"/>
          <w:u w:val="single"/>
        </w:rPr>
        <w:t> </w:t>
      </w:r>
      <w:r w:rsidRPr="00B87455">
        <w:rPr>
          <w:rFonts w:ascii="Times New Roman" w:hAnsi="Times New Roman"/>
          <w:sz w:val="24"/>
          <w:szCs w:val="24"/>
          <w:u w:val="single"/>
        </w:rPr>
        <w:t>asociace:</w:t>
      </w:r>
    </w:p>
    <w:p w:rsidR="001B5C94" w:rsidRPr="00B87455" w:rsidRDefault="001B5C94" w:rsidP="001B5C94">
      <w:pPr>
        <w:jc w:val="both"/>
        <w:rPr>
          <w:rFonts w:ascii="Times New Roman" w:hAnsi="Times New Roman"/>
          <w:sz w:val="24"/>
          <w:szCs w:val="24"/>
        </w:rPr>
      </w:pPr>
      <w:r w:rsidRPr="00B87455">
        <w:rPr>
          <w:rFonts w:ascii="Times New Roman" w:hAnsi="Times New Roman"/>
          <w:sz w:val="24"/>
          <w:szCs w:val="24"/>
        </w:rPr>
        <w:t>Česká asociace petrolejářského průmyslu a</w:t>
      </w:r>
      <w:r w:rsidR="0038289E" w:rsidRPr="00B87455">
        <w:rPr>
          <w:rFonts w:ascii="Times New Roman" w:hAnsi="Times New Roman"/>
          <w:sz w:val="24"/>
          <w:szCs w:val="24"/>
        </w:rPr>
        <w:t> </w:t>
      </w:r>
      <w:r w:rsidRPr="00B87455">
        <w:rPr>
          <w:rFonts w:ascii="Times New Roman" w:hAnsi="Times New Roman"/>
          <w:sz w:val="24"/>
          <w:szCs w:val="24"/>
        </w:rPr>
        <w:t>obchodu (ČAPPO)</w:t>
      </w:r>
    </w:p>
    <w:p w:rsidR="001B5C94" w:rsidRPr="00B87455" w:rsidRDefault="001B5C94" w:rsidP="001B5C94">
      <w:pPr>
        <w:jc w:val="both"/>
        <w:rPr>
          <w:rFonts w:ascii="Times New Roman" w:hAnsi="Times New Roman"/>
          <w:sz w:val="24"/>
          <w:szCs w:val="24"/>
        </w:rPr>
      </w:pPr>
      <w:r w:rsidRPr="00B87455">
        <w:rPr>
          <w:rFonts w:ascii="Times New Roman" w:hAnsi="Times New Roman"/>
          <w:sz w:val="24"/>
          <w:szCs w:val="24"/>
        </w:rPr>
        <w:lastRenderedPageBreak/>
        <w:t>Unie nezávislých petrolejářů ČR</w:t>
      </w:r>
    </w:p>
    <w:p w:rsidR="001B5C94" w:rsidRPr="00B87455" w:rsidRDefault="001B5C94" w:rsidP="001B5C94">
      <w:pPr>
        <w:jc w:val="both"/>
        <w:rPr>
          <w:rFonts w:ascii="Times New Roman" w:hAnsi="Times New Roman"/>
          <w:sz w:val="24"/>
          <w:szCs w:val="24"/>
        </w:rPr>
      </w:pPr>
      <w:r w:rsidRPr="00B87455">
        <w:rPr>
          <w:rFonts w:ascii="Times New Roman" w:hAnsi="Times New Roman"/>
          <w:sz w:val="24"/>
          <w:szCs w:val="24"/>
        </w:rPr>
        <w:t xml:space="preserve">Český plynárenský svaz </w:t>
      </w:r>
    </w:p>
    <w:p w:rsidR="00BE3366" w:rsidRPr="00B87455" w:rsidRDefault="00CB7397" w:rsidP="001B5C94">
      <w:pPr>
        <w:jc w:val="both"/>
        <w:rPr>
          <w:rFonts w:ascii="Times New Roman" w:hAnsi="Times New Roman"/>
          <w:sz w:val="24"/>
          <w:szCs w:val="24"/>
        </w:rPr>
      </w:pPr>
      <w:r w:rsidRPr="00B87455">
        <w:rPr>
          <w:rFonts w:ascii="Times New Roman" w:hAnsi="Times New Roman"/>
          <w:sz w:val="24"/>
          <w:szCs w:val="24"/>
        </w:rPr>
        <w:t>Česká bioplynová asociace</w:t>
      </w:r>
    </w:p>
    <w:p w:rsidR="00CB7397" w:rsidRPr="00B87455" w:rsidRDefault="00CB7397" w:rsidP="001B5C94">
      <w:pPr>
        <w:jc w:val="both"/>
        <w:rPr>
          <w:rFonts w:ascii="Times New Roman" w:hAnsi="Times New Roman"/>
          <w:sz w:val="24"/>
          <w:szCs w:val="24"/>
        </w:rPr>
      </w:pPr>
      <w:r w:rsidRPr="00B87455">
        <w:rPr>
          <w:rFonts w:ascii="Times New Roman" w:hAnsi="Times New Roman"/>
          <w:sz w:val="24"/>
          <w:szCs w:val="24"/>
        </w:rPr>
        <w:t>Svaz podnikatelů ve stavebnictví</w:t>
      </w:r>
    </w:p>
    <w:p w:rsidR="0062114B" w:rsidRDefault="0062114B" w:rsidP="001B5C94">
      <w:pPr>
        <w:jc w:val="both"/>
        <w:rPr>
          <w:rFonts w:ascii="Times New Roman" w:hAnsi="Times New Roman"/>
          <w:sz w:val="24"/>
          <w:szCs w:val="24"/>
        </w:rPr>
      </w:pPr>
      <w:r w:rsidRPr="00B87455">
        <w:rPr>
          <w:rFonts w:ascii="Times New Roman" w:hAnsi="Times New Roman"/>
          <w:sz w:val="24"/>
          <w:szCs w:val="24"/>
        </w:rPr>
        <w:t>Zemědělský svaz České republiky</w:t>
      </w:r>
    </w:p>
    <w:p w:rsidR="00BE48E0" w:rsidRPr="00B87455" w:rsidRDefault="00BE48E0" w:rsidP="001B5C94">
      <w:pPr>
        <w:jc w:val="both"/>
        <w:rPr>
          <w:rFonts w:ascii="Times New Roman" w:hAnsi="Times New Roman"/>
          <w:sz w:val="24"/>
          <w:szCs w:val="24"/>
        </w:rPr>
      </w:pPr>
    </w:p>
    <w:p w:rsidR="00FB1E55" w:rsidRPr="00B87455" w:rsidRDefault="001B5C94" w:rsidP="001B5C94">
      <w:pPr>
        <w:spacing w:after="240"/>
        <w:jc w:val="both"/>
        <w:rPr>
          <w:rFonts w:ascii="Times New Roman" w:hAnsi="Times New Roman"/>
          <w:sz w:val="24"/>
          <w:szCs w:val="24"/>
        </w:rPr>
      </w:pPr>
      <w:r w:rsidRPr="00B87455">
        <w:rPr>
          <w:rFonts w:ascii="Times New Roman" w:hAnsi="Times New Roman"/>
          <w:sz w:val="24"/>
          <w:szCs w:val="24"/>
        </w:rPr>
        <w:t>Konzultace s</w:t>
      </w:r>
      <w:r w:rsidR="0038289E" w:rsidRPr="00B87455">
        <w:rPr>
          <w:rFonts w:ascii="Times New Roman" w:hAnsi="Times New Roman"/>
          <w:sz w:val="24"/>
          <w:szCs w:val="24"/>
        </w:rPr>
        <w:t> </w:t>
      </w:r>
      <w:r w:rsidRPr="00B87455">
        <w:rPr>
          <w:rFonts w:ascii="Times New Roman" w:hAnsi="Times New Roman"/>
          <w:sz w:val="24"/>
          <w:szCs w:val="24"/>
        </w:rPr>
        <w:t xml:space="preserve">profesními svazy </w:t>
      </w:r>
      <w:r w:rsidR="00F47500" w:rsidRPr="00B87455">
        <w:rPr>
          <w:rFonts w:ascii="Times New Roman" w:hAnsi="Times New Roman"/>
          <w:sz w:val="24"/>
          <w:szCs w:val="24"/>
        </w:rPr>
        <w:t>a</w:t>
      </w:r>
      <w:r w:rsidR="0038289E" w:rsidRPr="00B87455">
        <w:rPr>
          <w:rFonts w:ascii="Times New Roman" w:hAnsi="Times New Roman"/>
          <w:sz w:val="24"/>
          <w:szCs w:val="24"/>
        </w:rPr>
        <w:t> </w:t>
      </w:r>
      <w:r w:rsidR="00F47500" w:rsidRPr="00B87455">
        <w:rPr>
          <w:rFonts w:ascii="Times New Roman" w:hAnsi="Times New Roman"/>
          <w:sz w:val="24"/>
          <w:szCs w:val="24"/>
        </w:rPr>
        <w:t xml:space="preserve">asociacemi </w:t>
      </w:r>
      <w:r w:rsidRPr="00B87455">
        <w:rPr>
          <w:rFonts w:ascii="Times New Roman" w:hAnsi="Times New Roman"/>
          <w:sz w:val="24"/>
          <w:szCs w:val="24"/>
        </w:rPr>
        <w:t xml:space="preserve">předcházela </w:t>
      </w:r>
      <w:r w:rsidR="00F47500" w:rsidRPr="00B87455">
        <w:rPr>
          <w:rFonts w:ascii="Times New Roman" w:hAnsi="Times New Roman"/>
          <w:sz w:val="24"/>
          <w:szCs w:val="24"/>
        </w:rPr>
        <w:t>vlastní</w:t>
      </w:r>
      <w:r w:rsidR="001C2394" w:rsidRPr="00B87455">
        <w:rPr>
          <w:rFonts w:ascii="Times New Roman" w:hAnsi="Times New Roman"/>
          <w:sz w:val="24"/>
          <w:szCs w:val="24"/>
        </w:rPr>
        <w:t xml:space="preserve"> </w:t>
      </w:r>
      <w:r w:rsidR="009D6B94" w:rsidRPr="00B87455">
        <w:rPr>
          <w:rFonts w:ascii="Times New Roman" w:hAnsi="Times New Roman"/>
          <w:sz w:val="24"/>
          <w:szCs w:val="24"/>
        </w:rPr>
        <w:t>příprav</w:t>
      </w:r>
      <w:r w:rsidR="00F47500" w:rsidRPr="00B87455">
        <w:rPr>
          <w:rFonts w:ascii="Times New Roman" w:hAnsi="Times New Roman"/>
          <w:sz w:val="24"/>
          <w:szCs w:val="24"/>
        </w:rPr>
        <w:t>u návrhu</w:t>
      </w:r>
      <w:r w:rsidR="009D6B94" w:rsidRPr="00B87455">
        <w:rPr>
          <w:rFonts w:ascii="Times New Roman" w:hAnsi="Times New Roman"/>
          <w:sz w:val="24"/>
          <w:szCs w:val="24"/>
        </w:rPr>
        <w:t xml:space="preserve"> n</w:t>
      </w:r>
      <w:r w:rsidRPr="00B87455">
        <w:rPr>
          <w:rFonts w:ascii="Times New Roman" w:hAnsi="Times New Roman"/>
          <w:sz w:val="24"/>
          <w:szCs w:val="24"/>
        </w:rPr>
        <w:t>ovely zákona a</w:t>
      </w:r>
      <w:r w:rsidR="0038289E" w:rsidRPr="00B87455">
        <w:rPr>
          <w:rFonts w:ascii="Times New Roman" w:hAnsi="Times New Roman"/>
          <w:sz w:val="24"/>
          <w:szCs w:val="24"/>
        </w:rPr>
        <w:t> </w:t>
      </w:r>
      <w:r w:rsidR="00F47500" w:rsidRPr="00B87455">
        <w:rPr>
          <w:rFonts w:ascii="Times New Roman" w:hAnsi="Times New Roman"/>
          <w:sz w:val="24"/>
          <w:szCs w:val="24"/>
        </w:rPr>
        <w:t>v</w:t>
      </w:r>
      <w:r w:rsidR="0038289E" w:rsidRPr="00B87455">
        <w:rPr>
          <w:rFonts w:ascii="Times New Roman" w:hAnsi="Times New Roman"/>
          <w:sz w:val="24"/>
          <w:szCs w:val="24"/>
        </w:rPr>
        <w:t> </w:t>
      </w:r>
      <w:r w:rsidR="00F47500" w:rsidRPr="00B87455">
        <w:rPr>
          <w:rFonts w:ascii="Times New Roman" w:hAnsi="Times New Roman"/>
          <w:sz w:val="24"/>
          <w:szCs w:val="24"/>
        </w:rPr>
        <w:t xml:space="preserve">jejich rámci </w:t>
      </w:r>
      <w:r w:rsidRPr="00B87455">
        <w:rPr>
          <w:rFonts w:ascii="Times New Roman" w:hAnsi="Times New Roman"/>
          <w:sz w:val="24"/>
          <w:szCs w:val="24"/>
        </w:rPr>
        <w:t>byly diskutovány</w:t>
      </w:r>
      <w:r w:rsidR="00F47500" w:rsidRPr="00B87455">
        <w:rPr>
          <w:rFonts w:ascii="Times New Roman" w:hAnsi="Times New Roman"/>
          <w:sz w:val="24"/>
          <w:szCs w:val="24"/>
        </w:rPr>
        <w:t xml:space="preserve"> zejména ty</w:t>
      </w:r>
      <w:r w:rsidRPr="00B87455">
        <w:rPr>
          <w:rFonts w:ascii="Times New Roman" w:hAnsi="Times New Roman"/>
          <w:sz w:val="24"/>
          <w:szCs w:val="24"/>
        </w:rPr>
        <w:t xml:space="preserve"> oblasti, které považovaly profesní svazy za vhodné se jim v</w:t>
      </w:r>
      <w:r w:rsidR="0038289E" w:rsidRPr="00B87455">
        <w:rPr>
          <w:rFonts w:ascii="Times New Roman" w:hAnsi="Times New Roman"/>
          <w:sz w:val="24"/>
          <w:szCs w:val="24"/>
        </w:rPr>
        <w:t> </w:t>
      </w:r>
      <w:r w:rsidRPr="00B87455">
        <w:rPr>
          <w:rFonts w:ascii="Times New Roman" w:hAnsi="Times New Roman"/>
          <w:sz w:val="24"/>
          <w:szCs w:val="24"/>
        </w:rPr>
        <w:t xml:space="preserve">rámci přípravy </w:t>
      </w:r>
      <w:r w:rsidR="00F47500" w:rsidRPr="00B87455">
        <w:rPr>
          <w:rFonts w:ascii="Times New Roman" w:hAnsi="Times New Roman"/>
          <w:sz w:val="24"/>
          <w:szCs w:val="24"/>
        </w:rPr>
        <w:t xml:space="preserve">novely zákona </w:t>
      </w:r>
      <w:r w:rsidRPr="00B87455">
        <w:rPr>
          <w:rFonts w:ascii="Times New Roman" w:hAnsi="Times New Roman"/>
          <w:sz w:val="24"/>
          <w:szCs w:val="24"/>
        </w:rPr>
        <w:t>věnovat. Zejména po předchozí novele zákonem 234/2013 Sb., kterým byl zaveden institut distributora pohonných hmot</w:t>
      </w:r>
      <w:r w:rsidR="004F09C9" w:rsidRPr="00B87455">
        <w:rPr>
          <w:rFonts w:ascii="Times New Roman" w:hAnsi="Times New Roman"/>
          <w:sz w:val="24"/>
          <w:szCs w:val="24"/>
        </w:rPr>
        <w:t>,</w:t>
      </w:r>
      <w:r w:rsidR="001C2394" w:rsidRPr="00B87455">
        <w:rPr>
          <w:rFonts w:ascii="Times New Roman" w:hAnsi="Times New Roman"/>
          <w:sz w:val="24"/>
          <w:szCs w:val="24"/>
        </w:rPr>
        <w:t xml:space="preserve"> </w:t>
      </w:r>
      <w:r w:rsidRPr="00B87455">
        <w:rPr>
          <w:rFonts w:ascii="Times New Roman" w:hAnsi="Times New Roman"/>
          <w:sz w:val="24"/>
          <w:szCs w:val="24"/>
        </w:rPr>
        <w:t>a</w:t>
      </w:r>
      <w:r w:rsidR="0038289E" w:rsidRPr="00B87455">
        <w:rPr>
          <w:rFonts w:ascii="Times New Roman" w:hAnsi="Times New Roman"/>
          <w:sz w:val="24"/>
          <w:szCs w:val="24"/>
        </w:rPr>
        <w:t> </w:t>
      </w:r>
      <w:r w:rsidRPr="00B87455">
        <w:rPr>
          <w:rFonts w:ascii="Times New Roman" w:hAnsi="Times New Roman"/>
          <w:sz w:val="24"/>
          <w:szCs w:val="24"/>
        </w:rPr>
        <w:t xml:space="preserve">následnou novelou 157/2015 Sb., kterou byly některé podmínky pro výkon činnosti distributora změněny nálezem Ústavního soudu, část podnikatelské veřejnosti vyvíjela snahu </w:t>
      </w:r>
      <w:r w:rsidR="009D6B94" w:rsidRPr="00B87455">
        <w:rPr>
          <w:rFonts w:ascii="Times New Roman" w:hAnsi="Times New Roman"/>
          <w:sz w:val="24"/>
          <w:szCs w:val="24"/>
        </w:rPr>
        <w:t xml:space="preserve">definice </w:t>
      </w:r>
      <w:r w:rsidRPr="00B87455">
        <w:rPr>
          <w:rFonts w:ascii="Times New Roman" w:hAnsi="Times New Roman"/>
          <w:sz w:val="24"/>
          <w:szCs w:val="24"/>
        </w:rPr>
        <w:t xml:space="preserve">distributora </w:t>
      </w:r>
      <w:r w:rsidR="009D6B94" w:rsidRPr="00B87455">
        <w:rPr>
          <w:rFonts w:ascii="Times New Roman" w:hAnsi="Times New Roman"/>
          <w:sz w:val="24"/>
          <w:szCs w:val="24"/>
        </w:rPr>
        <w:t>revidovat</w:t>
      </w:r>
      <w:r w:rsidRPr="00B87455">
        <w:rPr>
          <w:rFonts w:ascii="Times New Roman" w:hAnsi="Times New Roman"/>
          <w:sz w:val="24"/>
          <w:szCs w:val="24"/>
        </w:rPr>
        <w:t>.</w:t>
      </w:r>
      <w:r w:rsidR="009D6B94" w:rsidRPr="00B87455">
        <w:rPr>
          <w:rFonts w:ascii="Times New Roman" w:hAnsi="Times New Roman"/>
          <w:sz w:val="24"/>
          <w:szCs w:val="24"/>
        </w:rPr>
        <w:t xml:space="preserve"> Zkušenost z</w:t>
      </w:r>
      <w:r w:rsidR="0038289E" w:rsidRPr="00B87455">
        <w:rPr>
          <w:rFonts w:ascii="Times New Roman" w:hAnsi="Times New Roman"/>
          <w:sz w:val="24"/>
          <w:szCs w:val="24"/>
        </w:rPr>
        <w:t> </w:t>
      </w:r>
      <w:r w:rsidR="009D6B94" w:rsidRPr="00B87455">
        <w:rPr>
          <w:rFonts w:ascii="Times New Roman" w:hAnsi="Times New Roman"/>
          <w:sz w:val="24"/>
          <w:szCs w:val="24"/>
        </w:rPr>
        <w:t>praxe potvrdila oprávněnost některýc</w:t>
      </w:r>
      <w:r w:rsidR="00B6621D" w:rsidRPr="00B87455">
        <w:rPr>
          <w:rFonts w:ascii="Times New Roman" w:hAnsi="Times New Roman"/>
          <w:sz w:val="24"/>
          <w:szCs w:val="24"/>
        </w:rPr>
        <w:t>h požadavků a</w:t>
      </w:r>
      <w:r w:rsidR="0038289E" w:rsidRPr="00B87455">
        <w:rPr>
          <w:rFonts w:ascii="Times New Roman" w:hAnsi="Times New Roman"/>
          <w:sz w:val="24"/>
          <w:szCs w:val="24"/>
        </w:rPr>
        <w:t> </w:t>
      </w:r>
      <w:r w:rsidR="00B6621D" w:rsidRPr="00B87455">
        <w:rPr>
          <w:rFonts w:ascii="Times New Roman" w:hAnsi="Times New Roman"/>
          <w:sz w:val="24"/>
          <w:szCs w:val="24"/>
        </w:rPr>
        <w:t>těm bylo v</w:t>
      </w:r>
      <w:r w:rsidR="0038289E" w:rsidRPr="00B87455">
        <w:rPr>
          <w:rFonts w:ascii="Times New Roman" w:hAnsi="Times New Roman"/>
          <w:sz w:val="24"/>
          <w:szCs w:val="24"/>
        </w:rPr>
        <w:t> </w:t>
      </w:r>
      <w:r w:rsidR="00B6621D" w:rsidRPr="00B87455">
        <w:rPr>
          <w:rFonts w:ascii="Times New Roman" w:hAnsi="Times New Roman"/>
          <w:sz w:val="24"/>
          <w:szCs w:val="24"/>
        </w:rPr>
        <w:t xml:space="preserve">návrhu </w:t>
      </w:r>
      <w:r w:rsidR="009D6B94" w:rsidRPr="00B87455">
        <w:rPr>
          <w:rFonts w:ascii="Times New Roman" w:hAnsi="Times New Roman"/>
          <w:sz w:val="24"/>
          <w:szCs w:val="24"/>
        </w:rPr>
        <w:t>vyhověno</w:t>
      </w:r>
      <w:r w:rsidR="001C2394" w:rsidRPr="00B87455">
        <w:rPr>
          <w:rFonts w:ascii="Times New Roman" w:hAnsi="Times New Roman"/>
          <w:sz w:val="24"/>
          <w:szCs w:val="24"/>
        </w:rPr>
        <w:t xml:space="preserve"> </w:t>
      </w:r>
      <w:r w:rsidR="00A55171" w:rsidRPr="00B87455">
        <w:rPr>
          <w:rFonts w:ascii="Times New Roman" w:hAnsi="Times New Roman"/>
          <w:sz w:val="24"/>
          <w:szCs w:val="24"/>
        </w:rPr>
        <w:t>a</w:t>
      </w:r>
      <w:r w:rsidR="0038289E" w:rsidRPr="00B87455">
        <w:rPr>
          <w:rFonts w:ascii="Times New Roman" w:hAnsi="Times New Roman"/>
          <w:sz w:val="24"/>
          <w:szCs w:val="24"/>
        </w:rPr>
        <w:t> </w:t>
      </w:r>
      <w:r w:rsidR="00A55171" w:rsidRPr="00B87455">
        <w:rPr>
          <w:rFonts w:ascii="Times New Roman" w:hAnsi="Times New Roman"/>
          <w:sz w:val="24"/>
          <w:szCs w:val="24"/>
        </w:rPr>
        <w:t xml:space="preserve">to včetně </w:t>
      </w:r>
      <w:r w:rsidR="004F09C9" w:rsidRPr="00B87455">
        <w:rPr>
          <w:rFonts w:ascii="Times New Roman" w:hAnsi="Times New Roman"/>
          <w:sz w:val="24"/>
          <w:szCs w:val="24"/>
        </w:rPr>
        <w:t xml:space="preserve">požadavků subjektů, </w:t>
      </w:r>
      <w:r w:rsidR="009D6B94" w:rsidRPr="00B87455">
        <w:rPr>
          <w:rFonts w:ascii="Times New Roman" w:hAnsi="Times New Roman"/>
          <w:sz w:val="24"/>
          <w:szCs w:val="24"/>
        </w:rPr>
        <w:t>jejich</w:t>
      </w:r>
      <w:r w:rsidR="004F09C9" w:rsidRPr="00B87455">
        <w:rPr>
          <w:rFonts w:ascii="Times New Roman" w:hAnsi="Times New Roman"/>
          <w:sz w:val="24"/>
          <w:szCs w:val="24"/>
        </w:rPr>
        <w:t>ž</w:t>
      </w:r>
      <w:r w:rsidR="009D6B94" w:rsidRPr="00B87455">
        <w:rPr>
          <w:rFonts w:ascii="Times New Roman" w:hAnsi="Times New Roman"/>
          <w:sz w:val="24"/>
          <w:szCs w:val="24"/>
        </w:rPr>
        <w:t xml:space="preserve"> činnost spočívá ve</w:t>
      </w:r>
      <w:r w:rsidRPr="00B87455">
        <w:rPr>
          <w:rFonts w:ascii="Times New Roman" w:hAnsi="Times New Roman"/>
          <w:sz w:val="24"/>
          <w:szCs w:val="24"/>
        </w:rPr>
        <w:t xml:space="preserve"> vydávání </w:t>
      </w:r>
      <w:r w:rsidR="009D6B94" w:rsidRPr="00B87455">
        <w:rPr>
          <w:rFonts w:ascii="Times New Roman" w:hAnsi="Times New Roman"/>
          <w:sz w:val="24"/>
          <w:szCs w:val="24"/>
        </w:rPr>
        <w:t>a</w:t>
      </w:r>
      <w:r w:rsidR="0038289E" w:rsidRPr="00B87455">
        <w:rPr>
          <w:rFonts w:ascii="Times New Roman" w:hAnsi="Times New Roman"/>
          <w:sz w:val="24"/>
          <w:szCs w:val="24"/>
        </w:rPr>
        <w:t> </w:t>
      </w:r>
      <w:r w:rsidR="009D6B94" w:rsidRPr="00B87455">
        <w:rPr>
          <w:rFonts w:ascii="Times New Roman" w:hAnsi="Times New Roman"/>
          <w:sz w:val="24"/>
          <w:szCs w:val="24"/>
        </w:rPr>
        <w:t xml:space="preserve">zprostředkování </w:t>
      </w:r>
      <w:r w:rsidRPr="00B87455">
        <w:rPr>
          <w:rFonts w:ascii="Times New Roman" w:hAnsi="Times New Roman"/>
          <w:sz w:val="24"/>
          <w:szCs w:val="24"/>
        </w:rPr>
        <w:t>palivových karet, které jsou v</w:t>
      </w:r>
      <w:r w:rsidR="0038289E" w:rsidRPr="00B87455">
        <w:rPr>
          <w:rFonts w:ascii="Times New Roman" w:hAnsi="Times New Roman"/>
          <w:sz w:val="24"/>
          <w:szCs w:val="24"/>
        </w:rPr>
        <w:t> </w:t>
      </w:r>
      <w:r w:rsidRPr="00B87455">
        <w:rPr>
          <w:rFonts w:ascii="Times New Roman" w:hAnsi="Times New Roman"/>
          <w:sz w:val="24"/>
          <w:szCs w:val="24"/>
        </w:rPr>
        <w:t>procesu prodeje pohonných hmot z</w:t>
      </w:r>
      <w:r w:rsidR="0038289E" w:rsidRPr="00B87455">
        <w:rPr>
          <w:rFonts w:ascii="Times New Roman" w:hAnsi="Times New Roman"/>
          <w:sz w:val="24"/>
          <w:szCs w:val="24"/>
        </w:rPr>
        <w:t> </w:t>
      </w:r>
      <w:r w:rsidRPr="00B87455">
        <w:rPr>
          <w:rFonts w:ascii="Times New Roman" w:hAnsi="Times New Roman"/>
          <w:sz w:val="24"/>
          <w:szCs w:val="24"/>
        </w:rPr>
        <w:t>čerpacích stanic využívány jako bezhotovostní platební prostředek. Z</w:t>
      </w:r>
      <w:r w:rsidR="0038289E" w:rsidRPr="00B87455">
        <w:rPr>
          <w:rFonts w:ascii="Times New Roman" w:hAnsi="Times New Roman"/>
          <w:sz w:val="24"/>
          <w:szCs w:val="24"/>
        </w:rPr>
        <w:t> </w:t>
      </w:r>
      <w:r w:rsidRPr="00B87455">
        <w:rPr>
          <w:rFonts w:ascii="Times New Roman" w:hAnsi="Times New Roman"/>
          <w:sz w:val="24"/>
          <w:szCs w:val="24"/>
        </w:rPr>
        <w:t xml:space="preserve">podstaty není možné jejich činností páchat daňový </w:t>
      </w:r>
      <w:r w:rsidR="004F09C9" w:rsidRPr="00B87455">
        <w:rPr>
          <w:rFonts w:ascii="Times New Roman" w:hAnsi="Times New Roman"/>
          <w:sz w:val="24"/>
          <w:szCs w:val="24"/>
        </w:rPr>
        <w:t>přestupek</w:t>
      </w:r>
      <w:r w:rsidR="00FF6D37" w:rsidRPr="00B87455">
        <w:rPr>
          <w:rFonts w:ascii="Times New Roman" w:hAnsi="Times New Roman"/>
          <w:sz w:val="24"/>
          <w:szCs w:val="24"/>
        </w:rPr>
        <w:t>.</w:t>
      </w:r>
      <w:r w:rsidR="009D6B94" w:rsidRPr="00B87455">
        <w:rPr>
          <w:rFonts w:ascii="Times New Roman" w:hAnsi="Times New Roman"/>
          <w:sz w:val="24"/>
          <w:szCs w:val="24"/>
        </w:rPr>
        <w:t xml:space="preserve"> Dále byly kladně posouzeny připomínky zástupců zaměstnavatelů, kteří nabízejí svým zaměstnancům použití služebních vozidel i</w:t>
      </w:r>
      <w:r w:rsidR="0038289E" w:rsidRPr="00B87455">
        <w:rPr>
          <w:rFonts w:ascii="Times New Roman" w:hAnsi="Times New Roman"/>
          <w:sz w:val="24"/>
          <w:szCs w:val="24"/>
        </w:rPr>
        <w:t> </w:t>
      </w:r>
      <w:r w:rsidR="009D6B94" w:rsidRPr="00B87455">
        <w:rPr>
          <w:rFonts w:ascii="Times New Roman" w:hAnsi="Times New Roman"/>
          <w:sz w:val="24"/>
          <w:szCs w:val="24"/>
        </w:rPr>
        <w:t>pro soukromé účely a</w:t>
      </w:r>
      <w:r w:rsidR="0038289E" w:rsidRPr="00B87455">
        <w:rPr>
          <w:rFonts w:ascii="Times New Roman" w:hAnsi="Times New Roman"/>
          <w:sz w:val="24"/>
          <w:szCs w:val="24"/>
        </w:rPr>
        <w:t> </w:t>
      </w:r>
      <w:r w:rsidR="009D6B94" w:rsidRPr="00B87455">
        <w:rPr>
          <w:rFonts w:ascii="Times New Roman" w:hAnsi="Times New Roman"/>
          <w:sz w:val="24"/>
          <w:szCs w:val="24"/>
        </w:rPr>
        <w:t xml:space="preserve">dále podnikatelům </w:t>
      </w:r>
      <w:r w:rsidR="0045654F" w:rsidRPr="00B87455">
        <w:rPr>
          <w:rFonts w:ascii="Times New Roman" w:hAnsi="Times New Roman"/>
          <w:sz w:val="24"/>
          <w:szCs w:val="24"/>
        </w:rPr>
        <w:t xml:space="preserve">pronajímajícím vozidla, stroje </w:t>
      </w:r>
      <w:r w:rsidR="009D6B94" w:rsidRPr="00B87455">
        <w:rPr>
          <w:rFonts w:ascii="Times New Roman" w:hAnsi="Times New Roman"/>
          <w:sz w:val="24"/>
          <w:szCs w:val="24"/>
        </w:rPr>
        <w:t>a</w:t>
      </w:r>
      <w:r w:rsidR="0038289E" w:rsidRPr="00B87455">
        <w:rPr>
          <w:rFonts w:ascii="Times New Roman" w:hAnsi="Times New Roman"/>
          <w:sz w:val="24"/>
          <w:szCs w:val="24"/>
        </w:rPr>
        <w:t> </w:t>
      </w:r>
      <w:r w:rsidR="009D6B94" w:rsidRPr="00B87455">
        <w:rPr>
          <w:rFonts w:ascii="Times New Roman" w:hAnsi="Times New Roman"/>
          <w:sz w:val="24"/>
          <w:szCs w:val="24"/>
        </w:rPr>
        <w:t>zařízení, přičemž pohonné hmoty jsou součástí nájemního vztahu.</w:t>
      </w:r>
    </w:p>
    <w:p w:rsidR="00662660" w:rsidRPr="00B87455" w:rsidRDefault="00662660" w:rsidP="001B5C94">
      <w:pPr>
        <w:spacing w:after="240"/>
        <w:jc w:val="both"/>
        <w:rPr>
          <w:rFonts w:ascii="Times New Roman" w:hAnsi="Times New Roman"/>
          <w:sz w:val="24"/>
          <w:szCs w:val="24"/>
        </w:rPr>
      </w:pPr>
      <w:r w:rsidRPr="00B87455">
        <w:rPr>
          <w:rFonts w:ascii="Times New Roman" w:hAnsi="Times New Roman"/>
          <w:sz w:val="24"/>
          <w:szCs w:val="24"/>
        </w:rPr>
        <w:t>Ne ve všech případech bylo možné akceptovat návrhy činěné zástupci podnikatelské sféry. Požadavky okruhu podnikatelů na změkčení pravidel vyhodnocování kontrolních vzorků kvality pohonných hmot nebylo možné akceptovat. Limity pro plnění kvalitativních ukazatelů pohonných hmot jsou stanoveny oborovými mezinárodními normami platnými v</w:t>
      </w:r>
      <w:r w:rsidR="0038289E" w:rsidRPr="00B87455">
        <w:rPr>
          <w:rFonts w:ascii="Times New Roman" w:hAnsi="Times New Roman"/>
          <w:sz w:val="24"/>
          <w:szCs w:val="24"/>
        </w:rPr>
        <w:t> </w:t>
      </w:r>
      <w:r w:rsidRPr="00B87455">
        <w:rPr>
          <w:rFonts w:ascii="Times New Roman" w:hAnsi="Times New Roman"/>
          <w:sz w:val="24"/>
          <w:szCs w:val="24"/>
        </w:rPr>
        <w:t>EU</w:t>
      </w:r>
      <w:r w:rsidR="004F09C9" w:rsidRPr="00B87455">
        <w:rPr>
          <w:rFonts w:ascii="Times New Roman" w:hAnsi="Times New Roman"/>
          <w:sz w:val="24"/>
          <w:szCs w:val="24"/>
        </w:rPr>
        <w:t>,</w:t>
      </w:r>
      <w:r w:rsidRPr="00B87455">
        <w:rPr>
          <w:rFonts w:ascii="Times New Roman" w:hAnsi="Times New Roman"/>
          <w:sz w:val="24"/>
          <w:szCs w:val="24"/>
        </w:rPr>
        <w:t xml:space="preserve"> a</w:t>
      </w:r>
      <w:r w:rsidR="0038289E" w:rsidRPr="00B87455">
        <w:rPr>
          <w:rFonts w:ascii="Times New Roman" w:hAnsi="Times New Roman"/>
          <w:sz w:val="24"/>
          <w:szCs w:val="24"/>
        </w:rPr>
        <w:t> </w:t>
      </w:r>
      <w:r w:rsidRPr="00B87455">
        <w:rPr>
          <w:rFonts w:ascii="Times New Roman" w:hAnsi="Times New Roman"/>
          <w:sz w:val="24"/>
          <w:szCs w:val="24"/>
        </w:rPr>
        <w:t>tedy i</w:t>
      </w:r>
      <w:r w:rsidR="0038289E" w:rsidRPr="00B87455">
        <w:rPr>
          <w:rFonts w:ascii="Times New Roman" w:hAnsi="Times New Roman"/>
          <w:sz w:val="24"/>
          <w:szCs w:val="24"/>
        </w:rPr>
        <w:t> </w:t>
      </w:r>
      <w:r w:rsidRPr="00B87455">
        <w:rPr>
          <w:rFonts w:ascii="Times New Roman" w:hAnsi="Times New Roman"/>
          <w:sz w:val="24"/>
          <w:szCs w:val="24"/>
        </w:rPr>
        <w:t>České republice a</w:t>
      </w:r>
      <w:r w:rsidR="0038289E" w:rsidRPr="00B87455">
        <w:rPr>
          <w:rFonts w:ascii="Times New Roman" w:hAnsi="Times New Roman"/>
          <w:sz w:val="24"/>
          <w:szCs w:val="24"/>
        </w:rPr>
        <w:t> </w:t>
      </w:r>
      <w:r w:rsidRPr="00B87455">
        <w:rPr>
          <w:rFonts w:ascii="Times New Roman" w:hAnsi="Times New Roman"/>
          <w:sz w:val="24"/>
          <w:szCs w:val="24"/>
        </w:rPr>
        <w:t>není v</w:t>
      </w:r>
      <w:r w:rsidR="0038289E" w:rsidRPr="00B87455">
        <w:rPr>
          <w:rFonts w:ascii="Times New Roman" w:hAnsi="Times New Roman"/>
          <w:sz w:val="24"/>
          <w:szCs w:val="24"/>
        </w:rPr>
        <w:t> </w:t>
      </w:r>
      <w:r w:rsidRPr="00B87455">
        <w:rPr>
          <w:rFonts w:ascii="Times New Roman" w:hAnsi="Times New Roman"/>
          <w:sz w:val="24"/>
          <w:szCs w:val="24"/>
        </w:rPr>
        <w:t>zájmu ostatních podnikatelů a</w:t>
      </w:r>
      <w:r w:rsidR="0038289E" w:rsidRPr="00B87455">
        <w:rPr>
          <w:rFonts w:ascii="Times New Roman" w:hAnsi="Times New Roman"/>
          <w:sz w:val="24"/>
          <w:szCs w:val="24"/>
        </w:rPr>
        <w:t> </w:t>
      </w:r>
      <w:r w:rsidRPr="00B87455">
        <w:rPr>
          <w:rFonts w:ascii="Times New Roman" w:hAnsi="Times New Roman"/>
          <w:sz w:val="24"/>
          <w:szCs w:val="24"/>
        </w:rPr>
        <w:t>zejména konečných spotřebitelů</w:t>
      </w:r>
      <w:r w:rsidR="001C2394" w:rsidRPr="00B87455">
        <w:rPr>
          <w:rFonts w:ascii="Times New Roman" w:hAnsi="Times New Roman"/>
          <w:sz w:val="24"/>
          <w:szCs w:val="24"/>
        </w:rPr>
        <w:t>,</w:t>
      </w:r>
      <w:r w:rsidRPr="00B87455">
        <w:rPr>
          <w:rFonts w:ascii="Times New Roman" w:hAnsi="Times New Roman"/>
          <w:sz w:val="24"/>
          <w:szCs w:val="24"/>
        </w:rPr>
        <w:t xml:space="preserve"> povolit odchylky od norem, jakkoli v</w:t>
      </w:r>
      <w:r w:rsidR="0038289E" w:rsidRPr="00B87455">
        <w:rPr>
          <w:rFonts w:ascii="Times New Roman" w:hAnsi="Times New Roman"/>
          <w:sz w:val="24"/>
          <w:szCs w:val="24"/>
        </w:rPr>
        <w:t> </w:t>
      </w:r>
      <w:r w:rsidRPr="00B87455">
        <w:rPr>
          <w:rFonts w:ascii="Times New Roman" w:hAnsi="Times New Roman"/>
          <w:sz w:val="24"/>
          <w:szCs w:val="24"/>
        </w:rPr>
        <w:t xml:space="preserve">případě některých parametrů, </w:t>
      </w:r>
      <w:r w:rsidR="001C2394" w:rsidRPr="00B87455">
        <w:rPr>
          <w:rFonts w:ascii="Times New Roman" w:hAnsi="Times New Roman"/>
          <w:sz w:val="24"/>
          <w:szCs w:val="24"/>
        </w:rPr>
        <w:t>jakým</w:t>
      </w:r>
      <w:r w:rsidR="00946B5E" w:rsidRPr="00B87455">
        <w:rPr>
          <w:rFonts w:ascii="Times New Roman" w:hAnsi="Times New Roman"/>
          <w:sz w:val="24"/>
          <w:szCs w:val="24"/>
        </w:rPr>
        <w:t xml:space="preserve"> je například </w:t>
      </w:r>
      <w:r w:rsidRPr="00B87455">
        <w:rPr>
          <w:rFonts w:ascii="Times New Roman" w:hAnsi="Times New Roman"/>
          <w:sz w:val="24"/>
          <w:szCs w:val="24"/>
        </w:rPr>
        <w:t>překročení tlaku par</w:t>
      </w:r>
      <w:r w:rsidR="001C2394" w:rsidRPr="00B87455">
        <w:rPr>
          <w:rFonts w:ascii="Times New Roman" w:hAnsi="Times New Roman"/>
          <w:sz w:val="24"/>
          <w:szCs w:val="24"/>
        </w:rPr>
        <w:t xml:space="preserve"> uhlovodíků</w:t>
      </w:r>
      <w:r w:rsidRPr="00B87455">
        <w:rPr>
          <w:rFonts w:ascii="Times New Roman" w:hAnsi="Times New Roman"/>
          <w:sz w:val="24"/>
          <w:szCs w:val="24"/>
        </w:rPr>
        <w:t>, se v</w:t>
      </w:r>
      <w:r w:rsidR="0038289E" w:rsidRPr="00B87455">
        <w:rPr>
          <w:rFonts w:ascii="Times New Roman" w:hAnsi="Times New Roman"/>
          <w:sz w:val="24"/>
          <w:szCs w:val="24"/>
        </w:rPr>
        <w:t> </w:t>
      </w:r>
      <w:r w:rsidRPr="00B87455">
        <w:rPr>
          <w:rFonts w:ascii="Times New Roman" w:hAnsi="Times New Roman"/>
          <w:sz w:val="24"/>
          <w:szCs w:val="24"/>
        </w:rPr>
        <w:t>zásadě nejedná o</w:t>
      </w:r>
      <w:r w:rsidR="0038289E" w:rsidRPr="00B87455">
        <w:rPr>
          <w:rFonts w:ascii="Times New Roman" w:hAnsi="Times New Roman"/>
          <w:sz w:val="24"/>
          <w:szCs w:val="24"/>
        </w:rPr>
        <w:t> </w:t>
      </w:r>
      <w:r w:rsidRPr="00B87455">
        <w:rPr>
          <w:rFonts w:ascii="Times New Roman" w:hAnsi="Times New Roman"/>
          <w:sz w:val="24"/>
          <w:szCs w:val="24"/>
        </w:rPr>
        <w:t>situaci, která by bezprostředně ohrožovala zdraví či majetek osob.</w:t>
      </w:r>
      <w:r w:rsidR="0071700A" w:rsidRPr="00B87455">
        <w:rPr>
          <w:rFonts w:ascii="Times New Roman" w:hAnsi="Times New Roman"/>
          <w:sz w:val="24"/>
          <w:szCs w:val="24"/>
        </w:rPr>
        <w:t xml:space="preserve"> Přesto je jednotné dodržování </w:t>
      </w:r>
      <w:r w:rsidR="004F09C9" w:rsidRPr="00B87455">
        <w:rPr>
          <w:rFonts w:ascii="Times New Roman" w:hAnsi="Times New Roman"/>
          <w:sz w:val="24"/>
          <w:szCs w:val="24"/>
        </w:rPr>
        <w:t xml:space="preserve">stanovených </w:t>
      </w:r>
      <w:r w:rsidR="00575DA7" w:rsidRPr="00B87455">
        <w:rPr>
          <w:rFonts w:ascii="Times New Roman" w:hAnsi="Times New Roman"/>
          <w:sz w:val="24"/>
          <w:szCs w:val="24"/>
        </w:rPr>
        <w:t xml:space="preserve">parametrů </w:t>
      </w:r>
      <w:r w:rsidR="0071700A" w:rsidRPr="00B87455">
        <w:rPr>
          <w:rFonts w:ascii="Times New Roman" w:hAnsi="Times New Roman"/>
          <w:sz w:val="24"/>
          <w:szCs w:val="24"/>
        </w:rPr>
        <w:t>nezbytné.</w:t>
      </w:r>
    </w:p>
    <w:p w:rsidR="001B5C94" w:rsidRPr="00B87455" w:rsidRDefault="00D8282B" w:rsidP="001B5C94">
      <w:pPr>
        <w:spacing w:after="240"/>
        <w:jc w:val="both"/>
        <w:rPr>
          <w:rFonts w:ascii="Times New Roman" w:hAnsi="Times New Roman"/>
          <w:sz w:val="24"/>
          <w:szCs w:val="24"/>
        </w:rPr>
      </w:pPr>
      <w:r w:rsidRPr="00B87455">
        <w:rPr>
          <w:rFonts w:ascii="Times New Roman" w:hAnsi="Times New Roman"/>
          <w:sz w:val="24"/>
          <w:szCs w:val="24"/>
        </w:rPr>
        <w:t>K</w:t>
      </w:r>
      <w:r w:rsidR="001B5C94" w:rsidRPr="00B87455">
        <w:rPr>
          <w:rFonts w:ascii="Times New Roman" w:hAnsi="Times New Roman"/>
          <w:sz w:val="24"/>
          <w:szCs w:val="24"/>
        </w:rPr>
        <w:t>onzultace s</w:t>
      </w:r>
      <w:r w:rsidR="0038289E" w:rsidRPr="00B87455">
        <w:rPr>
          <w:rFonts w:ascii="Times New Roman" w:hAnsi="Times New Roman"/>
          <w:sz w:val="24"/>
          <w:szCs w:val="24"/>
        </w:rPr>
        <w:t> </w:t>
      </w:r>
      <w:r w:rsidR="001B5C94" w:rsidRPr="00B87455">
        <w:rPr>
          <w:rFonts w:ascii="Times New Roman" w:hAnsi="Times New Roman"/>
          <w:sz w:val="24"/>
          <w:szCs w:val="24"/>
        </w:rPr>
        <w:t>profesními svazy a</w:t>
      </w:r>
      <w:r w:rsidR="0038289E" w:rsidRPr="00B87455">
        <w:rPr>
          <w:rFonts w:ascii="Times New Roman" w:hAnsi="Times New Roman"/>
          <w:sz w:val="24"/>
          <w:szCs w:val="24"/>
        </w:rPr>
        <w:t> </w:t>
      </w:r>
      <w:r w:rsidR="00F47500" w:rsidRPr="00B87455">
        <w:rPr>
          <w:rFonts w:ascii="Times New Roman" w:hAnsi="Times New Roman"/>
          <w:sz w:val="24"/>
          <w:szCs w:val="24"/>
        </w:rPr>
        <w:t>asociacemi</w:t>
      </w:r>
      <w:r w:rsidR="008A0139" w:rsidRPr="00B87455">
        <w:rPr>
          <w:rFonts w:ascii="Times New Roman" w:hAnsi="Times New Roman"/>
          <w:sz w:val="24"/>
          <w:szCs w:val="24"/>
        </w:rPr>
        <w:t xml:space="preserve"> </w:t>
      </w:r>
      <w:r w:rsidR="001B5C94" w:rsidRPr="00B87455">
        <w:rPr>
          <w:rFonts w:ascii="Times New Roman" w:hAnsi="Times New Roman"/>
          <w:sz w:val="24"/>
          <w:szCs w:val="24"/>
        </w:rPr>
        <w:t>probíhaly až do samotného konce přípravy textu novely</w:t>
      </w:r>
      <w:r w:rsidR="00AA32AD" w:rsidRPr="00B87455">
        <w:rPr>
          <w:rFonts w:ascii="Times New Roman" w:hAnsi="Times New Roman"/>
          <w:sz w:val="24"/>
          <w:szCs w:val="24"/>
        </w:rPr>
        <w:t xml:space="preserve"> zákona</w:t>
      </w:r>
      <w:r w:rsidRPr="00B87455">
        <w:rPr>
          <w:rFonts w:ascii="Times New Roman" w:hAnsi="Times New Roman"/>
          <w:sz w:val="24"/>
          <w:szCs w:val="24"/>
        </w:rPr>
        <w:t>.</w:t>
      </w:r>
      <w:r w:rsidR="006A3498" w:rsidRPr="00B87455">
        <w:rPr>
          <w:rFonts w:ascii="Times New Roman" w:hAnsi="Times New Roman"/>
          <w:sz w:val="24"/>
          <w:szCs w:val="24"/>
        </w:rPr>
        <w:t xml:space="preserve"> </w:t>
      </w:r>
      <w:r w:rsidR="005D581C" w:rsidRPr="00B87455">
        <w:rPr>
          <w:rFonts w:ascii="Times New Roman" w:hAnsi="Times New Roman"/>
          <w:bCs/>
          <w:sz w:val="24"/>
          <w:szCs w:val="24"/>
        </w:rPr>
        <w:t>Ve své závěrečné fázi pak byl konzultační proces zaměřen pouze na řešení některých specifických problémů souvisejících s</w:t>
      </w:r>
      <w:r w:rsidR="0038289E" w:rsidRPr="00B87455">
        <w:rPr>
          <w:rFonts w:ascii="Times New Roman" w:hAnsi="Times New Roman"/>
          <w:bCs/>
          <w:sz w:val="24"/>
          <w:szCs w:val="24"/>
        </w:rPr>
        <w:t> </w:t>
      </w:r>
      <w:r w:rsidR="005D581C" w:rsidRPr="00B87455">
        <w:rPr>
          <w:rFonts w:ascii="Times New Roman" w:hAnsi="Times New Roman"/>
          <w:bCs/>
          <w:sz w:val="24"/>
          <w:szCs w:val="24"/>
        </w:rPr>
        <w:t>praxí využívání pohonných hmot ve stavebnictví a</w:t>
      </w:r>
      <w:r w:rsidR="0038289E" w:rsidRPr="00B87455">
        <w:rPr>
          <w:rFonts w:ascii="Times New Roman" w:hAnsi="Times New Roman"/>
          <w:bCs/>
          <w:sz w:val="24"/>
          <w:szCs w:val="24"/>
        </w:rPr>
        <w:t> </w:t>
      </w:r>
      <w:r w:rsidR="005D581C" w:rsidRPr="00B87455">
        <w:rPr>
          <w:rFonts w:ascii="Times New Roman" w:hAnsi="Times New Roman"/>
          <w:bCs/>
          <w:sz w:val="24"/>
          <w:szCs w:val="24"/>
        </w:rPr>
        <w:t>v</w:t>
      </w:r>
      <w:r w:rsidR="0038289E" w:rsidRPr="00B87455">
        <w:rPr>
          <w:rFonts w:ascii="Times New Roman" w:hAnsi="Times New Roman"/>
          <w:bCs/>
          <w:sz w:val="24"/>
          <w:szCs w:val="24"/>
        </w:rPr>
        <w:t> </w:t>
      </w:r>
      <w:r w:rsidR="005D581C" w:rsidRPr="00B87455">
        <w:rPr>
          <w:rFonts w:ascii="Times New Roman" w:hAnsi="Times New Roman"/>
          <w:bCs/>
          <w:sz w:val="24"/>
          <w:szCs w:val="24"/>
        </w:rPr>
        <w:t>zemědělství, proto byly tyto problémy konzultovány se svazy a</w:t>
      </w:r>
      <w:r w:rsidR="0038289E" w:rsidRPr="00B87455">
        <w:rPr>
          <w:rFonts w:ascii="Times New Roman" w:hAnsi="Times New Roman"/>
          <w:bCs/>
          <w:sz w:val="24"/>
          <w:szCs w:val="24"/>
        </w:rPr>
        <w:t> </w:t>
      </w:r>
      <w:r w:rsidR="005D581C" w:rsidRPr="00B87455">
        <w:rPr>
          <w:rFonts w:ascii="Times New Roman" w:hAnsi="Times New Roman"/>
          <w:bCs/>
          <w:sz w:val="24"/>
          <w:szCs w:val="24"/>
        </w:rPr>
        <w:t>asociacemi z</w:t>
      </w:r>
      <w:r w:rsidR="0038289E" w:rsidRPr="00B87455">
        <w:rPr>
          <w:rFonts w:ascii="Times New Roman" w:hAnsi="Times New Roman"/>
          <w:bCs/>
          <w:sz w:val="24"/>
          <w:szCs w:val="24"/>
        </w:rPr>
        <w:t> </w:t>
      </w:r>
      <w:r w:rsidR="005D581C" w:rsidRPr="00B87455">
        <w:rPr>
          <w:rFonts w:ascii="Times New Roman" w:hAnsi="Times New Roman"/>
          <w:bCs/>
          <w:sz w:val="24"/>
          <w:szCs w:val="24"/>
        </w:rPr>
        <w:t>této oblasti.</w:t>
      </w:r>
      <w:r w:rsidR="001B5C94" w:rsidRPr="00B87455">
        <w:rPr>
          <w:rFonts w:ascii="Times New Roman" w:hAnsi="Times New Roman"/>
          <w:sz w:val="24"/>
          <w:szCs w:val="24"/>
        </w:rPr>
        <w:t xml:space="preserve"> Současně </w:t>
      </w:r>
      <w:r w:rsidR="008A0139" w:rsidRPr="00B87455">
        <w:rPr>
          <w:rFonts w:ascii="Times New Roman" w:hAnsi="Times New Roman"/>
          <w:sz w:val="24"/>
          <w:szCs w:val="24"/>
        </w:rPr>
        <w:t xml:space="preserve">byly </w:t>
      </w:r>
      <w:r w:rsidR="001B5C94" w:rsidRPr="00B87455">
        <w:rPr>
          <w:rFonts w:ascii="Times New Roman" w:hAnsi="Times New Roman"/>
          <w:sz w:val="24"/>
          <w:szCs w:val="24"/>
        </w:rPr>
        <w:t>profesní svazy vyzvány k</w:t>
      </w:r>
      <w:r w:rsidR="0038289E" w:rsidRPr="00B87455">
        <w:rPr>
          <w:rFonts w:ascii="Times New Roman" w:hAnsi="Times New Roman"/>
          <w:sz w:val="24"/>
          <w:szCs w:val="24"/>
        </w:rPr>
        <w:t> </w:t>
      </w:r>
      <w:r w:rsidR="001B5C94" w:rsidRPr="00B87455">
        <w:rPr>
          <w:rFonts w:ascii="Times New Roman" w:hAnsi="Times New Roman"/>
          <w:sz w:val="24"/>
          <w:szCs w:val="24"/>
        </w:rPr>
        <w:t>předložení připomínek k</w:t>
      </w:r>
      <w:r w:rsidR="0038289E" w:rsidRPr="00B87455">
        <w:rPr>
          <w:rFonts w:ascii="Times New Roman" w:hAnsi="Times New Roman"/>
          <w:sz w:val="24"/>
          <w:szCs w:val="24"/>
        </w:rPr>
        <w:t> </w:t>
      </w:r>
      <w:r w:rsidR="001B5C94" w:rsidRPr="00B87455">
        <w:rPr>
          <w:rFonts w:ascii="Times New Roman" w:hAnsi="Times New Roman"/>
          <w:sz w:val="24"/>
          <w:szCs w:val="24"/>
        </w:rPr>
        <w:t>materiálu v</w:t>
      </w:r>
      <w:r w:rsidR="002B5072" w:rsidRPr="00B87455">
        <w:rPr>
          <w:rFonts w:ascii="Times New Roman" w:hAnsi="Times New Roman"/>
          <w:sz w:val="24"/>
          <w:szCs w:val="24"/>
        </w:rPr>
        <w:t xml:space="preserve">loženého do </w:t>
      </w:r>
      <w:r w:rsidR="001B5C94" w:rsidRPr="00B87455">
        <w:rPr>
          <w:rFonts w:ascii="Times New Roman" w:hAnsi="Times New Roman"/>
          <w:sz w:val="24"/>
          <w:szCs w:val="24"/>
        </w:rPr>
        <w:t>e</w:t>
      </w:r>
      <w:r w:rsidR="008C03FD" w:rsidRPr="00B87455">
        <w:rPr>
          <w:rFonts w:ascii="Times New Roman" w:hAnsi="Times New Roman"/>
          <w:sz w:val="24"/>
          <w:szCs w:val="24"/>
        </w:rPr>
        <w:t>-</w:t>
      </w:r>
      <w:r w:rsidR="001B5C94" w:rsidRPr="00B87455">
        <w:rPr>
          <w:rFonts w:ascii="Times New Roman" w:hAnsi="Times New Roman"/>
          <w:sz w:val="24"/>
          <w:szCs w:val="24"/>
        </w:rPr>
        <w:t>KLEP, jakkoli se jedná o</w:t>
      </w:r>
      <w:r w:rsidR="0038289E" w:rsidRPr="00B87455">
        <w:rPr>
          <w:rFonts w:ascii="Times New Roman" w:hAnsi="Times New Roman"/>
          <w:sz w:val="24"/>
          <w:szCs w:val="24"/>
        </w:rPr>
        <w:t> </w:t>
      </w:r>
      <w:r w:rsidR="001B5C94" w:rsidRPr="00B87455">
        <w:rPr>
          <w:rFonts w:ascii="Times New Roman" w:hAnsi="Times New Roman"/>
          <w:sz w:val="24"/>
          <w:szCs w:val="24"/>
        </w:rPr>
        <w:t>opominutelná připomínk</w:t>
      </w:r>
      <w:r w:rsidR="002B5072" w:rsidRPr="00B87455">
        <w:rPr>
          <w:rFonts w:ascii="Times New Roman" w:hAnsi="Times New Roman"/>
          <w:sz w:val="24"/>
          <w:szCs w:val="24"/>
        </w:rPr>
        <w:t>ová místa.</w:t>
      </w:r>
    </w:p>
    <w:p w:rsidR="00B461C9" w:rsidRDefault="00B461C9" w:rsidP="00607CF7">
      <w:pPr>
        <w:rPr>
          <w:rFonts w:ascii="Times New Roman" w:hAnsi="Times New Roman"/>
          <w:sz w:val="24"/>
          <w:szCs w:val="24"/>
        </w:rPr>
      </w:pPr>
    </w:p>
    <w:p w:rsidR="007022EB" w:rsidRPr="00B87455" w:rsidRDefault="007022EB" w:rsidP="001C430D">
      <w:pPr>
        <w:rPr>
          <w:rFonts w:ascii="Times New Roman" w:hAnsi="Times New Roman"/>
          <w:b/>
          <w:sz w:val="24"/>
          <w:szCs w:val="24"/>
        </w:rPr>
      </w:pPr>
      <w:r w:rsidRPr="00B87455">
        <w:rPr>
          <w:rFonts w:ascii="Times New Roman" w:hAnsi="Times New Roman"/>
          <w:b/>
          <w:sz w:val="24"/>
          <w:szCs w:val="24"/>
        </w:rPr>
        <w:lastRenderedPageBreak/>
        <w:t>8</w:t>
      </w:r>
      <w:r w:rsidR="004F09C9" w:rsidRPr="00B87455">
        <w:rPr>
          <w:rFonts w:ascii="Times New Roman" w:hAnsi="Times New Roman"/>
          <w:b/>
          <w:sz w:val="24"/>
          <w:szCs w:val="24"/>
        </w:rPr>
        <w:t>.</w:t>
      </w:r>
      <w:r w:rsidRPr="00B87455">
        <w:rPr>
          <w:rFonts w:ascii="Times New Roman" w:hAnsi="Times New Roman"/>
          <w:b/>
          <w:sz w:val="24"/>
          <w:szCs w:val="24"/>
        </w:rPr>
        <w:t xml:space="preserve"> Kontakt na zpracovatele RIA</w:t>
      </w:r>
    </w:p>
    <w:p w:rsidR="00763278" w:rsidRPr="00B87455" w:rsidRDefault="00763278" w:rsidP="00A31C65">
      <w:pPr>
        <w:ind w:left="360"/>
        <w:rPr>
          <w:rFonts w:ascii="Times New Roman" w:hAnsi="Times New Roman"/>
          <w:sz w:val="24"/>
          <w:szCs w:val="24"/>
        </w:rPr>
      </w:pPr>
    </w:p>
    <w:p w:rsidR="00763278" w:rsidRPr="00B87455" w:rsidRDefault="00763278" w:rsidP="00A31C65">
      <w:pPr>
        <w:ind w:left="360"/>
        <w:rPr>
          <w:rFonts w:ascii="Times New Roman" w:hAnsi="Times New Roman"/>
          <w:sz w:val="24"/>
          <w:szCs w:val="24"/>
        </w:rPr>
      </w:pPr>
      <w:r w:rsidRPr="00B87455">
        <w:rPr>
          <w:rFonts w:ascii="Times New Roman" w:hAnsi="Times New Roman"/>
          <w:sz w:val="24"/>
          <w:szCs w:val="24"/>
        </w:rPr>
        <w:t>Ing. Pavel Šenych</w:t>
      </w:r>
      <w:r w:rsidRPr="00B87455">
        <w:rPr>
          <w:rFonts w:ascii="Times New Roman" w:hAnsi="Times New Roman"/>
          <w:sz w:val="24"/>
          <w:szCs w:val="24"/>
        </w:rPr>
        <w:br/>
        <w:t>vedoucí oddělení kapalných paliv</w:t>
      </w:r>
    </w:p>
    <w:p w:rsidR="00A564B4" w:rsidRPr="00B87455" w:rsidRDefault="00A564B4" w:rsidP="00A31C65">
      <w:pPr>
        <w:ind w:left="360"/>
        <w:rPr>
          <w:rFonts w:ascii="Times New Roman" w:hAnsi="Times New Roman"/>
          <w:sz w:val="24"/>
          <w:szCs w:val="24"/>
        </w:rPr>
      </w:pPr>
      <w:r w:rsidRPr="00B87455">
        <w:rPr>
          <w:rFonts w:ascii="Times New Roman" w:hAnsi="Times New Roman"/>
          <w:sz w:val="24"/>
          <w:szCs w:val="24"/>
        </w:rPr>
        <w:t>Ministerstvo průmyslu a</w:t>
      </w:r>
      <w:r w:rsidR="0038289E" w:rsidRPr="00B87455">
        <w:rPr>
          <w:rFonts w:ascii="Times New Roman" w:hAnsi="Times New Roman"/>
          <w:sz w:val="24"/>
          <w:szCs w:val="24"/>
        </w:rPr>
        <w:t> </w:t>
      </w:r>
      <w:r w:rsidRPr="00B87455">
        <w:rPr>
          <w:rFonts w:ascii="Times New Roman" w:hAnsi="Times New Roman"/>
          <w:sz w:val="24"/>
          <w:szCs w:val="24"/>
        </w:rPr>
        <w:t>obchodu</w:t>
      </w:r>
    </w:p>
    <w:p w:rsidR="00A564B4" w:rsidRPr="00B87455" w:rsidRDefault="00A564B4" w:rsidP="00A31C65">
      <w:pPr>
        <w:ind w:left="360"/>
        <w:rPr>
          <w:rFonts w:ascii="Times New Roman" w:hAnsi="Times New Roman"/>
          <w:sz w:val="24"/>
          <w:szCs w:val="24"/>
        </w:rPr>
      </w:pPr>
      <w:r w:rsidRPr="00B87455">
        <w:rPr>
          <w:rFonts w:ascii="Times New Roman" w:hAnsi="Times New Roman"/>
          <w:sz w:val="24"/>
          <w:szCs w:val="24"/>
        </w:rPr>
        <w:t>tel. 224 853 145</w:t>
      </w:r>
    </w:p>
    <w:p w:rsidR="00534BAF" w:rsidRPr="00B87455" w:rsidRDefault="00A564B4" w:rsidP="00B6621D">
      <w:pPr>
        <w:ind w:left="360"/>
        <w:rPr>
          <w:rFonts w:ascii="Times New Roman" w:hAnsi="Times New Roman"/>
          <w:sz w:val="24"/>
          <w:szCs w:val="24"/>
        </w:rPr>
      </w:pPr>
      <w:r w:rsidRPr="00B87455">
        <w:rPr>
          <w:rFonts w:ascii="Times New Roman" w:hAnsi="Times New Roman"/>
          <w:sz w:val="24"/>
          <w:szCs w:val="24"/>
        </w:rPr>
        <w:t>e-mail: senych@mpo.cz</w:t>
      </w:r>
    </w:p>
    <w:sectPr w:rsidR="00534BAF" w:rsidRPr="00B87455" w:rsidSect="00AB3B80">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630" w:rsidRDefault="00063630" w:rsidP="00EF7088">
      <w:pPr>
        <w:spacing w:after="0" w:line="240" w:lineRule="auto"/>
      </w:pPr>
      <w:r>
        <w:separator/>
      </w:r>
    </w:p>
  </w:endnote>
  <w:endnote w:type="continuationSeparator" w:id="0">
    <w:p w:rsidR="00063630" w:rsidRDefault="00063630" w:rsidP="00EF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806292"/>
      <w:docPartObj>
        <w:docPartGallery w:val="Page Numbers (Bottom of Page)"/>
        <w:docPartUnique/>
      </w:docPartObj>
    </w:sdtPr>
    <w:sdtEndPr/>
    <w:sdtContent>
      <w:p w:rsidR="005D581C" w:rsidRDefault="00AB3B80">
        <w:pPr>
          <w:pStyle w:val="Zpat"/>
          <w:jc w:val="center"/>
        </w:pPr>
        <w:r>
          <w:fldChar w:fldCharType="begin"/>
        </w:r>
        <w:r w:rsidR="005D581C">
          <w:instrText>PAGE   \* MERGEFORMAT</w:instrText>
        </w:r>
        <w:r>
          <w:fldChar w:fldCharType="separate"/>
        </w:r>
        <w:r w:rsidR="00D621BF">
          <w:rPr>
            <w:noProof/>
          </w:rPr>
          <w:t>1</w:t>
        </w:r>
        <w:r>
          <w:fldChar w:fldCharType="end"/>
        </w:r>
      </w:p>
    </w:sdtContent>
  </w:sdt>
  <w:p w:rsidR="005D581C" w:rsidRDefault="005D58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81C" w:rsidRDefault="00AB3B80">
    <w:pPr>
      <w:pStyle w:val="Zpat"/>
      <w:jc w:val="center"/>
    </w:pPr>
    <w:r>
      <w:fldChar w:fldCharType="begin"/>
    </w:r>
    <w:r w:rsidR="005D581C">
      <w:instrText>PAGE   \* MERGEFORMAT</w:instrText>
    </w:r>
    <w:r>
      <w:fldChar w:fldCharType="separate"/>
    </w:r>
    <w:r w:rsidR="00D621BF">
      <w:rPr>
        <w:noProof/>
      </w:rPr>
      <w:t>21</w:t>
    </w:r>
    <w:r>
      <w:fldChar w:fldCharType="end"/>
    </w:r>
  </w:p>
  <w:p w:rsidR="005D581C" w:rsidRDefault="005D581C" w:rsidP="00623F71">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630" w:rsidRDefault="00063630" w:rsidP="00EF7088">
      <w:pPr>
        <w:spacing w:after="0" w:line="240" w:lineRule="auto"/>
      </w:pPr>
      <w:r>
        <w:separator/>
      </w:r>
    </w:p>
  </w:footnote>
  <w:footnote w:type="continuationSeparator" w:id="0">
    <w:p w:rsidR="00063630" w:rsidRDefault="00063630" w:rsidP="00EF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0671"/>
    <w:multiLevelType w:val="hybridMultilevel"/>
    <w:tmpl w:val="A3928A9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415401C"/>
    <w:multiLevelType w:val="hybridMultilevel"/>
    <w:tmpl w:val="5BFEA3B8"/>
    <w:lvl w:ilvl="0" w:tplc="4A588EA8">
      <w:start w:val="1"/>
      <w:numFmt w:val="lowerLetter"/>
      <w:lvlText w:val="%1)"/>
      <w:lvlJc w:val="left"/>
      <w:pPr>
        <w:ind w:left="720" w:hanging="360"/>
      </w:pPr>
      <w:rPr>
        <w:rFonts w:asciiTheme="minorHAnsi" w:hAnsiTheme="minorHAnsi" w:hint="default"/>
        <w:b/>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734BC7"/>
    <w:multiLevelType w:val="hybridMultilevel"/>
    <w:tmpl w:val="5C2EBA3A"/>
    <w:lvl w:ilvl="0" w:tplc="2A9AB03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D72D8E"/>
    <w:multiLevelType w:val="hybridMultilevel"/>
    <w:tmpl w:val="28186B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EE3748"/>
    <w:multiLevelType w:val="hybridMultilevel"/>
    <w:tmpl w:val="CFFC9BE8"/>
    <w:lvl w:ilvl="0" w:tplc="04050013">
      <w:start w:val="1"/>
      <w:numFmt w:val="upperRoman"/>
      <w:lvlText w:val="%1."/>
      <w:lvlJc w:val="right"/>
      <w:pPr>
        <w:ind w:left="720" w:hanging="360"/>
      </w:pPr>
    </w:lvl>
    <w:lvl w:ilvl="1" w:tplc="A8D8DB2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C74B37"/>
    <w:multiLevelType w:val="hybridMultilevel"/>
    <w:tmpl w:val="7F6AA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235A0B"/>
    <w:multiLevelType w:val="hybridMultilevel"/>
    <w:tmpl w:val="DA84BC4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4F1612"/>
    <w:multiLevelType w:val="multilevel"/>
    <w:tmpl w:val="7188C6F0"/>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921792"/>
    <w:multiLevelType w:val="hybridMultilevel"/>
    <w:tmpl w:val="F84E6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D54436"/>
    <w:multiLevelType w:val="hybridMultilevel"/>
    <w:tmpl w:val="233E81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A425A5"/>
    <w:multiLevelType w:val="multilevel"/>
    <w:tmpl w:val="358810A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88A5E26"/>
    <w:multiLevelType w:val="hybridMultilevel"/>
    <w:tmpl w:val="03948378"/>
    <w:lvl w:ilvl="0" w:tplc="21507DF8">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2" w15:restartNumberingAfterBreak="0">
    <w:nsid w:val="325B7D7F"/>
    <w:multiLevelType w:val="multilevel"/>
    <w:tmpl w:val="9E5A84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000000" w:themeColor="text1"/>
        <w:sz w:val="24"/>
      </w:rPr>
    </w:lvl>
    <w:lvl w:ilvl="2">
      <w:start w:val="1"/>
      <w:numFmt w:val="decimal"/>
      <w:isLgl/>
      <w:lvlText w:val="%1.%2.%3."/>
      <w:lvlJc w:val="left"/>
      <w:pPr>
        <w:ind w:left="1080" w:hanging="720"/>
      </w:pPr>
      <w:rPr>
        <w:rFonts w:hint="default"/>
        <w:color w:val="000000" w:themeColor="text1"/>
        <w:sz w:val="24"/>
      </w:rPr>
    </w:lvl>
    <w:lvl w:ilvl="3">
      <w:start w:val="1"/>
      <w:numFmt w:val="decimal"/>
      <w:isLgl/>
      <w:lvlText w:val="%1.%2.%3.%4."/>
      <w:lvlJc w:val="left"/>
      <w:pPr>
        <w:ind w:left="1080" w:hanging="720"/>
      </w:pPr>
      <w:rPr>
        <w:rFonts w:hint="default"/>
        <w:color w:val="000000" w:themeColor="text1"/>
        <w:sz w:val="24"/>
      </w:rPr>
    </w:lvl>
    <w:lvl w:ilvl="4">
      <w:start w:val="1"/>
      <w:numFmt w:val="decimal"/>
      <w:isLgl/>
      <w:lvlText w:val="%1.%2.%3.%4.%5."/>
      <w:lvlJc w:val="left"/>
      <w:pPr>
        <w:ind w:left="1440" w:hanging="1080"/>
      </w:pPr>
      <w:rPr>
        <w:rFonts w:hint="default"/>
        <w:color w:val="000000" w:themeColor="text1"/>
        <w:sz w:val="24"/>
      </w:rPr>
    </w:lvl>
    <w:lvl w:ilvl="5">
      <w:start w:val="1"/>
      <w:numFmt w:val="decimal"/>
      <w:isLgl/>
      <w:lvlText w:val="%1.%2.%3.%4.%5.%6."/>
      <w:lvlJc w:val="left"/>
      <w:pPr>
        <w:ind w:left="1440" w:hanging="1080"/>
      </w:pPr>
      <w:rPr>
        <w:rFonts w:hint="default"/>
        <w:color w:val="000000" w:themeColor="text1"/>
        <w:sz w:val="24"/>
      </w:rPr>
    </w:lvl>
    <w:lvl w:ilvl="6">
      <w:start w:val="1"/>
      <w:numFmt w:val="decimal"/>
      <w:isLgl/>
      <w:lvlText w:val="%1.%2.%3.%4.%5.%6.%7."/>
      <w:lvlJc w:val="left"/>
      <w:pPr>
        <w:ind w:left="1800" w:hanging="1440"/>
      </w:pPr>
      <w:rPr>
        <w:rFonts w:hint="default"/>
        <w:color w:val="000000" w:themeColor="text1"/>
        <w:sz w:val="24"/>
      </w:rPr>
    </w:lvl>
    <w:lvl w:ilvl="7">
      <w:start w:val="1"/>
      <w:numFmt w:val="decimal"/>
      <w:isLgl/>
      <w:lvlText w:val="%1.%2.%3.%4.%5.%6.%7.%8."/>
      <w:lvlJc w:val="left"/>
      <w:pPr>
        <w:ind w:left="1800" w:hanging="1440"/>
      </w:pPr>
      <w:rPr>
        <w:rFonts w:hint="default"/>
        <w:color w:val="000000" w:themeColor="text1"/>
        <w:sz w:val="24"/>
      </w:rPr>
    </w:lvl>
    <w:lvl w:ilvl="8">
      <w:start w:val="1"/>
      <w:numFmt w:val="decimal"/>
      <w:isLgl/>
      <w:lvlText w:val="%1.%2.%3.%4.%5.%6.%7.%8.%9."/>
      <w:lvlJc w:val="left"/>
      <w:pPr>
        <w:ind w:left="2160" w:hanging="1800"/>
      </w:pPr>
      <w:rPr>
        <w:rFonts w:hint="default"/>
        <w:color w:val="000000" w:themeColor="text1"/>
        <w:sz w:val="24"/>
      </w:rPr>
    </w:lvl>
  </w:abstractNum>
  <w:abstractNum w:abstractNumId="13" w15:restartNumberingAfterBreak="0">
    <w:nsid w:val="32703F65"/>
    <w:multiLevelType w:val="hybridMultilevel"/>
    <w:tmpl w:val="0B4839F0"/>
    <w:lvl w:ilvl="0" w:tplc="1FBCEAC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DD0891"/>
    <w:multiLevelType w:val="multilevel"/>
    <w:tmpl w:val="01125B56"/>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3.2.1"/>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350249F6"/>
    <w:multiLevelType w:val="hybridMultilevel"/>
    <w:tmpl w:val="3C3E77A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4651D2"/>
    <w:multiLevelType w:val="hybridMultilevel"/>
    <w:tmpl w:val="6F8024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202879"/>
    <w:multiLevelType w:val="hybridMultilevel"/>
    <w:tmpl w:val="1DF6DC46"/>
    <w:lvl w:ilvl="0" w:tplc="F6F6CCEE">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336FF9"/>
    <w:multiLevelType w:val="hybridMultilevel"/>
    <w:tmpl w:val="4E988E1A"/>
    <w:lvl w:ilvl="0" w:tplc="0D6A0334">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CF52C2"/>
    <w:multiLevelType w:val="hybridMultilevel"/>
    <w:tmpl w:val="16F65CEA"/>
    <w:lvl w:ilvl="0" w:tplc="95C04DB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1838B0"/>
    <w:multiLevelType w:val="hybridMultilevel"/>
    <w:tmpl w:val="3946A346"/>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D311C"/>
    <w:multiLevelType w:val="hybridMultilevel"/>
    <w:tmpl w:val="A83807AA"/>
    <w:lvl w:ilvl="0" w:tplc="F686045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D96681"/>
    <w:multiLevelType w:val="hybridMultilevel"/>
    <w:tmpl w:val="08A86F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02462E"/>
    <w:multiLevelType w:val="hybridMultilevel"/>
    <w:tmpl w:val="22465C5E"/>
    <w:lvl w:ilvl="0" w:tplc="A4445B08">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672F3E1F"/>
    <w:multiLevelType w:val="multilevel"/>
    <w:tmpl w:val="8A9637D4"/>
    <w:lvl w:ilvl="0">
      <w:start w:val="1"/>
      <w:numFmt w:val="bullet"/>
      <w:lvlText w:val=""/>
      <w:lvlJc w:val="left"/>
      <w:pPr>
        <w:ind w:left="360" w:hanging="360"/>
      </w:pPr>
      <w:rPr>
        <w:rFonts w:ascii="Symbol" w:hAnsi="Symbol" w:hint="default"/>
      </w:rPr>
    </w:lvl>
    <w:lvl w:ilvl="1">
      <w:start w:val="2"/>
      <w:numFmt w:val="decimal"/>
      <w:lvlText w:val="%1.3"/>
      <w:lvlJc w:val="left"/>
      <w:pPr>
        <w:ind w:left="360" w:hanging="360"/>
      </w:pPr>
      <w:rPr>
        <w:rFonts w:cs="Times New Roman" w:hint="default"/>
      </w:rPr>
    </w:lvl>
    <w:lvl w:ilvl="2">
      <w:start w:val="1"/>
      <w:numFmt w:val="none"/>
      <w:lvlText w:val="1.3.1"/>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698E3086"/>
    <w:multiLevelType w:val="hybridMultilevel"/>
    <w:tmpl w:val="90E087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BE87854"/>
    <w:multiLevelType w:val="hybridMultilevel"/>
    <w:tmpl w:val="EB560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04AAA"/>
    <w:multiLevelType w:val="multilevel"/>
    <w:tmpl w:val="6978BEA2"/>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7"/>
  </w:num>
  <w:num w:numId="2">
    <w:abstractNumId w:val="14"/>
  </w:num>
  <w:num w:numId="3">
    <w:abstractNumId w:val="3"/>
  </w:num>
  <w:num w:numId="4">
    <w:abstractNumId w:val="11"/>
  </w:num>
  <w:num w:numId="5">
    <w:abstractNumId w:val="24"/>
  </w:num>
  <w:num w:numId="6">
    <w:abstractNumId w:val="21"/>
  </w:num>
  <w:num w:numId="7">
    <w:abstractNumId w:val="17"/>
  </w:num>
  <w:num w:numId="8">
    <w:abstractNumId w:val="19"/>
  </w:num>
  <w:num w:numId="9">
    <w:abstractNumId w:val="6"/>
  </w:num>
  <w:num w:numId="10">
    <w:abstractNumId w:val="13"/>
  </w:num>
  <w:num w:numId="11">
    <w:abstractNumId w:val="9"/>
  </w:num>
  <w:num w:numId="12">
    <w:abstractNumId w:val="22"/>
  </w:num>
  <w:num w:numId="13">
    <w:abstractNumId w:val="8"/>
  </w:num>
  <w:num w:numId="14">
    <w:abstractNumId w:val="25"/>
  </w:num>
  <w:num w:numId="15">
    <w:abstractNumId w:val="2"/>
  </w:num>
  <w:num w:numId="16">
    <w:abstractNumId w:val="1"/>
  </w:num>
  <w:num w:numId="17">
    <w:abstractNumId w:val="7"/>
  </w:num>
  <w:num w:numId="18">
    <w:abstractNumId w:val="16"/>
  </w:num>
  <w:num w:numId="19">
    <w:abstractNumId w:val="4"/>
  </w:num>
  <w:num w:numId="20">
    <w:abstractNumId w:val="15"/>
  </w:num>
  <w:num w:numId="21">
    <w:abstractNumId w:val="0"/>
  </w:num>
  <w:num w:numId="22">
    <w:abstractNumId w:val="23"/>
  </w:num>
  <w:num w:numId="23">
    <w:abstractNumId w:val="5"/>
  </w:num>
  <w:num w:numId="24">
    <w:abstractNumId w:val="20"/>
  </w:num>
  <w:num w:numId="25">
    <w:abstractNumId w:val="26"/>
  </w:num>
  <w:num w:numId="26">
    <w:abstractNumId w:val="12"/>
  </w:num>
  <w:num w:numId="27">
    <w:abstractNumId w:val="18"/>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06F"/>
    <w:rsid w:val="00001099"/>
    <w:rsid w:val="00003A99"/>
    <w:rsid w:val="00006003"/>
    <w:rsid w:val="00010E28"/>
    <w:rsid w:val="00011EC1"/>
    <w:rsid w:val="00012085"/>
    <w:rsid w:val="000160B4"/>
    <w:rsid w:val="00016DF8"/>
    <w:rsid w:val="00016E45"/>
    <w:rsid w:val="000215E7"/>
    <w:rsid w:val="00022AB7"/>
    <w:rsid w:val="00024686"/>
    <w:rsid w:val="0002474F"/>
    <w:rsid w:val="00030E91"/>
    <w:rsid w:val="000329DC"/>
    <w:rsid w:val="00035CFC"/>
    <w:rsid w:val="0004194A"/>
    <w:rsid w:val="00041FA4"/>
    <w:rsid w:val="00045025"/>
    <w:rsid w:val="000466BC"/>
    <w:rsid w:val="00046FC2"/>
    <w:rsid w:val="0005056B"/>
    <w:rsid w:val="0005065D"/>
    <w:rsid w:val="00051AC1"/>
    <w:rsid w:val="000555E3"/>
    <w:rsid w:val="000605DE"/>
    <w:rsid w:val="00062748"/>
    <w:rsid w:val="00063630"/>
    <w:rsid w:val="00066116"/>
    <w:rsid w:val="00067707"/>
    <w:rsid w:val="00067F6F"/>
    <w:rsid w:val="000708FD"/>
    <w:rsid w:val="00072AED"/>
    <w:rsid w:val="0008589C"/>
    <w:rsid w:val="00085E7C"/>
    <w:rsid w:val="00086143"/>
    <w:rsid w:val="00086956"/>
    <w:rsid w:val="00093782"/>
    <w:rsid w:val="000961E4"/>
    <w:rsid w:val="000D01F2"/>
    <w:rsid w:val="000D6D03"/>
    <w:rsid w:val="000E0E41"/>
    <w:rsid w:val="000E357E"/>
    <w:rsid w:val="000E60CB"/>
    <w:rsid w:val="000E613F"/>
    <w:rsid w:val="000E7336"/>
    <w:rsid w:val="000E76AD"/>
    <w:rsid w:val="000F0AA5"/>
    <w:rsid w:val="000F22E6"/>
    <w:rsid w:val="000F361C"/>
    <w:rsid w:val="000F6363"/>
    <w:rsid w:val="000F752E"/>
    <w:rsid w:val="0010003B"/>
    <w:rsid w:val="00101FD2"/>
    <w:rsid w:val="0010356B"/>
    <w:rsid w:val="0010585A"/>
    <w:rsid w:val="0011271B"/>
    <w:rsid w:val="001159DD"/>
    <w:rsid w:val="00117028"/>
    <w:rsid w:val="00117A91"/>
    <w:rsid w:val="00124211"/>
    <w:rsid w:val="001251BF"/>
    <w:rsid w:val="0013072C"/>
    <w:rsid w:val="0013320B"/>
    <w:rsid w:val="0013453D"/>
    <w:rsid w:val="0013477E"/>
    <w:rsid w:val="00141497"/>
    <w:rsid w:val="00143BFF"/>
    <w:rsid w:val="00143F97"/>
    <w:rsid w:val="0015555B"/>
    <w:rsid w:val="00155864"/>
    <w:rsid w:val="0015769C"/>
    <w:rsid w:val="00161F76"/>
    <w:rsid w:val="00166A6E"/>
    <w:rsid w:val="00167BF7"/>
    <w:rsid w:val="00172711"/>
    <w:rsid w:val="00172954"/>
    <w:rsid w:val="00172AF3"/>
    <w:rsid w:val="00173E42"/>
    <w:rsid w:val="00174307"/>
    <w:rsid w:val="001748C0"/>
    <w:rsid w:val="00175D93"/>
    <w:rsid w:val="00176C24"/>
    <w:rsid w:val="00177C5E"/>
    <w:rsid w:val="0018175B"/>
    <w:rsid w:val="00182125"/>
    <w:rsid w:val="0018324B"/>
    <w:rsid w:val="00183746"/>
    <w:rsid w:val="00183B27"/>
    <w:rsid w:val="001846C2"/>
    <w:rsid w:val="00186442"/>
    <w:rsid w:val="00190176"/>
    <w:rsid w:val="001911D8"/>
    <w:rsid w:val="0019173F"/>
    <w:rsid w:val="00191CCC"/>
    <w:rsid w:val="00194957"/>
    <w:rsid w:val="00197E24"/>
    <w:rsid w:val="001A0ACC"/>
    <w:rsid w:val="001A3BD5"/>
    <w:rsid w:val="001A4914"/>
    <w:rsid w:val="001B013D"/>
    <w:rsid w:val="001B278E"/>
    <w:rsid w:val="001B3930"/>
    <w:rsid w:val="001B3D92"/>
    <w:rsid w:val="001B410B"/>
    <w:rsid w:val="001B5C94"/>
    <w:rsid w:val="001C0C07"/>
    <w:rsid w:val="001C2394"/>
    <w:rsid w:val="001C2F36"/>
    <w:rsid w:val="001C430D"/>
    <w:rsid w:val="001C540A"/>
    <w:rsid w:val="001C68FC"/>
    <w:rsid w:val="001C6B41"/>
    <w:rsid w:val="001D106D"/>
    <w:rsid w:val="001D2977"/>
    <w:rsid w:val="001D3E75"/>
    <w:rsid w:val="001D7EF6"/>
    <w:rsid w:val="001E2B73"/>
    <w:rsid w:val="001E3418"/>
    <w:rsid w:val="001E70AC"/>
    <w:rsid w:val="001F014D"/>
    <w:rsid w:val="001F225D"/>
    <w:rsid w:val="001F2D74"/>
    <w:rsid w:val="001F3447"/>
    <w:rsid w:val="001F43D9"/>
    <w:rsid w:val="001F7665"/>
    <w:rsid w:val="00202DC6"/>
    <w:rsid w:val="00212771"/>
    <w:rsid w:val="00215711"/>
    <w:rsid w:val="002225EC"/>
    <w:rsid w:val="00223051"/>
    <w:rsid w:val="002235D5"/>
    <w:rsid w:val="00224BC1"/>
    <w:rsid w:val="0022565B"/>
    <w:rsid w:val="002311E8"/>
    <w:rsid w:val="00232F16"/>
    <w:rsid w:val="00233EAC"/>
    <w:rsid w:val="00234766"/>
    <w:rsid w:val="002420DC"/>
    <w:rsid w:val="0024598E"/>
    <w:rsid w:val="00246554"/>
    <w:rsid w:val="00246942"/>
    <w:rsid w:val="00247481"/>
    <w:rsid w:val="00251101"/>
    <w:rsid w:val="00253104"/>
    <w:rsid w:val="00261563"/>
    <w:rsid w:val="002665D1"/>
    <w:rsid w:val="002671C1"/>
    <w:rsid w:val="00267497"/>
    <w:rsid w:val="00271E31"/>
    <w:rsid w:val="00273523"/>
    <w:rsid w:val="0027537B"/>
    <w:rsid w:val="00275779"/>
    <w:rsid w:val="00275F4F"/>
    <w:rsid w:val="00276C72"/>
    <w:rsid w:val="00277B2A"/>
    <w:rsid w:val="00282534"/>
    <w:rsid w:val="00282E39"/>
    <w:rsid w:val="00285AD5"/>
    <w:rsid w:val="002942D6"/>
    <w:rsid w:val="002A07F4"/>
    <w:rsid w:val="002A565B"/>
    <w:rsid w:val="002B01CE"/>
    <w:rsid w:val="002B2AA2"/>
    <w:rsid w:val="002B5072"/>
    <w:rsid w:val="002C0DDD"/>
    <w:rsid w:val="002C134C"/>
    <w:rsid w:val="002C3A4F"/>
    <w:rsid w:val="002D1598"/>
    <w:rsid w:val="002D2ADD"/>
    <w:rsid w:val="002D5041"/>
    <w:rsid w:val="002E00B6"/>
    <w:rsid w:val="002E1086"/>
    <w:rsid w:val="002E17B6"/>
    <w:rsid w:val="002E3421"/>
    <w:rsid w:val="002E45C3"/>
    <w:rsid w:val="002F138F"/>
    <w:rsid w:val="002F3000"/>
    <w:rsid w:val="002F6576"/>
    <w:rsid w:val="002F7565"/>
    <w:rsid w:val="00300BE8"/>
    <w:rsid w:val="0030192E"/>
    <w:rsid w:val="00302A00"/>
    <w:rsid w:val="00305B81"/>
    <w:rsid w:val="00305E8B"/>
    <w:rsid w:val="003060E1"/>
    <w:rsid w:val="00306EEC"/>
    <w:rsid w:val="00310AFE"/>
    <w:rsid w:val="00311406"/>
    <w:rsid w:val="00317172"/>
    <w:rsid w:val="00323A79"/>
    <w:rsid w:val="00332C74"/>
    <w:rsid w:val="00333227"/>
    <w:rsid w:val="0033359D"/>
    <w:rsid w:val="00334597"/>
    <w:rsid w:val="003354C3"/>
    <w:rsid w:val="0033630E"/>
    <w:rsid w:val="003402BE"/>
    <w:rsid w:val="00340C54"/>
    <w:rsid w:val="0034666B"/>
    <w:rsid w:val="003501A8"/>
    <w:rsid w:val="003525FF"/>
    <w:rsid w:val="0035769F"/>
    <w:rsid w:val="0036036D"/>
    <w:rsid w:val="003606DD"/>
    <w:rsid w:val="00360A23"/>
    <w:rsid w:val="003620B2"/>
    <w:rsid w:val="003717C7"/>
    <w:rsid w:val="00371A23"/>
    <w:rsid w:val="00376002"/>
    <w:rsid w:val="00377DBA"/>
    <w:rsid w:val="0038289E"/>
    <w:rsid w:val="003829C2"/>
    <w:rsid w:val="003842BD"/>
    <w:rsid w:val="003843E0"/>
    <w:rsid w:val="0038664D"/>
    <w:rsid w:val="0039124C"/>
    <w:rsid w:val="00397CEF"/>
    <w:rsid w:val="00397F80"/>
    <w:rsid w:val="003A0F52"/>
    <w:rsid w:val="003A17D0"/>
    <w:rsid w:val="003A5416"/>
    <w:rsid w:val="003A65D8"/>
    <w:rsid w:val="003B1B62"/>
    <w:rsid w:val="003B3C3F"/>
    <w:rsid w:val="003B6C7C"/>
    <w:rsid w:val="003C2E9E"/>
    <w:rsid w:val="003C3B16"/>
    <w:rsid w:val="003D23EA"/>
    <w:rsid w:val="003D4D64"/>
    <w:rsid w:val="003D695D"/>
    <w:rsid w:val="003D6F49"/>
    <w:rsid w:val="003E2333"/>
    <w:rsid w:val="003E297F"/>
    <w:rsid w:val="003F1852"/>
    <w:rsid w:val="003F2594"/>
    <w:rsid w:val="003F44E2"/>
    <w:rsid w:val="003F4817"/>
    <w:rsid w:val="003F6085"/>
    <w:rsid w:val="003F60F1"/>
    <w:rsid w:val="00400CEA"/>
    <w:rsid w:val="004050C5"/>
    <w:rsid w:val="004054EA"/>
    <w:rsid w:val="00410E8C"/>
    <w:rsid w:val="00411CD2"/>
    <w:rsid w:val="00412569"/>
    <w:rsid w:val="0041354A"/>
    <w:rsid w:val="0041573B"/>
    <w:rsid w:val="00421116"/>
    <w:rsid w:val="0042267D"/>
    <w:rsid w:val="00424146"/>
    <w:rsid w:val="00425E97"/>
    <w:rsid w:val="004302AB"/>
    <w:rsid w:val="00430426"/>
    <w:rsid w:val="00433552"/>
    <w:rsid w:val="00437853"/>
    <w:rsid w:val="00440678"/>
    <w:rsid w:val="00443D67"/>
    <w:rsid w:val="00444EC9"/>
    <w:rsid w:val="00445493"/>
    <w:rsid w:val="00446609"/>
    <w:rsid w:val="00447719"/>
    <w:rsid w:val="0045523F"/>
    <w:rsid w:val="00455520"/>
    <w:rsid w:val="0045654F"/>
    <w:rsid w:val="0046234D"/>
    <w:rsid w:val="00465735"/>
    <w:rsid w:val="00466793"/>
    <w:rsid w:val="004669D8"/>
    <w:rsid w:val="00466BB2"/>
    <w:rsid w:val="00466E4F"/>
    <w:rsid w:val="00467BDA"/>
    <w:rsid w:val="00467F7E"/>
    <w:rsid w:val="004723C8"/>
    <w:rsid w:val="00474C4B"/>
    <w:rsid w:val="00480231"/>
    <w:rsid w:val="004810CB"/>
    <w:rsid w:val="004822E5"/>
    <w:rsid w:val="004871BA"/>
    <w:rsid w:val="00487682"/>
    <w:rsid w:val="00490C79"/>
    <w:rsid w:val="00492590"/>
    <w:rsid w:val="00493A77"/>
    <w:rsid w:val="004945C0"/>
    <w:rsid w:val="004950DB"/>
    <w:rsid w:val="00496CB6"/>
    <w:rsid w:val="0049769D"/>
    <w:rsid w:val="00497D1C"/>
    <w:rsid w:val="004A143F"/>
    <w:rsid w:val="004A1BD8"/>
    <w:rsid w:val="004A1D7C"/>
    <w:rsid w:val="004A2234"/>
    <w:rsid w:val="004A448E"/>
    <w:rsid w:val="004B07DF"/>
    <w:rsid w:val="004B084B"/>
    <w:rsid w:val="004B13F3"/>
    <w:rsid w:val="004B48DB"/>
    <w:rsid w:val="004B5521"/>
    <w:rsid w:val="004B62CF"/>
    <w:rsid w:val="004B75F3"/>
    <w:rsid w:val="004B7C09"/>
    <w:rsid w:val="004C0AB8"/>
    <w:rsid w:val="004C28E6"/>
    <w:rsid w:val="004C5A3D"/>
    <w:rsid w:val="004C7A3F"/>
    <w:rsid w:val="004D3C3A"/>
    <w:rsid w:val="004D498C"/>
    <w:rsid w:val="004D4E47"/>
    <w:rsid w:val="004D58FE"/>
    <w:rsid w:val="004D6934"/>
    <w:rsid w:val="004D6AEF"/>
    <w:rsid w:val="004D7006"/>
    <w:rsid w:val="004E2E69"/>
    <w:rsid w:val="004F09C9"/>
    <w:rsid w:val="004F76BB"/>
    <w:rsid w:val="004F7D4E"/>
    <w:rsid w:val="004F7EB9"/>
    <w:rsid w:val="00502215"/>
    <w:rsid w:val="0050246D"/>
    <w:rsid w:val="0051039B"/>
    <w:rsid w:val="00512E41"/>
    <w:rsid w:val="005131DC"/>
    <w:rsid w:val="005141AC"/>
    <w:rsid w:val="00517A9E"/>
    <w:rsid w:val="00520E58"/>
    <w:rsid w:val="00521450"/>
    <w:rsid w:val="005226BD"/>
    <w:rsid w:val="00532BD9"/>
    <w:rsid w:val="00533581"/>
    <w:rsid w:val="005339D3"/>
    <w:rsid w:val="00534BAF"/>
    <w:rsid w:val="005351E8"/>
    <w:rsid w:val="0054455F"/>
    <w:rsid w:val="00552A77"/>
    <w:rsid w:val="00552AA0"/>
    <w:rsid w:val="00552CA0"/>
    <w:rsid w:val="00552CC6"/>
    <w:rsid w:val="00554B81"/>
    <w:rsid w:val="0055602C"/>
    <w:rsid w:val="0055623F"/>
    <w:rsid w:val="005619F1"/>
    <w:rsid w:val="005631F2"/>
    <w:rsid w:val="0056345C"/>
    <w:rsid w:val="005641A8"/>
    <w:rsid w:val="00565B9A"/>
    <w:rsid w:val="005679C3"/>
    <w:rsid w:val="0057012C"/>
    <w:rsid w:val="00575DA7"/>
    <w:rsid w:val="00576A9E"/>
    <w:rsid w:val="0057729A"/>
    <w:rsid w:val="00577721"/>
    <w:rsid w:val="00577FFD"/>
    <w:rsid w:val="00581A39"/>
    <w:rsid w:val="00583DAE"/>
    <w:rsid w:val="00584709"/>
    <w:rsid w:val="00584E0A"/>
    <w:rsid w:val="005863E6"/>
    <w:rsid w:val="00587445"/>
    <w:rsid w:val="00590D57"/>
    <w:rsid w:val="00590E90"/>
    <w:rsid w:val="005B0A89"/>
    <w:rsid w:val="005B1327"/>
    <w:rsid w:val="005B3618"/>
    <w:rsid w:val="005B3895"/>
    <w:rsid w:val="005B3CB5"/>
    <w:rsid w:val="005B636F"/>
    <w:rsid w:val="005B7B2D"/>
    <w:rsid w:val="005C524C"/>
    <w:rsid w:val="005C6447"/>
    <w:rsid w:val="005C6D06"/>
    <w:rsid w:val="005C6E71"/>
    <w:rsid w:val="005D05BE"/>
    <w:rsid w:val="005D1708"/>
    <w:rsid w:val="005D3095"/>
    <w:rsid w:val="005D581C"/>
    <w:rsid w:val="005E0552"/>
    <w:rsid w:val="005E1233"/>
    <w:rsid w:val="005E52CF"/>
    <w:rsid w:val="005E7177"/>
    <w:rsid w:val="005F1BC8"/>
    <w:rsid w:val="005F3842"/>
    <w:rsid w:val="005F6A5D"/>
    <w:rsid w:val="005F7473"/>
    <w:rsid w:val="00607CF7"/>
    <w:rsid w:val="00610007"/>
    <w:rsid w:val="00612646"/>
    <w:rsid w:val="0061749B"/>
    <w:rsid w:val="00620C94"/>
    <w:rsid w:val="00620F3F"/>
    <w:rsid w:val="0062114B"/>
    <w:rsid w:val="00623F71"/>
    <w:rsid w:val="006244F2"/>
    <w:rsid w:val="00626F27"/>
    <w:rsid w:val="00630882"/>
    <w:rsid w:val="00630E95"/>
    <w:rsid w:val="00633431"/>
    <w:rsid w:val="006348C8"/>
    <w:rsid w:val="00636735"/>
    <w:rsid w:val="00636C5F"/>
    <w:rsid w:val="00641D49"/>
    <w:rsid w:val="00642B80"/>
    <w:rsid w:val="0064623D"/>
    <w:rsid w:val="00647468"/>
    <w:rsid w:val="00647FFA"/>
    <w:rsid w:val="00651D19"/>
    <w:rsid w:val="0065264C"/>
    <w:rsid w:val="00652C95"/>
    <w:rsid w:val="00652E62"/>
    <w:rsid w:val="00657362"/>
    <w:rsid w:val="00662660"/>
    <w:rsid w:val="00663922"/>
    <w:rsid w:val="00663D6E"/>
    <w:rsid w:val="00671583"/>
    <w:rsid w:val="006734F4"/>
    <w:rsid w:val="006762D6"/>
    <w:rsid w:val="00680BF9"/>
    <w:rsid w:val="006845CD"/>
    <w:rsid w:val="0068482D"/>
    <w:rsid w:val="00684C57"/>
    <w:rsid w:val="00685E2F"/>
    <w:rsid w:val="006903DD"/>
    <w:rsid w:val="00690556"/>
    <w:rsid w:val="00690A9D"/>
    <w:rsid w:val="0069320E"/>
    <w:rsid w:val="00693B1F"/>
    <w:rsid w:val="006949CA"/>
    <w:rsid w:val="006A01B8"/>
    <w:rsid w:val="006A21D7"/>
    <w:rsid w:val="006A3498"/>
    <w:rsid w:val="006A7CC6"/>
    <w:rsid w:val="006B1E7B"/>
    <w:rsid w:val="006B2589"/>
    <w:rsid w:val="006B5FDB"/>
    <w:rsid w:val="006B6539"/>
    <w:rsid w:val="006B6765"/>
    <w:rsid w:val="006D1F63"/>
    <w:rsid w:val="006D2250"/>
    <w:rsid w:val="006D29C4"/>
    <w:rsid w:val="006D46CF"/>
    <w:rsid w:val="006E6394"/>
    <w:rsid w:val="006F5559"/>
    <w:rsid w:val="006F6933"/>
    <w:rsid w:val="006F7565"/>
    <w:rsid w:val="0070069B"/>
    <w:rsid w:val="007017FF"/>
    <w:rsid w:val="00701D81"/>
    <w:rsid w:val="007022EB"/>
    <w:rsid w:val="00703A48"/>
    <w:rsid w:val="00704D3F"/>
    <w:rsid w:val="00706970"/>
    <w:rsid w:val="00711EA0"/>
    <w:rsid w:val="0071401F"/>
    <w:rsid w:val="0071461C"/>
    <w:rsid w:val="00715205"/>
    <w:rsid w:val="00715776"/>
    <w:rsid w:val="0071700A"/>
    <w:rsid w:val="00721376"/>
    <w:rsid w:val="0072382E"/>
    <w:rsid w:val="00725D0D"/>
    <w:rsid w:val="00726A56"/>
    <w:rsid w:val="00727F06"/>
    <w:rsid w:val="00733991"/>
    <w:rsid w:val="0073492B"/>
    <w:rsid w:val="0073574A"/>
    <w:rsid w:val="00736F76"/>
    <w:rsid w:val="00737ABD"/>
    <w:rsid w:val="007410C3"/>
    <w:rsid w:val="00744225"/>
    <w:rsid w:val="00746792"/>
    <w:rsid w:val="00746AB0"/>
    <w:rsid w:val="00750479"/>
    <w:rsid w:val="00752D5F"/>
    <w:rsid w:val="007552DC"/>
    <w:rsid w:val="00761F3C"/>
    <w:rsid w:val="00763278"/>
    <w:rsid w:val="00763DCD"/>
    <w:rsid w:val="00764A54"/>
    <w:rsid w:val="00766A95"/>
    <w:rsid w:val="00767133"/>
    <w:rsid w:val="0077233E"/>
    <w:rsid w:val="00773C3D"/>
    <w:rsid w:val="0077570B"/>
    <w:rsid w:val="007770B3"/>
    <w:rsid w:val="00777FE7"/>
    <w:rsid w:val="00786CE3"/>
    <w:rsid w:val="00790C6D"/>
    <w:rsid w:val="0079134E"/>
    <w:rsid w:val="00792444"/>
    <w:rsid w:val="00796CC6"/>
    <w:rsid w:val="007A126D"/>
    <w:rsid w:val="007A21F0"/>
    <w:rsid w:val="007A269B"/>
    <w:rsid w:val="007A555A"/>
    <w:rsid w:val="007A55F4"/>
    <w:rsid w:val="007A68DD"/>
    <w:rsid w:val="007B0889"/>
    <w:rsid w:val="007B097E"/>
    <w:rsid w:val="007B278A"/>
    <w:rsid w:val="007B3C67"/>
    <w:rsid w:val="007B6238"/>
    <w:rsid w:val="007B72B9"/>
    <w:rsid w:val="007B79F4"/>
    <w:rsid w:val="007B7DBA"/>
    <w:rsid w:val="007C3F88"/>
    <w:rsid w:val="007C729E"/>
    <w:rsid w:val="007D3FC0"/>
    <w:rsid w:val="007D5EBF"/>
    <w:rsid w:val="007E09FA"/>
    <w:rsid w:val="007E113C"/>
    <w:rsid w:val="007F071F"/>
    <w:rsid w:val="007F3AC8"/>
    <w:rsid w:val="007F4DB7"/>
    <w:rsid w:val="007F6A22"/>
    <w:rsid w:val="007F6C13"/>
    <w:rsid w:val="0080747A"/>
    <w:rsid w:val="008168DF"/>
    <w:rsid w:val="008172AE"/>
    <w:rsid w:val="0082279C"/>
    <w:rsid w:val="00831344"/>
    <w:rsid w:val="00834AF4"/>
    <w:rsid w:val="008354D4"/>
    <w:rsid w:val="00837C18"/>
    <w:rsid w:val="00840B91"/>
    <w:rsid w:val="00844B19"/>
    <w:rsid w:val="00847909"/>
    <w:rsid w:val="00851DFF"/>
    <w:rsid w:val="008521BE"/>
    <w:rsid w:val="00852FA6"/>
    <w:rsid w:val="00853353"/>
    <w:rsid w:val="00856966"/>
    <w:rsid w:val="00862C0F"/>
    <w:rsid w:val="00863993"/>
    <w:rsid w:val="00864F3E"/>
    <w:rsid w:val="00867438"/>
    <w:rsid w:val="00873FBF"/>
    <w:rsid w:val="00876682"/>
    <w:rsid w:val="00876988"/>
    <w:rsid w:val="008811D4"/>
    <w:rsid w:val="00881787"/>
    <w:rsid w:val="00881DDB"/>
    <w:rsid w:val="00884DD0"/>
    <w:rsid w:val="008904F9"/>
    <w:rsid w:val="008961C9"/>
    <w:rsid w:val="00897A22"/>
    <w:rsid w:val="008A0139"/>
    <w:rsid w:val="008A265A"/>
    <w:rsid w:val="008A47EA"/>
    <w:rsid w:val="008A4FB1"/>
    <w:rsid w:val="008A6EE5"/>
    <w:rsid w:val="008A7991"/>
    <w:rsid w:val="008B18D7"/>
    <w:rsid w:val="008B30F8"/>
    <w:rsid w:val="008B3D4B"/>
    <w:rsid w:val="008C03FD"/>
    <w:rsid w:val="008C1631"/>
    <w:rsid w:val="008C3075"/>
    <w:rsid w:val="008C6AE3"/>
    <w:rsid w:val="008C6EFF"/>
    <w:rsid w:val="008C7EDE"/>
    <w:rsid w:val="008D35EE"/>
    <w:rsid w:val="008D5EC1"/>
    <w:rsid w:val="008D70F1"/>
    <w:rsid w:val="008E3776"/>
    <w:rsid w:val="008E6B57"/>
    <w:rsid w:val="008E6F60"/>
    <w:rsid w:val="008E6FA1"/>
    <w:rsid w:val="008F1A8E"/>
    <w:rsid w:val="008F4B20"/>
    <w:rsid w:val="008F72AD"/>
    <w:rsid w:val="00903122"/>
    <w:rsid w:val="00905BC8"/>
    <w:rsid w:val="00911894"/>
    <w:rsid w:val="00912FBC"/>
    <w:rsid w:val="00914A45"/>
    <w:rsid w:val="00915342"/>
    <w:rsid w:val="00917D71"/>
    <w:rsid w:val="00921B15"/>
    <w:rsid w:val="00921DEA"/>
    <w:rsid w:val="00923A18"/>
    <w:rsid w:val="00923E7B"/>
    <w:rsid w:val="00924664"/>
    <w:rsid w:val="00931D4B"/>
    <w:rsid w:val="00936355"/>
    <w:rsid w:val="009415B0"/>
    <w:rsid w:val="00941767"/>
    <w:rsid w:val="00942DC5"/>
    <w:rsid w:val="00943A9C"/>
    <w:rsid w:val="00944CC1"/>
    <w:rsid w:val="00944FB0"/>
    <w:rsid w:val="00946B5E"/>
    <w:rsid w:val="00951A57"/>
    <w:rsid w:val="0095267D"/>
    <w:rsid w:val="0095630B"/>
    <w:rsid w:val="00962980"/>
    <w:rsid w:val="00962CB4"/>
    <w:rsid w:val="00963D95"/>
    <w:rsid w:val="0096609D"/>
    <w:rsid w:val="00970214"/>
    <w:rsid w:val="009708DF"/>
    <w:rsid w:val="00972BE5"/>
    <w:rsid w:val="00973BBD"/>
    <w:rsid w:val="00977497"/>
    <w:rsid w:val="00981F13"/>
    <w:rsid w:val="0098329D"/>
    <w:rsid w:val="00985256"/>
    <w:rsid w:val="00985F78"/>
    <w:rsid w:val="00995759"/>
    <w:rsid w:val="00995E3C"/>
    <w:rsid w:val="00997039"/>
    <w:rsid w:val="00997EF5"/>
    <w:rsid w:val="009A0010"/>
    <w:rsid w:val="009A0700"/>
    <w:rsid w:val="009A1582"/>
    <w:rsid w:val="009A20BE"/>
    <w:rsid w:val="009A21C9"/>
    <w:rsid w:val="009A3B52"/>
    <w:rsid w:val="009B013A"/>
    <w:rsid w:val="009B1C34"/>
    <w:rsid w:val="009B5FCE"/>
    <w:rsid w:val="009C14A0"/>
    <w:rsid w:val="009C1CE1"/>
    <w:rsid w:val="009C41F7"/>
    <w:rsid w:val="009C4636"/>
    <w:rsid w:val="009C6944"/>
    <w:rsid w:val="009D037F"/>
    <w:rsid w:val="009D3276"/>
    <w:rsid w:val="009D6B94"/>
    <w:rsid w:val="009D760B"/>
    <w:rsid w:val="009E1A9C"/>
    <w:rsid w:val="009E40EB"/>
    <w:rsid w:val="009E47BD"/>
    <w:rsid w:val="009E73FC"/>
    <w:rsid w:val="009F01CF"/>
    <w:rsid w:val="009F4B1D"/>
    <w:rsid w:val="00A001A9"/>
    <w:rsid w:val="00A00F50"/>
    <w:rsid w:val="00A0346E"/>
    <w:rsid w:val="00A0438E"/>
    <w:rsid w:val="00A0757B"/>
    <w:rsid w:val="00A07E17"/>
    <w:rsid w:val="00A07F57"/>
    <w:rsid w:val="00A07FF7"/>
    <w:rsid w:val="00A1148A"/>
    <w:rsid w:val="00A116D5"/>
    <w:rsid w:val="00A13369"/>
    <w:rsid w:val="00A136DE"/>
    <w:rsid w:val="00A14D6D"/>
    <w:rsid w:val="00A23D7D"/>
    <w:rsid w:val="00A27A51"/>
    <w:rsid w:val="00A315DC"/>
    <w:rsid w:val="00A31C65"/>
    <w:rsid w:val="00A342E0"/>
    <w:rsid w:val="00A3471D"/>
    <w:rsid w:val="00A37907"/>
    <w:rsid w:val="00A4288C"/>
    <w:rsid w:val="00A47771"/>
    <w:rsid w:val="00A50C99"/>
    <w:rsid w:val="00A51568"/>
    <w:rsid w:val="00A54B6D"/>
    <w:rsid w:val="00A54F0B"/>
    <w:rsid w:val="00A55171"/>
    <w:rsid w:val="00A564B4"/>
    <w:rsid w:val="00A56727"/>
    <w:rsid w:val="00A64210"/>
    <w:rsid w:val="00A64F03"/>
    <w:rsid w:val="00A67201"/>
    <w:rsid w:val="00A7148C"/>
    <w:rsid w:val="00A72326"/>
    <w:rsid w:val="00A72BAD"/>
    <w:rsid w:val="00A74B36"/>
    <w:rsid w:val="00A75B43"/>
    <w:rsid w:val="00A77B9F"/>
    <w:rsid w:val="00A805DA"/>
    <w:rsid w:val="00A81410"/>
    <w:rsid w:val="00A82D91"/>
    <w:rsid w:val="00A87621"/>
    <w:rsid w:val="00A8785D"/>
    <w:rsid w:val="00A9010C"/>
    <w:rsid w:val="00A94E08"/>
    <w:rsid w:val="00A95EF6"/>
    <w:rsid w:val="00A95FAA"/>
    <w:rsid w:val="00AA2CED"/>
    <w:rsid w:val="00AA32AD"/>
    <w:rsid w:val="00AB0C73"/>
    <w:rsid w:val="00AB1FC3"/>
    <w:rsid w:val="00AB3A63"/>
    <w:rsid w:val="00AB3B80"/>
    <w:rsid w:val="00AB6F6A"/>
    <w:rsid w:val="00AB7332"/>
    <w:rsid w:val="00AC022E"/>
    <w:rsid w:val="00AC1A7D"/>
    <w:rsid w:val="00AC1EDD"/>
    <w:rsid w:val="00AC6582"/>
    <w:rsid w:val="00AD2270"/>
    <w:rsid w:val="00AD2488"/>
    <w:rsid w:val="00AD4036"/>
    <w:rsid w:val="00AD4EAC"/>
    <w:rsid w:val="00AE13B9"/>
    <w:rsid w:val="00AE1692"/>
    <w:rsid w:val="00AE7AEF"/>
    <w:rsid w:val="00AF4A63"/>
    <w:rsid w:val="00AF4AB8"/>
    <w:rsid w:val="00AF528B"/>
    <w:rsid w:val="00AF7B25"/>
    <w:rsid w:val="00B02C2F"/>
    <w:rsid w:val="00B047A4"/>
    <w:rsid w:val="00B05655"/>
    <w:rsid w:val="00B12083"/>
    <w:rsid w:val="00B12D28"/>
    <w:rsid w:val="00B15705"/>
    <w:rsid w:val="00B16D10"/>
    <w:rsid w:val="00B21387"/>
    <w:rsid w:val="00B27749"/>
    <w:rsid w:val="00B309D5"/>
    <w:rsid w:val="00B41133"/>
    <w:rsid w:val="00B461C9"/>
    <w:rsid w:val="00B474BA"/>
    <w:rsid w:val="00B551E5"/>
    <w:rsid w:val="00B60449"/>
    <w:rsid w:val="00B62511"/>
    <w:rsid w:val="00B65E48"/>
    <w:rsid w:val="00B6621D"/>
    <w:rsid w:val="00B7158E"/>
    <w:rsid w:val="00B72606"/>
    <w:rsid w:val="00B7344C"/>
    <w:rsid w:val="00B80425"/>
    <w:rsid w:val="00B81F27"/>
    <w:rsid w:val="00B8262D"/>
    <w:rsid w:val="00B832E9"/>
    <w:rsid w:val="00B83FDC"/>
    <w:rsid w:val="00B85D05"/>
    <w:rsid w:val="00B87455"/>
    <w:rsid w:val="00B95277"/>
    <w:rsid w:val="00BA54B1"/>
    <w:rsid w:val="00BA59F7"/>
    <w:rsid w:val="00BA68AD"/>
    <w:rsid w:val="00BA6DB5"/>
    <w:rsid w:val="00BB1348"/>
    <w:rsid w:val="00BB1F87"/>
    <w:rsid w:val="00BB40C5"/>
    <w:rsid w:val="00BB431B"/>
    <w:rsid w:val="00BB4C4B"/>
    <w:rsid w:val="00BB7AF2"/>
    <w:rsid w:val="00BC0109"/>
    <w:rsid w:val="00BC08C9"/>
    <w:rsid w:val="00BC0E17"/>
    <w:rsid w:val="00BC0F14"/>
    <w:rsid w:val="00BD04D4"/>
    <w:rsid w:val="00BD0A23"/>
    <w:rsid w:val="00BD118C"/>
    <w:rsid w:val="00BD13A0"/>
    <w:rsid w:val="00BD385F"/>
    <w:rsid w:val="00BD468D"/>
    <w:rsid w:val="00BD4FC6"/>
    <w:rsid w:val="00BD6C49"/>
    <w:rsid w:val="00BE10F2"/>
    <w:rsid w:val="00BE1837"/>
    <w:rsid w:val="00BE1877"/>
    <w:rsid w:val="00BE3366"/>
    <w:rsid w:val="00BE48E0"/>
    <w:rsid w:val="00BE4B2F"/>
    <w:rsid w:val="00BE6FB6"/>
    <w:rsid w:val="00BF49C5"/>
    <w:rsid w:val="00BF797D"/>
    <w:rsid w:val="00C00389"/>
    <w:rsid w:val="00C01595"/>
    <w:rsid w:val="00C01AE3"/>
    <w:rsid w:val="00C026C5"/>
    <w:rsid w:val="00C05C70"/>
    <w:rsid w:val="00C151D7"/>
    <w:rsid w:val="00C15EF5"/>
    <w:rsid w:val="00C1781D"/>
    <w:rsid w:val="00C202C1"/>
    <w:rsid w:val="00C20592"/>
    <w:rsid w:val="00C23EDF"/>
    <w:rsid w:val="00C27AC6"/>
    <w:rsid w:val="00C300F8"/>
    <w:rsid w:val="00C33F82"/>
    <w:rsid w:val="00C3449C"/>
    <w:rsid w:val="00C34BEA"/>
    <w:rsid w:val="00C41A14"/>
    <w:rsid w:val="00C41EF7"/>
    <w:rsid w:val="00C42126"/>
    <w:rsid w:val="00C42A71"/>
    <w:rsid w:val="00C43E19"/>
    <w:rsid w:val="00C46592"/>
    <w:rsid w:val="00C47F05"/>
    <w:rsid w:val="00C5294B"/>
    <w:rsid w:val="00C530CA"/>
    <w:rsid w:val="00C606BE"/>
    <w:rsid w:val="00C6083E"/>
    <w:rsid w:val="00C6359E"/>
    <w:rsid w:val="00C63CCE"/>
    <w:rsid w:val="00C63DFD"/>
    <w:rsid w:val="00C64866"/>
    <w:rsid w:val="00C70EF3"/>
    <w:rsid w:val="00C72316"/>
    <w:rsid w:val="00C72E0F"/>
    <w:rsid w:val="00C808BD"/>
    <w:rsid w:val="00C85ADA"/>
    <w:rsid w:val="00C862AB"/>
    <w:rsid w:val="00C91D2B"/>
    <w:rsid w:val="00C9205D"/>
    <w:rsid w:val="00C95CAD"/>
    <w:rsid w:val="00C97D7D"/>
    <w:rsid w:val="00C97EFB"/>
    <w:rsid w:val="00CA3AF6"/>
    <w:rsid w:val="00CA7D20"/>
    <w:rsid w:val="00CB050B"/>
    <w:rsid w:val="00CB0E8B"/>
    <w:rsid w:val="00CB30A4"/>
    <w:rsid w:val="00CB69D5"/>
    <w:rsid w:val="00CB7397"/>
    <w:rsid w:val="00CB7530"/>
    <w:rsid w:val="00CB78C1"/>
    <w:rsid w:val="00CC20A6"/>
    <w:rsid w:val="00CC45C6"/>
    <w:rsid w:val="00CD79A3"/>
    <w:rsid w:val="00CE181D"/>
    <w:rsid w:val="00CE18D6"/>
    <w:rsid w:val="00CE2CB2"/>
    <w:rsid w:val="00CE382A"/>
    <w:rsid w:val="00CE5C84"/>
    <w:rsid w:val="00CE5CE5"/>
    <w:rsid w:val="00CE5E1C"/>
    <w:rsid w:val="00CF1196"/>
    <w:rsid w:val="00CF1CDE"/>
    <w:rsid w:val="00CF3C6C"/>
    <w:rsid w:val="00CF678C"/>
    <w:rsid w:val="00CF68A5"/>
    <w:rsid w:val="00D005BC"/>
    <w:rsid w:val="00D06896"/>
    <w:rsid w:val="00D154DF"/>
    <w:rsid w:val="00D23C80"/>
    <w:rsid w:val="00D2509A"/>
    <w:rsid w:val="00D2528B"/>
    <w:rsid w:val="00D264E1"/>
    <w:rsid w:val="00D26FDB"/>
    <w:rsid w:val="00D313DC"/>
    <w:rsid w:val="00D36052"/>
    <w:rsid w:val="00D4637E"/>
    <w:rsid w:val="00D46FEA"/>
    <w:rsid w:val="00D50207"/>
    <w:rsid w:val="00D56410"/>
    <w:rsid w:val="00D56D40"/>
    <w:rsid w:val="00D57785"/>
    <w:rsid w:val="00D621BF"/>
    <w:rsid w:val="00D65A42"/>
    <w:rsid w:val="00D66549"/>
    <w:rsid w:val="00D76888"/>
    <w:rsid w:val="00D81A71"/>
    <w:rsid w:val="00D81B71"/>
    <w:rsid w:val="00D826E4"/>
    <w:rsid w:val="00D8282B"/>
    <w:rsid w:val="00D92709"/>
    <w:rsid w:val="00D93782"/>
    <w:rsid w:val="00D9383C"/>
    <w:rsid w:val="00DA02C4"/>
    <w:rsid w:val="00DA30BA"/>
    <w:rsid w:val="00DA565D"/>
    <w:rsid w:val="00DA5EB0"/>
    <w:rsid w:val="00DA61DF"/>
    <w:rsid w:val="00DA6AB1"/>
    <w:rsid w:val="00DA7676"/>
    <w:rsid w:val="00DA7C02"/>
    <w:rsid w:val="00DB2FB8"/>
    <w:rsid w:val="00DB50E4"/>
    <w:rsid w:val="00DB66D4"/>
    <w:rsid w:val="00DB796E"/>
    <w:rsid w:val="00DB7EA3"/>
    <w:rsid w:val="00DC4CA7"/>
    <w:rsid w:val="00DC7AAA"/>
    <w:rsid w:val="00DD4B0D"/>
    <w:rsid w:val="00DD4F44"/>
    <w:rsid w:val="00DE1927"/>
    <w:rsid w:val="00DE2464"/>
    <w:rsid w:val="00DE6DDA"/>
    <w:rsid w:val="00DF554C"/>
    <w:rsid w:val="00DF5604"/>
    <w:rsid w:val="00DF79C5"/>
    <w:rsid w:val="00E019F1"/>
    <w:rsid w:val="00E03851"/>
    <w:rsid w:val="00E038DD"/>
    <w:rsid w:val="00E07A3B"/>
    <w:rsid w:val="00E109F8"/>
    <w:rsid w:val="00E12973"/>
    <w:rsid w:val="00E1636F"/>
    <w:rsid w:val="00E163F7"/>
    <w:rsid w:val="00E16A72"/>
    <w:rsid w:val="00E17F84"/>
    <w:rsid w:val="00E2157D"/>
    <w:rsid w:val="00E22007"/>
    <w:rsid w:val="00E225CC"/>
    <w:rsid w:val="00E23F72"/>
    <w:rsid w:val="00E27EF6"/>
    <w:rsid w:val="00E329DF"/>
    <w:rsid w:val="00E33BB1"/>
    <w:rsid w:val="00E35C6F"/>
    <w:rsid w:val="00E43F73"/>
    <w:rsid w:val="00E460BE"/>
    <w:rsid w:val="00E462B8"/>
    <w:rsid w:val="00E519CB"/>
    <w:rsid w:val="00E60839"/>
    <w:rsid w:val="00E63D88"/>
    <w:rsid w:val="00E65203"/>
    <w:rsid w:val="00E65C35"/>
    <w:rsid w:val="00E65FA4"/>
    <w:rsid w:val="00E71B77"/>
    <w:rsid w:val="00E74064"/>
    <w:rsid w:val="00E74B03"/>
    <w:rsid w:val="00E77A56"/>
    <w:rsid w:val="00E77BBD"/>
    <w:rsid w:val="00E8655F"/>
    <w:rsid w:val="00E87A34"/>
    <w:rsid w:val="00E94E22"/>
    <w:rsid w:val="00E9564C"/>
    <w:rsid w:val="00EA0E32"/>
    <w:rsid w:val="00EA1AC7"/>
    <w:rsid w:val="00EA30A8"/>
    <w:rsid w:val="00EA30C8"/>
    <w:rsid w:val="00EB44B8"/>
    <w:rsid w:val="00EC0E29"/>
    <w:rsid w:val="00EC7FD8"/>
    <w:rsid w:val="00ED0372"/>
    <w:rsid w:val="00ED1B1B"/>
    <w:rsid w:val="00ED4AB5"/>
    <w:rsid w:val="00ED4D00"/>
    <w:rsid w:val="00ED6275"/>
    <w:rsid w:val="00ED73CD"/>
    <w:rsid w:val="00ED7BF7"/>
    <w:rsid w:val="00ED7EB2"/>
    <w:rsid w:val="00EE2105"/>
    <w:rsid w:val="00EE2685"/>
    <w:rsid w:val="00EE4650"/>
    <w:rsid w:val="00EE725F"/>
    <w:rsid w:val="00EF2E30"/>
    <w:rsid w:val="00EF4492"/>
    <w:rsid w:val="00EF5A2A"/>
    <w:rsid w:val="00EF7088"/>
    <w:rsid w:val="00F0006E"/>
    <w:rsid w:val="00F005D6"/>
    <w:rsid w:val="00F04729"/>
    <w:rsid w:val="00F0643C"/>
    <w:rsid w:val="00F06927"/>
    <w:rsid w:val="00F06C99"/>
    <w:rsid w:val="00F0707C"/>
    <w:rsid w:val="00F12835"/>
    <w:rsid w:val="00F13CA3"/>
    <w:rsid w:val="00F166E5"/>
    <w:rsid w:val="00F23A00"/>
    <w:rsid w:val="00F23DC9"/>
    <w:rsid w:val="00F25CFC"/>
    <w:rsid w:val="00F27B72"/>
    <w:rsid w:val="00F33E27"/>
    <w:rsid w:val="00F3726A"/>
    <w:rsid w:val="00F3727A"/>
    <w:rsid w:val="00F40BAB"/>
    <w:rsid w:val="00F411D4"/>
    <w:rsid w:val="00F45172"/>
    <w:rsid w:val="00F46B05"/>
    <w:rsid w:val="00F47500"/>
    <w:rsid w:val="00F50089"/>
    <w:rsid w:val="00F50696"/>
    <w:rsid w:val="00F6030B"/>
    <w:rsid w:val="00F62391"/>
    <w:rsid w:val="00F63DD4"/>
    <w:rsid w:val="00F64223"/>
    <w:rsid w:val="00F66DAE"/>
    <w:rsid w:val="00F66F87"/>
    <w:rsid w:val="00F70031"/>
    <w:rsid w:val="00F730CB"/>
    <w:rsid w:val="00F76296"/>
    <w:rsid w:val="00F81C0D"/>
    <w:rsid w:val="00F85E66"/>
    <w:rsid w:val="00F8613A"/>
    <w:rsid w:val="00F863DE"/>
    <w:rsid w:val="00F941F3"/>
    <w:rsid w:val="00F951C4"/>
    <w:rsid w:val="00F95382"/>
    <w:rsid w:val="00FA22ED"/>
    <w:rsid w:val="00FA3538"/>
    <w:rsid w:val="00FA4E92"/>
    <w:rsid w:val="00FA71B9"/>
    <w:rsid w:val="00FA7F64"/>
    <w:rsid w:val="00FB0923"/>
    <w:rsid w:val="00FB0F71"/>
    <w:rsid w:val="00FB1E55"/>
    <w:rsid w:val="00FB3B08"/>
    <w:rsid w:val="00FC317C"/>
    <w:rsid w:val="00FC45DC"/>
    <w:rsid w:val="00FC4C0E"/>
    <w:rsid w:val="00FC606F"/>
    <w:rsid w:val="00FC6423"/>
    <w:rsid w:val="00FC76B6"/>
    <w:rsid w:val="00FD1C00"/>
    <w:rsid w:val="00FD490B"/>
    <w:rsid w:val="00FD5B78"/>
    <w:rsid w:val="00FE1D1E"/>
    <w:rsid w:val="00FE1FBE"/>
    <w:rsid w:val="00FE285F"/>
    <w:rsid w:val="00FE305B"/>
    <w:rsid w:val="00FE515F"/>
    <w:rsid w:val="00FE6F09"/>
    <w:rsid w:val="00FF6D3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10AACB-4F19-49E8-B50E-86E571F6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3B08"/>
    <w:pPr>
      <w:overflowPunct w:val="0"/>
      <w:autoSpaceDE w:val="0"/>
      <w:autoSpaceDN w:val="0"/>
      <w:adjustRightInd w:val="0"/>
      <w:spacing w:after="160" w:line="340" w:lineRule="exact"/>
      <w:textAlignment w:val="baseline"/>
    </w:pPr>
    <w:rPr>
      <w:rFonts w:asciiTheme="minorHAnsi" w:hAnsiTheme="minorHAnsi"/>
      <w:sz w:val="22"/>
    </w:rPr>
  </w:style>
  <w:style w:type="paragraph" w:styleId="Nadpis1">
    <w:name w:val="heading 1"/>
    <w:basedOn w:val="Normln"/>
    <w:link w:val="Nadpis1Char"/>
    <w:uiPriority w:val="9"/>
    <w:qFormat/>
    <w:rsid w:val="009F4B1D"/>
    <w:pPr>
      <w:overflowPunct/>
      <w:autoSpaceDE/>
      <w:autoSpaceDN/>
      <w:adjustRightInd/>
      <w:spacing w:before="100" w:beforeAutospacing="1" w:after="100" w:afterAutospacing="1" w:line="240" w:lineRule="auto"/>
      <w:textAlignment w:val="auto"/>
      <w:outlineLvl w:val="0"/>
    </w:pPr>
    <w:rPr>
      <w:rFonts w:ascii="Times New Roman" w:hAnsi="Times New Roman"/>
      <w:b/>
      <w:bCs/>
      <w:kern w:val="36"/>
      <w:sz w:val="48"/>
      <w:szCs w:val="48"/>
    </w:rPr>
  </w:style>
  <w:style w:type="paragraph" w:styleId="Nadpis4">
    <w:name w:val="heading 4"/>
    <w:basedOn w:val="Normln"/>
    <w:next w:val="Normln"/>
    <w:link w:val="Nadpis4Char"/>
    <w:uiPriority w:val="9"/>
    <w:semiHidden/>
    <w:unhideWhenUsed/>
    <w:qFormat/>
    <w:rsid w:val="003525F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rsid w:val="00305B81"/>
    <w:pPr>
      <w:overflowPunct/>
      <w:autoSpaceDE/>
      <w:autoSpaceDN/>
      <w:adjustRightInd/>
      <w:spacing w:before="120" w:after="0" w:line="264" w:lineRule="auto"/>
      <w:jc w:val="center"/>
      <w:textAlignment w:val="auto"/>
    </w:pPr>
    <w:rPr>
      <w:rFonts w:ascii="Arial" w:eastAsia="MS Mincho" w:hAnsi="Arial" w:cs="Arial"/>
      <w:b/>
      <w:sz w:val="28"/>
      <w:szCs w:val="24"/>
      <w:lang w:eastAsia="en-US"/>
    </w:rPr>
  </w:style>
  <w:style w:type="paragraph" w:styleId="Obsah2">
    <w:name w:val="toc 2"/>
    <w:basedOn w:val="Normln"/>
    <w:next w:val="Normln"/>
    <w:autoRedefine/>
    <w:uiPriority w:val="39"/>
    <w:semiHidden/>
    <w:unhideWhenUsed/>
    <w:rsid w:val="00FC606F"/>
    <w:pPr>
      <w:spacing w:after="100"/>
      <w:ind w:left="220"/>
    </w:pPr>
  </w:style>
  <w:style w:type="paragraph" w:styleId="Odstavecseseznamem">
    <w:name w:val="List Paragraph"/>
    <w:basedOn w:val="Normln"/>
    <w:link w:val="OdstavecseseznamemChar"/>
    <w:uiPriority w:val="99"/>
    <w:qFormat/>
    <w:rsid w:val="00FC606F"/>
    <w:pPr>
      <w:ind w:left="720"/>
      <w:contextualSpacing/>
    </w:p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
    <w:uiPriority w:val="99"/>
    <w:rsid w:val="00EF7088"/>
    <w:rPr>
      <w:rFonts w:cs="Times New Roman"/>
      <w:vertAlign w:val="superscript"/>
    </w:rPr>
  </w:style>
  <w:style w:type="paragraph" w:styleId="Textpoznpodarou">
    <w:name w:val="footnote text"/>
    <w:aliases w:val="Text pozn. pod čarou Char1 Char, Char Char Char,Text pozn. pod čarou Char1, Char Char"/>
    <w:basedOn w:val="Normln"/>
    <w:link w:val="TextpoznpodarouChar2"/>
    <w:uiPriority w:val="99"/>
    <w:rsid w:val="00EF7088"/>
    <w:pPr>
      <w:overflowPunct/>
      <w:autoSpaceDE/>
      <w:autoSpaceDN/>
      <w:adjustRightInd/>
      <w:spacing w:after="120" w:line="240" w:lineRule="auto"/>
      <w:jc w:val="both"/>
      <w:textAlignment w:val="auto"/>
    </w:pPr>
    <w:rPr>
      <w:rFonts w:ascii="Times New Roman" w:hAnsi="Times New Roman"/>
      <w:sz w:val="20"/>
    </w:rPr>
  </w:style>
  <w:style w:type="character" w:customStyle="1" w:styleId="TextpoznpodarouChar">
    <w:name w:val="Text pozn. pod čarou Char"/>
    <w:basedOn w:val="Standardnpsmoodstavce"/>
    <w:uiPriority w:val="99"/>
    <w:rsid w:val="00EF7088"/>
    <w:rPr>
      <w:rFonts w:asciiTheme="minorHAnsi" w:hAnsiTheme="minorHAnsi"/>
    </w:rPr>
  </w:style>
  <w:style w:type="character" w:customStyle="1" w:styleId="TextpoznpodarouChar2">
    <w:name w:val="Text pozn. pod čarou Char2"/>
    <w:aliases w:val="Text pozn. pod čarou Char1 Char Char, Char Char Char Char,Text pozn. pod čarou Char1 Char1, Char Char Char1"/>
    <w:link w:val="Textpoznpodarou"/>
    <w:semiHidden/>
    <w:rsid w:val="00EF7088"/>
  </w:style>
  <w:style w:type="character" w:styleId="Hypertextovodkaz">
    <w:name w:val="Hyperlink"/>
    <w:uiPriority w:val="99"/>
    <w:rsid w:val="00EF7088"/>
    <w:rPr>
      <w:rFonts w:cs="Times New Roman"/>
      <w:color w:val="0000FF"/>
      <w:u w:val="single"/>
    </w:rPr>
  </w:style>
  <w:style w:type="character" w:customStyle="1" w:styleId="OdstavecseseznamemChar">
    <w:name w:val="Odstavec se seznamem Char"/>
    <w:link w:val="Odstavecseseznamem"/>
    <w:uiPriority w:val="99"/>
    <w:rsid w:val="00F62391"/>
    <w:rPr>
      <w:rFonts w:asciiTheme="minorHAnsi" w:hAnsiTheme="minorHAnsi"/>
      <w:sz w:val="22"/>
    </w:rPr>
  </w:style>
  <w:style w:type="paragraph" w:customStyle="1" w:styleId="Tlotextu">
    <w:name w:val="Tělo textu"/>
    <w:basedOn w:val="Normln"/>
    <w:rsid w:val="00F62391"/>
    <w:pPr>
      <w:suppressAutoHyphens/>
      <w:overflowPunct/>
      <w:autoSpaceDE/>
      <w:autoSpaceDN/>
      <w:adjustRightInd/>
      <w:spacing w:after="120" w:line="288" w:lineRule="auto"/>
      <w:textAlignment w:val="auto"/>
    </w:pPr>
    <w:rPr>
      <w:rFonts w:ascii="Times New Roman" w:eastAsiaTheme="minorHAnsi" w:hAnsi="Times New Roman" w:cstheme="minorBidi"/>
      <w:sz w:val="32"/>
      <w:szCs w:val="32"/>
      <w:lang w:eastAsia="en-US"/>
    </w:rPr>
  </w:style>
  <w:style w:type="paragraph" w:styleId="Zkladntext2">
    <w:name w:val="Body Text 2"/>
    <w:basedOn w:val="Normln"/>
    <w:link w:val="Zkladntext2Char"/>
    <w:semiHidden/>
    <w:rsid w:val="00085E7C"/>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semiHidden/>
    <w:rsid w:val="00085E7C"/>
    <w:rPr>
      <w:sz w:val="24"/>
    </w:rPr>
  </w:style>
  <w:style w:type="character" w:customStyle="1" w:styleId="Nadpis1Char">
    <w:name w:val="Nadpis 1 Char"/>
    <w:basedOn w:val="Standardnpsmoodstavce"/>
    <w:link w:val="Nadpis1"/>
    <w:uiPriority w:val="9"/>
    <w:rsid w:val="009F4B1D"/>
    <w:rPr>
      <w:b/>
      <w:bCs/>
      <w:kern w:val="36"/>
      <w:sz w:val="48"/>
      <w:szCs w:val="48"/>
    </w:rPr>
  </w:style>
  <w:style w:type="character" w:customStyle="1" w:styleId="h1a">
    <w:name w:val="h1a"/>
    <w:basedOn w:val="Standardnpsmoodstavce"/>
    <w:rsid w:val="009F4B1D"/>
  </w:style>
  <w:style w:type="paragraph" w:styleId="Zhlav">
    <w:name w:val="header"/>
    <w:basedOn w:val="Normln"/>
    <w:link w:val="ZhlavChar"/>
    <w:uiPriority w:val="99"/>
    <w:unhideWhenUsed/>
    <w:rsid w:val="00623F7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3F71"/>
    <w:rPr>
      <w:rFonts w:asciiTheme="minorHAnsi" w:hAnsiTheme="minorHAnsi"/>
      <w:sz w:val="22"/>
    </w:rPr>
  </w:style>
  <w:style w:type="paragraph" w:styleId="Zpat">
    <w:name w:val="footer"/>
    <w:basedOn w:val="Normln"/>
    <w:link w:val="ZpatChar"/>
    <w:uiPriority w:val="99"/>
    <w:unhideWhenUsed/>
    <w:rsid w:val="00623F71"/>
    <w:pPr>
      <w:tabs>
        <w:tab w:val="center" w:pos="4536"/>
        <w:tab w:val="right" w:pos="9072"/>
      </w:tabs>
      <w:spacing w:after="0" w:line="240" w:lineRule="auto"/>
    </w:pPr>
  </w:style>
  <w:style w:type="character" w:customStyle="1" w:styleId="ZpatChar">
    <w:name w:val="Zápatí Char"/>
    <w:basedOn w:val="Standardnpsmoodstavce"/>
    <w:link w:val="Zpat"/>
    <w:uiPriority w:val="99"/>
    <w:rsid w:val="00623F71"/>
    <w:rPr>
      <w:rFonts w:asciiTheme="minorHAnsi" w:hAnsiTheme="minorHAnsi"/>
      <w:sz w:val="22"/>
    </w:rPr>
  </w:style>
  <w:style w:type="table" w:styleId="Mkatabulky">
    <w:name w:val="Table Grid"/>
    <w:basedOn w:val="Normlntabulka"/>
    <w:uiPriority w:val="59"/>
    <w:rsid w:val="00944C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FE6F09"/>
    <w:rPr>
      <w:rFonts w:ascii="Calibri" w:eastAsia="Calibri" w:hAnsi="Calibri"/>
      <w:sz w:val="22"/>
      <w:szCs w:val="22"/>
      <w:lang w:eastAsia="en-US"/>
    </w:rPr>
  </w:style>
  <w:style w:type="paragraph" w:styleId="Textbubliny">
    <w:name w:val="Balloon Text"/>
    <w:basedOn w:val="Normln"/>
    <w:link w:val="TextbublinyChar"/>
    <w:uiPriority w:val="99"/>
    <w:semiHidden/>
    <w:unhideWhenUsed/>
    <w:rsid w:val="00FC76B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76B6"/>
    <w:rPr>
      <w:rFonts w:ascii="Segoe UI" w:hAnsi="Segoe UI" w:cs="Segoe UI"/>
      <w:sz w:val="18"/>
      <w:szCs w:val="18"/>
    </w:rPr>
  </w:style>
  <w:style w:type="paragraph" w:customStyle="1" w:styleId="Default">
    <w:name w:val="Default"/>
    <w:rsid w:val="003E2333"/>
    <w:pPr>
      <w:autoSpaceDE w:val="0"/>
      <w:autoSpaceDN w:val="0"/>
      <w:adjustRightInd w:val="0"/>
    </w:pPr>
    <w:rPr>
      <w:rFonts w:eastAsiaTheme="minorEastAsia"/>
      <w:color w:val="000000"/>
      <w:sz w:val="24"/>
      <w:szCs w:val="24"/>
    </w:rPr>
  </w:style>
  <w:style w:type="paragraph" w:styleId="Prosttext">
    <w:name w:val="Plain Text"/>
    <w:basedOn w:val="Normln"/>
    <w:link w:val="ProsttextChar"/>
    <w:uiPriority w:val="99"/>
    <w:unhideWhenUsed/>
    <w:rsid w:val="000961E4"/>
    <w:pPr>
      <w:overflowPunct/>
      <w:autoSpaceDE/>
      <w:autoSpaceDN/>
      <w:adjustRightInd/>
      <w:spacing w:after="0" w:line="240" w:lineRule="auto"/>
      <w:textAlignment w:val="auto"/>
    </w:pPr>
    <w:rPr>
      <w:rFonts w:ascii="Calibri" w:eastAsiaTheme="minorHAnsi" w:hAnsi="Calibri"/>
      <w:szCs w:val="22"/>
      <w:lang w:eastAsia="en-US"/>
    </w:rPr>
  </w:style>
  <w:style w:type="character" w:customStyle="1" w:styleId="ProsttextChar">
    <w:name w:val="Prostý text Char"/>
    <w:basedOn w:val="Standardnpsmoodstavce"/>
    <w:link w:val="Prosttext"/>
    <w:uiPriority w:val="99"/>
    <w:rsid w:val="000961E4"/>
    <w:rPr>
      <w:rFonts w:ascii="Calibri" w:eastAsiaTheme="minorHAnsi" w:hAnsi="Calibri"/>
      <w:sz w:val="22"/>
      <w:szCs w:val="22"/>
      <w:lang w:eastAsia="en-US"/>
    </w:rPr>
  </w:style>
  <w:style w:type="character" w:customStyle="1" w:styleId="bold">
    <w:name w:val="bold"/>
    <w:basedOn w:val="Standardnpsmoodstavce"/>
    <w:rsid w:val="00F0006E"/>
  </w:style>
  <w:style w:type="character" w:customStyle="1" w:styleId="Nadpis4Char">
    <w:name w:val="Nadpis 4 Char"/>
    <w:basedOn w:val="Standardnpsmoodstavce"/>
    <w:link w:val="Nadpis4"/>
    <w:uiPriority w:val="9"/>
    <w:semiHidden/>
    <w:rsid w:val="003525FF"/>
    <w:rPr>
      <w:rFonts w:asciiTheme="majorHAnsi" w:eastAsiaTheme="majorEastAsia" w:hAnsiTheme="majorHAnsi" w:cstheme="majorBidi"/>
      <w:i/>
      <w:iCs/>
      <w:color w:val="365F91" w:themeColor="accent1" w:themeShade="BF"/>
      <w:sz w:val="22"/>
    </w:rPr>
  </w:style>
  <w:style w:type="character" w:styleId="Odkaznakoment">
    <w:name w:val="annotation reference"/>
    <w:basedOn w:val="Standardnpsmoodstavce"/>
    <w:uiPriority w:val="99"/>
    <w:semiHidden/>
    <w:unhideWhenUsed/>
    <w:rsid w:val="00024686"/>
    <w:rPr>
      <w:sz w:val="16"/>
      <w:szCs w:val="16"/>
    </w:rPr>
  </w:style>
  <w:style w:type="paragraph" w:styleId="Textkomente">
    <w:name w:val="annotation text"/>
    <w:basedOn w:val="Normln"/>
    <w:link w:val="TextkomenteChar"/>
    <w:uiPriority w:val="99"/>
    <w:semiHidden/>
    <w:unhideWhenUsed/>
    <w:rsid w:val="00024686"/>
    <w:pPr>
      <w:spacing w:line="240" w:lineRule="auto"/>
    </w:pPr>
    <w:rPr>
      <w:sz w:val="20"/>
    </w:rPr>
  </w:style>
  <w:style w:type="character" w:customStyle="1" w:styleId="TextkomenteChar">
    <w:name w:val="Text komentáře Char"/>
    <w:basedOn w:val="Standardnpsmoodstavce"/>
    <w:link w:val="Textkomente"/>
    <w:uiPriority w:val="99"/>
    <w:semiHidden/>
    <w:rsid w:val="00024686"/>
    <w:rPr>
      <w:rFonts w:asciiTheme="minorHAnsi" w:hAnsiTheme="minorHAnsi"/>
    </w:rPr>
  </w:style>
  <w:style w:type="paragraph" w:styleId="Pedmtkomente">
    <w:name w:val="annotation subject"/>
    <w:basedOn w:val="Textkomente"/>
    <w:next w:val="Textkomente"/>
    <w:link w:val="PedmtkomenteChar"/>
    <w:uiPriority w:val="99"/>
    <w:semiHidden/>
    <w:unhideWhenUsed/>
    <w:rsid w:val="00024686"/>
    <w:rPr>
      <w:b/>
      <w:bCs/>
    </w:rPr>
  </w:style>
  <w:style w:type="character" w:customStyle="1" w:styleId="PedmtkomenteChar">
    <w:name w:val="Předmět komentáře Char"/>
    <w:basedOn w:val="TextkomenteChar"/>
    <w:link w:val="Pedmtkomente"/>
    <w:uiPriority w:val="99"/>
    <w:semiHidden/>
    <w:rsid w:val="00024686"/>
    <w:rPr>
      <w:rFonts w:asciiTheme="minorHAnsi"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80144">
      <w:bodyDiv w:val="1"/>
      <w:marLeft w:val="0"/>
      <w:marRight w:val="0"/>
      <w:marTop w:val="0"/>
      <w:marBottom w:val="0"/>
      <w:divBdr>
        <w:top w:val="none" w:sz="0" w:space="0" w:color="auto"/>
        <w:left w:val="none" w:sz="0" w:space="0" w:color="auto"/>
        <w:bottom w:val="none" w:sz="0" w:space="0" w:color="auto"/>
        <w:right w:val="none" w:sz="0" w:space="0" w:color="auto"/>
      </w:divBdr>
    </w:div>
    <w:div w:id="263652039">
      <w:bodyDiv w:val="1"/>
      <w:marLeft w:val="0"/>
      <w:marRight w:val="0"/>
      <w:marTop w:val="0"/>
      <w:marBottom w:val="0"/>
      <w:divBdr>
        <w:top w:val="none" w:sz="0" w:space="0" w:color="auto"/>
        <w:left w:val="none" w:sz="0" w:space="0" w:color="auto"/>
        <w:bottom w:val="none" w:sz="0" w:space="0" w:color="auto"/>
        <w:right w:val="none" w:sz="0" w:space="0" w:color="auto"/>
      </w:divBdr>
      <w:divsChild>
        <w:div w:id="743113875">
          <w:marLeft w:val="0"/>
          <w:marRight w:val="0"/>
          <w:marTop w:val="0"/>
          <w:marBottom w:val="0"/>
          <w:divBdr>
            <w:top w:val="none" w:sz="0" w:space="0" w:color="auto"/>
            <w:left w:val="none" w:sz="0" w:space="0" w:color="auto"/>
            <w:bottom w:val="none" w:sz="0" w:space="0" w:color="auto"/>
            <w:right w:val="none" w:sz="0" w:space="0" w:color="auto"/>
          </w:divBdr>
          <w:divsChild>
            <w:div w:id="986277443">
              <w:marLeft w:val="0"/>
              <w:marRight w:val="0"/>
              <w:marTop w:val="0"/>
              <w:marBottom w:val="0"/>
              <w:divBdr>
                <w:top w:val="none" w:sz="0" w:space="0" w:color="auto"/>
                <w:left w:val="none" w:sz="0" w:space="0" w:color="auto"/>
                <w:bottom w:val="none" w:sz="0" w:space="0" w:color="auto"/>
                <w:right w:val="none" w:sz="0" w:space="0" w:color="auto"/>
              </w:divBdr>
              <w:divsChild>
                <w:div w:id="1195266602">
                  <w:marLeft w:val="0"/>
                  <w:marRight w:val="0"/>
                  <w:marTop w:val="0"/>
                  <w:marBottom w:val="0"/>
                  <w:divBdr>
                    <w:top w:val="none" w:sz="0" w:space="0" w:color="auto"/>
                    <w:left w:val="none" w:sz="0" w:space="0" w:color="auto"/>
                    <w:bottom w:val="none" w:sz="0" w:space="0" w:color="auto"/>
                    <w:right w:val="none" w:sz="0" w:space="0" w:color="auto"/>
                  </w:divBdr>
                  <w:divsChild>
                    <w:div w:id="182597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256735">
      <w:bodyDiv w:val="1"/>
      <w:marLeft w:val="0"/>
      <w:marRight w:val="0"/>
      <w:marTop w:val="0"/>
      <w:marBottom w:val="0"/>
      <w:divBdr>
        <w:top w:val="none" w:sz="0" w:space="0" w:color="auto"/>
        <w:left w:val="none" w:sz="0" w:space="0" w:color="auto"/>
        <w:bottom w:val="none" w:sz="0" w:space="0" w:color="auto"/>
        <w:right w:val="none" w:sz="0" w:space="0" w:color="auto"/>
      </w:divBdr>
    </w:div>
    <w:div w:id="768693263">
      <w:bodyDiv w:val="1"/>
      <w:marLeft w:val="0"/>
      <w:marRight w:val="0"/>
      <w:marTop w:val="0"/>
      <w:marBottom w:val="0"/>
      <w:divBdr>
        <w:top w:val="none" w:sz="0" w:space="0" w:color="auto"/>
        <w:left w:val="none" w:sz="0" w:space="0" w:color="auto"/>
        <w:bottom w:val="none" w:sz="0" w:space="0" w:color="auto"/>
        <w:right w:val="none" w:sz="0" w:space="0" w:color="auto"/>
      </w:divBdr>
      <w:divsChild>
        <w:div w:id="905142073">
          <w:marLeft w:val="0"/>
          <w:marRight w:val="0"/>
          <w:marTop w:val="0"/>
          <w:marBottom w:val="0"/>
          <w:divBdr>
            <w:top w:val="none" w:sz="0" w:space="0" w:color="auto"/>
            <w:left w:val="none" w:sz="0" w:space="0" w:color="auto"/>
            <w:bottom w:val="none" w:sz="0" w:space="0" w:color="auto"/>
            <w:right w:val="none" w:sz="0" w:space="0" w:color="auto"/>
          </w:divBdr>
          <w:divsChild>
            <w:div w:id="252907649">
              <w:marLeft w:val="0"/>
              <w:marRight w:val="0"/>
              <w:marTop w:val="0"/>
              <w:marBottom w:val="0"/>
              <w:divBdr>
                <w:top w:val="none" w:sz="0" w:space="0" w:color="auto"/>
                <w:left w:val="none" w:sz="0" w:space="0" w:color="auto"/>
                <w:bottom w:val="none" w:sz="0" w:space="0" w:color="auto"/>
                <w:right w:val="none" w:sz="0" w:space="0" w:color="auto"/>
              </w:divBdr>
              <w:divsChild>
                <w:div w:id="1485196083">
                  <w:marLeft w:val="0"/>
                  <w:marRight w:val="0"/>
                  <w:marTop w:val="0"/>
                  <w:marBottom w:val="0"/>
                  <w:divBdr>
                    <w:top w:val="none" w:sz="0" w:space="0" w:color="auto"/>
                    <w:left w:val="none" w:sz="0" w:space="0" w:color="auto"/>
                    <w:bottom w:val="none" w:sz="0" w:space="0" w:color="auto"/>
                    <w:right w:val="none" w:sz="0" w:space="0" w:color="auto"/>
                  </w:divBdr>
                  <w:divsChild>
                    <w:div w:id="17208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663789">
      <w:bodyDiv w:val="1"/>
      <w:marLeft w:val="0"/>
      <w:marRight w:val="0"/>
      <w:marTop w:val="0"/>
      <w:marBottom w:val="0"/>
      <w:divBdr>
        <w:top w:val="none" w:sz="0" w:space="0" w:color="auto"/>
        <w:left w:val="none" w:sz="0" w:space="0" w:color="auto"/>
        <w:bottom w:val="none" w:sz="0" w:space="0" w:color="auto"/>
        <w:right w:val="none" w:sz="0" w:space="0" w:color="auto"/>
      </w:divBdr>
      <w:divsChild>
        <w:div w:id="810288677">
          <w:marLeft w:val="0"/>
          <w:marRight w:val="0"/>
          <w:marTop w:val="0"/>
          <w:marBottom w:val="0"/>
          <w:divBdr>
            <w:top w:val="none" w:sz="0" w:space="0" w:color="auto"/>
            <w:left w:val="none" w:sz="0" w:space="0" w:color="auto"/>
            <w:bottom w:val="none" w:sz="0" w:space="0" w:color="auto"/>
            <w:right w:val="none" w:sz="0" w:space="0" w:color="auto"/>
          </w:divBdr>
          <w:divsChild>
            <w:div w:id="1458525691">
              <w:marLeft w:val="0"/>
              <w:marRight w:val="0"/>
              <w:marTop w:val="0"/>
              <w:marBottom w:val="0"/>
              <w:divBdr>
                <w:top w:val="none" w:sz="0" w:space="0" w:color="auto"/>
                <w:left w:val="none" w:sz="0" w:space="0" w:color="auto"/>
                <w:bottom w:val="none" w:sz="0" w:space="0" w:color="auto"/>
                <w:right w:val="none" w:sz="0" w:space="0" w:color="auto"/>
              </w:divBdr>
              <w:divsChild>
                <w:div w:id="1348631122">
                  <w:marLeft w:val="0"/>
                  <w:marRight w:val="0"/>
                  <w:marTop w:val="0"/>
                  <w:marBottom w:val="0"/>
                  <w:divBdr>
                    <w:top w:val="none" w:sz="0" w:space="0" w:color="auto"/>
                    <w:left w:val="none" w:sz="0" w:space="0" w:color="auto"/>
                    <w:bottom w:val="none" w:sz="0" w:space="0" w:color="auto"/>
                    <w:right w:val="none" w:sz="0" w:space="0" w:color="auto"/>
                  </w:divBdr>
                  <w:divsChild>
                    <w:div w:id="142137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644788">
      <w:bodyDiv w:val="1"/>
      <w:marLeft w:val="0"/>
      <w:marRight w:val="0"/>
      <w:marTop w:val="0"/>
      <w:marBottom w:val="0"/>
      <w:divBdr>
        <w:top w:val="none" w:sz="0" w:space="0" w:color="auto"/>
        <w:left w:val="none" w:sz="0" w:space="0" w:color="auto"/>
        <w:bottom w:val="none" w:sz="0" w:space="0" w:color="auto"/>
        <w:right w:val="none" w:sz="0" w:space="0" w:color="auto"/>
      </w:divBdr>
      <w:divsChild>
        <w:div w:id="1860392978">
          <w:marLeft w:val="0"/>
          <w:marRight w:val="0"/>
          <w:marTop w:val="0"/>
          <w:marBottom w:val="0"/>
          <w:divBdr>
            <w:top w:val="none" w:sz="0" w:space="0" w:color="auto"/>
            <w:left w:val="none" w:sz="0" w:space="0" w:color="auto"/>
            <w:bottom w:val="none" w:sz="0" w:space="0" w:color="auto"/>
            <w:right w:val="none" w:sz="0" w:space="0" w:color="auto"/>
          </w:divBdr>
          <w:divsChild>
            <w:div w:id="1800610508">
              <w:marLeft w:val="0"/>
              <w:marRight w:val="0"/>
              <w:marTop w:val="0"/>
              <w:marBottom w:val="0"/>
              <w:divBdr>
                <w:top w:val="none" w:sz="0" w:space="0" w:color="auto"/>
                <w:left w:val="none" w:sz="0" w:space="0" w:color="auto"/>
                <w:bottom w:val="none" w:sz="0" w:space="0" w:color="auto"/>
                <w:right w:val="none" w:sz="0" w:space="0" w:color="auto"/>
              </w:divBdr>
              <w:divsChild>
                <w:div w:id="620261854">
                  <w:marLeft w:val="0"/>
                  <w:marRight w:val="0"/>
                  <w:marTop w:val="0"/>
                  <w:marBottom w:val="0"/>
                  <w:divBdr>
                    <w:top w:val="none" w:sz="0" w:space="0" w:color="auto"/>
                    <w:left w:val="none" w:sz="0" w:space="0" w:color="auto"/>
                    <w:bottom w:val="none" w:sz="0" w:space="0" w:color="auto"/>
                    <w:right w:val="none" w:sz="0" w:space="0" w:color="auto"/>
                  </w:divBdr>
                  <w:divsChild>
                    <w:div w:id="11020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577953">
      <w:bodyDiv w:val="1"/>
      <w:marLeft w:val="0"/>
      <w:marRight w:val="0"/>
      <w:marTop w:val="0"/>
      <w:marBottom w:val="0"/>
      <w:divBdr>
        <w:top w:val="none" w:sz="0" w:space="0" w:color="auto"/>
        <w:left w:val="none" w:sz="0" w:space="0" w:color="auto"/>
        <w:bottom w:val="none" w:sz="0" w:space="0" w:color="auto"/>
        <w:right w:val="none" w:sz="0" w:space="0" w:color="auto"/>
      </w:divBdr>
    </w:div>
    <w:div w:id="1524980916">
      <w:bodyDiv w:val="1"/>
      <w:marLeft w:val="0"/>
      <w:marRight w:val="0"/>
      <w:marTop w:val="0"/>
      <w:marBottom w:val="0"/>
      <w:divBdr>
        <w:top w:val="none" w:sz="0" w:space="0" w:color="auto"/>
        <w:left w:val="none" w:sz="0" w:space="0" w:color="auto"/>
        <w:bottom w:val="none" w:sz="0" w:space="0" w:color="auto"/>
        <w:right w:val="none" w:sz="0" w:space="0" w:color="auto"/>
      </w:divBdr>
    </w:div>
    <w:div w:id="1542740143">
      <w:bodyDiv w:val="1"/>
      <w:marLeft w:val="0"/>
      <w:marRight w:val="0"/>
      <w:marTop w:val="0"/>
      <w:marBottom w:val="0"/>
      <w:divBdr>
        <w:top w:val="none" w:sz="0" w:space="0" w:color="auto"/>
        <w:left w:val="none" w:sz="0" w:space="0" w:color="auto"/>
        <w:bottom w:val="none" w:sz="0" w:space="0" w:color="auto"/>
        <w:right w:val="none" w:sz="0" w:space="0" w:color="auto"/>
      </w:divBdr>
    </w:div>
    <w:div w:id="1554579866">
      <w:bodyDiv w:val="1"/>
      <w:marLeft w:val="0"/>
      <w:marRight w:val="0"/>
      <w:marTop w:val="0"/>
      <w:marBottom w:val="0"/>
      <w:divBdr>
        <w:top w:val="none" w:sz="0" w:space="0" w:color="auto"/>
        <w:left w:val="none" w:sz="0" w:space="0" w:color="auto"/>
        <w:bottom w:val="none" w:sz="0" w:space="0" w:color="auto"/>
        <w:right w:val="none" w:sz="0" w:space="0" w:color="auto"/>
      </w:divBdr>
    </w:div>
    <w:div w:id="1777826608">
      <w:bodyDiv w:val="1"/>
      <w:marLeft w:val="0"/>
      <w:marRight w:val="0"/>
      <w:marTop w:val="0"/>
      <w:marBottom w:val="0"/>
      <w:divBdr>
        <w:top w:val="none" w:sz="0" w:space="0" w:color="auto"/>
        <w:left w:val="none" w:sz="0" w:space="0" w:color="auto"/>
        <w:bottom w:val="none" w:sz="0" w:space="0" w:color="auto"/>
        <w:right w:val="none" w:sz="0" w:space="0" w:color="auto"/>
      </w:divBdr>
    </w:div>
    <w:div w:id="207389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C276D-487D-49FB-92F7-31C5DECEC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A79801B.dotm</Template>
  <TotalTime>4</TotalTime>
  <Pages>21</Pages>
  <Words>6308</Words>
  <Characters>39741</Characters>
  <Application>Microsoft Office Word</Application>
  <DocSecurity>0</DocSecurity>
  <Lines>331</Lines>
  <Paragraphs>91</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Zaplatílek Jan</dc:creator>
  <cp:lastModifiedBy>MPO</cp:lastModifiedBy>
  <cp:revision>4</cp:revision>
  <dcterms:created xsi:type="dcterms:W3CDTF">2018-12-19T07:33:00Z</dcterms:created>
  <dcterms:modified xsi:type="dcterms:W3CDTF">2018-12-19T07:37:00Z</dcterms:modified>
</cp:coreProperties>
</file>