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Pr="00EA3D31" w:rsidRDefault="000C6893">
      <w:pPr>
        <w:pStyle w:val="Nadpis"/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</w:rPr>
        <w:t>k</w:t>
      </w:r>
      <w:r w:rsidR="00EA3D31" w:rsidRPr="00EA3D31">
        <w:rPr>
          <w:b/>
          <w:sz w:val="24"/>
          <w:szCs w:val="24"/>
        </w:rPr>
        <w:t> vl</w:t>
      </w:r>
      <w:r w:rsidR="00EA3D31" w:rsidRPr="00EA3D31">
        <w:rPr>
          <w:rFonts w:eastAsia="Calibri"/>
          <w:b/>
          <w:bCs/>
          <w:sz w:val="24"/>
          <w:szCs w:val="24"/>
          <w:lang w:eastAsia="en-US"/>
        </w:rPr>
        <w:t xml:space="preserve">ádnímu návrhu zákona, kterým se mění zákon č. 378/2007 Sb., o léčivech a o změnách některých souvisejících zákonů (zákon o léčivech), ve znění pozdějších předpisů, </w:t>
      </w:r>
      <w:r w:rsidR="00EA3D31">
        <w:rPr>
          <w:rFonts w:eastAsia="Calibri"/>
          <w:b/>
          <w:bCs/>
          <w:sz w:val="24"/>
          <w:szCs w:val="24"/>
          <w:lang w:eastAsia="en-US"/>
        </w:rPr>
        <w:br/>
      </w:r>
      <w:r w:rsidR="00EA3D31" w:rsidRPr="00EA3D31">
        <w:rPr>
          <w:rFonts w:eastAsia="Calibri"/>
          <w:b/>
          <w:bCs/>
          <w:sz w:val="24"/>
          <w:szCs w:val="24"/>
          <w:lang w:eastAsia="en-US"/>
        </w:rPr>
        <w:t>a zákon č.</w:t>
      </w:r>
      <w:r w:rsidR="00EA3D31">
        <w:rPr>
          <w:rFonts w:eastAsia="Calibri"/>
          <w:b/>
          <w:bCs/>
          <w:sz w:val="24"/>
          <w:szCs w:val="24"/>
          <w:lang w:eastAsia="en-US"/>
        </w:rPr>
        <w:t> </w:t>
      </w:r>
      <w:r w:rsidR="00EA3D31" w:rsidRPr="00EA3D31">
        <w:rPr>
          <w:rFonts w:eastAsia="Calibri"/>
          <w:b/>
          <w:bCs/>
          <w:sz w:val="24"/>
          <w:szCs w:val="24"/>
          <w:lang w:eastAsia="en-US"/>
        </w:rPr>
        <w:t xml:space="preserve">372/2011 Sb., o zdravotních službách a podmínkách jejich poskytování </w:t>
      </w:r>
      <w:r w:rsidR="00EA3D31">
        <w:rPr>
          <w:rFonts w:eastAsia="Calibri"/>
          <w:b/>
          <w:bCs/>
          <w:sz w:val="24"/>
          <w:szCs w:val="24"/>
          <w:lang w:eastAsia="en-US"/>
        </w:rPr>
        <w:br/>
      </w:r>
      <w:r w:rsidR="00EA3D31" w:rsidRPr="00EA3D31">
        <w:rPr>
          <w:rFonts w:eastAsia="Calibri"/>
          <w:b/>
          <w:bCs/>
          <w:sz w:val="24"/>
          <w:szCs w:val="24"/>
          <w:lang w:eastAsia="en-US"/>
        </w:rPr>
        <w:t>(zákon o zdravotních službách), ve znění pozdějších předpisů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EA3D31">
        <w:rPr>
          <w:b/>
          <w:bCs/>
          <w:sz w:val="24"/>
        </w:rPr>
        <w:t>262)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/>
    <w:p w:rsidR="000C6893" w:rsidRDefault="000C6893">
      <w:pPr>
        <w:tabs>
          <w:tab w:val="left" w:pos="420"/>
        </w:tabs>
      </w:pPr>
    </w:p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EA3D31">
        <w:rPr>
          <w:b/>
        </w:rPr>
        <w:t>4. prosince 2018</w:t>
      </w:r>
    </w:p>
    <w:p w:rsidR="000C6893" w:rsidRDefault="000C6893"/>
    <w:p w:rsidR="000C6893" w:rsidRDefault="000C6893"/>
    <w:p w:rsidR="000C6893" w:rsidRDefault="000C6893"/>
    <w:p w:rsidR="000C6893" w:rsidRDefault="000C6893" w:rsidP="00511F8C">
      <w:pPr>
        <w:pStyle w:val="PNposlanec"/>
      </w:pPr>
      <w:r>
        <w:t>Poslan</w:t>
      </w:r>
      <w:r w:rsidR="00D80602">
        <w:t>kyně Karla Maříková</w:t>
      </w:r>
    </w:p>
    <w:p w:rsidR="00D80602" w:rsidRDefault="00D80602" w:rsidP="00D80602">
      <w:pPr>
        <w:rPr>
          <w:b/>
          <w:i/>
        </w:rPr>
      </w:pPr>
      <w:r w:rsidRPr="00555E11">
        <w:rPr>
          <w:b/>
          <w:i/>
        </w:rPr>
        <w:t xml:space="preserve">SD </w:t>
      </w:r>
      <w:r w:rsidR="00555E11" w:rsidRPr="00555E11">
        <w:rPr>
          <w:b/>
          <w:i/>
        </w:rPr>
        <w:t>1816</w:t>
      </w:r>
    </w:p>
    <w:p w:rsidR="00754744" w:rsidRPr="00555E11" w:rsidRDefault="00754744" w:rsidP="00D80602">
      <w:pPr>
        <w:rPr>
          <w:b/>
          <w:i/>
        </w:rPr>
      </w:pPr>
    </w:p>
    <w:p w:rsidR="00555E11" w:rsidRDefault="00754744" w:rsidP="00754744">
      <w:pPr>
        <w:ind w:right="142"/>
        <w:rPr>
          <w:rFonts w:cs="Times New Roman"/>
          <w:b/>
          <w:sz w:val="28"/>
          <w:szCs w:val="28"/>
          <w:lang w:eastAsia="cs-CZ"/>
        </w:rPr>
      </w:pPr>
      <w:r w:rsidRPr="00754744">
        <w:rPr>
          <w:rFonts w:cs="Times New Roman"/>
          <w:b/>
          <w:sz w:val="28"/>
          <w:szCs w:val="28"/>
          <w:lang w:eastAsia="cs-CZ"/>
        </w:rPr>
        <w:t xml:space="preserve">A 1 </w:t>
      </w:r>
    </w:p>
    <w:p w:rsidR="00754744" w:rsidRPr="00754744" w:rsidRDefault="00754744" w:rsidP="00754744">
      <w:pPr>
        <w:ind w:right="142"/>
        <w:rPr>
          <w:rFonts w:cs="Times New Roman"/>
          <w:b/>
          <w:sz w:val="28"/>
          <w:szCs w:val="28"/>
          <w:lang w:eastAsia="cs-CZ"/>
        </w:rPr>
      </w:pPr>
    </w:p>
    <w:p w:rsidR="00555E11" w:rsidRPr="00555E11" w:rsidRDefault="00555E11" w:rsidP="00555E11">
      <w:pPr>
        <w:ind w:right="142"/>
        <w:rPr>
          <w:b/>
        </w:rPr>
      </w:pPr>
      <w:r w:rsidRPr="00555E11">
        <w:rPr>
          <w:rFonts w:cs="Times New Roman"/>
          <w:b/>
          <w:lang w:eastAsia="cs-CZ"/>
        </w:rPr>
        <w:t>K Č</w:t>
      </w:r>
      <w:r w:rsidR="00A90376">
        <w:rPr>
          <w:rFonts w:cs="Times New Roman"/>
          <w:b/>
          <w:lang w:eastAsia="cs-CZ"/>
        </w:rPr>
        <w:t>l</w:t>
      </w:r>
      <w:r w:rsidRPr="00555E11">
        <w:rPr>
          <w:rFonts w:cs="Times New Roman"/>
          <w:b/>
          <w:lang w:eastAsia="cs-CZ"/>
        </w:rPr>
        <w:t>. I</w:t>
      </w:r>
    </w:p>
    <w:p w:rsidR="00555E11" w:rsidRDefault="00555E11" w:rsidP="00555E11">
      <w:pPr>
        <w:ind w:left="142" w:right="142"/>
        <w:rPr>
          <w:rFonts w:cs="Times New Roman"/>
          <w:lang w:eastAsia="cs-CZ"/>
        </w:rPr>
      </w:pPr>
    </w:p>
    <w:p w:rsidR="00555E11" w:rsidRDefault="00555E11" w:rsidP="00555E11">
      <w:pPr>
        <w:ind w:left="142" w:right="142"/>
      </w:pPr>
      <w:r>
        <w:rPr>
          <w:rFonts w:cs="Times New Roman"/>
          <w:lang w:eastAsia="cs-CZ"/>
        </w:rPr>
        <w:t xml:space="preserve">Za bod 24 se vkládá nový bod </w:t>
      </w:r>
      <w:r w:rsidR="00A90376">
        <w:rPr>
          <w:rFonts w:cs="Times New Roman"/>
          <w:lang w:eastAsia="cs-CZ"/>
        </w:rPr>
        <w:t>X</w:t>
      </w:r>
      <w:r>
        <w:rPr>
          <w:rFonts w:cs="Times New Roman"/>
          <w:lang w:eastAsia="cs-CZ"/>
        </w:rPr>
        <w:t>, který zní:</w:t>
      </w:r>
    </w:p>
    <w:p w:rsidR="00555E11" w:rsidRDefault="00555E11" w:rsidP="00555E11">
      <w:pPr>
        <w:ind w:left="142" w:right="142"/>
        <w:rPr>
          <w:rFonts w:cs="Times New Roman"/>
          <w:lang w:eastAsia="cs-CZ"/>
        </w:rPr>
      </w:pPr>
    </w:p>
    <w:p w:rsidR="00555E11" w:rsidRDefault="00555E11" w:rsidP="00555E11">
      <w:pPr>
        <w:ind w:left="142" w:right="142"/>
      </w:pPr>
      <w:r>
        <w:rPr>
          <w:rFonts w:cs="Times New Roman"/>
          <w:lang w:eastAsia="cs-CZ"/>
        </w:rPr>
        <w:t>„</w:t>
      </w:r>
      <w:r w:rsidR="00A90376">
        <w:rPr>
          <w:rFonts w:cs="Times New Roman"/>
          <w:lang w:eastAsia="cs-CZ"/>
        </w:rPr>
        <w:t>X</w:t>
      </w:r>
      <w:r>
        <w:rPr>
          <w:rFonts w:cs="Times New Roman"/>
          <w:lang w:eastAsia="cs-CZ"/>
        </w:rPr>
        <w:t>. V § 77 se doplňuje odstavec 9, který zní:</w:t>
      </w:r>
    </w:p>
    <w:p w:rsidR="00555E11" w:rsidRDefault="00555E11" w:rsidP="00555E11">
      <w:pPr>
        <w:ind w:left="142" w:right="142"/>
        <w:rPr>
          <w:rFonts w:cs="Times New Roman"/>
          <w:lang w:eastAsia="cs-CZ"/>
        </w:rPr>
      </w:pPr>
    </w:p>
    <w:p w:rsidR="00555E11" w:rsidRPr="00555E11" w:rsidRDefault="00555E11" w:rsidP="00555E11">
      <w:pPr>
        <w:ind w:left="567" w:right="142"/>
        <w:jc w:val="both"/>
      </w:pPr>
      <w:r w:rsidRPr="00555E11">
        <w:rPr>
          <w:rFonts w:cs="Times New Roman"/>
          <w:lang w:eastAsia="cs-CZ"/>
        </w:rPr>
        <w:t>„9. Distributor je povinen odebrat zpět od provozovatele oprávněného k výdeji takový léčivý přípravek opatřený ochrannými prvky, který provozovateli dodal, a u něhož se provozovateli oprávněnému k výdeji nepodaří ověřit ochranné prvky nebo provést vyřazení jedinečného identifikátoru, a to nejpozději do sedmi dnů ode dne oznámení provozovatele distributorovi o neúspěšném ověření ochranných prvků nebo provedení vyřazení jedinečného identifikátoru. Zároveň je takový distributor povinen ve lhůtě sedmi dnů ode dne oznámení vrátit provozovateli oprávněnému k výdeji kupní cenu za takový vrácený léčivý přípravek. Držitel rozhodnutí o registraci vráceného léčivého přípravku je v takovém případě povinen uhradit provozovateli oprávněnému k výdeji prokázané náklady vzniklé při takovém vracení a náklady vzniklé v souvislosti s pořízením, uskladněním a neúspěšným ověřením ochranných prvků nebo provedením vyřazení jedinečného identifikátoru odevzdávaného léčivého přípravku.“. “</w:t>
      </w:r>
    </w:p>
    <w:p w:rsidR="00555E11" w:rsidRDefault="00555E11" w:rsidP="00D80602">
      <w:pPr>
        <w:rPr>
          <w:i/>
        </w:rPr>
      </w:pPr>
    </w:p>
    <w:p w:rsidR="00555E11" w:rsidRDefault="00555E11" w:rsidP="00D80602">
      <w:pPr>
        <w:rPr>
          <w:b/>
          <w:i/>
        </w:rPr>
      </w:pPr>
      <w:r w:rsidRPr="00555E11">
        <w:rPr>
          <w:b/>
          <w:i/>
        </w:rPr>
        <w:t>SD 1817</w:t>
      </w:r>
    </w:p>
    <w:p w:rsidR="008B1D4A" w:rsidRPr="00555E11" w:rsidRDefault="008B1D4A" w:rsidP="00D80602">
      <w:pPr>
        <w:rPr>
          <w:b/>
          <w:i/>
        </w:rPr>
      </w:pPr>
    </w:p>
    <w:p w:rsidR="00555E11" w:rsidRDefault="00754744" w:rsidP="00555E11">
      <w:pPr>
        <w:rPr>
          <w:rFonts w:cs="Times New Roman"/>
          <w:b/>
          <w:bCs/>
          <w:sz w:val="28"/>
          <w:szCs w:val="28"/>
        </w:rPr>
      </w:pPr>
      <w:r w:rsidRPr="00754744">
        <w:rPr>
          <w:rFonts w:cs="Times New Roman"/>
          <w:b/>
          <w:bCs/>
          <w:sz w:val="28"/>
          <w:szCs w:val="28"/>
        </w:rPr>
        <w:t>A 2</w:t>
      </w:r>
    </w:p>
    <w:p w:rsidR="00754744" w:rsidRPr="00754744" w:rsidRDefault="00754744" w:rsidP="00555E11">
      <w:pPr>
        <w:rPr>
          <w:rFonts w:cs="Times New Roman"/>
          <w:b/>
          <w:bCs/>
          <w:sz w:val="28"/>
          <w:szCs w:val="28"/>
        </w:rPr>
      </w:pPr>
    </w:p>
    <w:p w:rsidR="00555E11" w:rsidRDefault="00555E11" w:rsidP="00555E11">
      <w:r>
        <w:rPr>
          <w:rFonts w:cs="Times New Roman"/>
          <w:b/>
          <w:bCs/>
        </w:rPr>
        <w:t>K Č</w:t>
      </w:r>
      <w:r w:rsidR="00A90376">
        <w:rPr>
          <w:rFonts w:cs="Times New Roman"/>
          <w:b/>
          <w:bCs/>
        </w:rPr>
        <w:t>l</w:t>
      </w:r>
      <w:r>
        <w:rPr>
          <w:rFonts w:cs="Times New Roman"/>
          <w:b/>
          <w:bCs/>
        </w:rPr>
        <w:t>. I</w:t>
      </w:r>
    </w:p>
    <w:p w:rsidR="00555E11" w:rsidRDefault="00555E11" w:rsidP="00555E11">
      <w:pPr>
        <w:ind w:left="-142" w:right="-142"/>
        <w:rPr>
          <w:rFonts w:eastAsia="Calibri" w:cs="Times New Roman"/>
          <w:b/>
          <w:lang w:eastAsia="cs-CZ"/>
        </w:rPr>
      </w:pPr>
    </w:p>
    <w:p w:rsidR="00555E11" w:rsidRDefault="00555E11" w:rsidP="00555E11">
      <w:pPr>
        <w:ind w:right="-142"/>
      </w:pPr>
      <w:r>
        <w:rPr>
          <w:rFonts w:eastAsia="Calibri" w:cs="Times New Roman"/>
          <w:lang w:eastAsia="cs-CZ"/>
        </w:rPr>
        <w:t xml:space="preserve">1.  Bod 27 zní: </w:t>
      </w:r>
    </w:p>
    <w:p w:rsidR="00555E11" w:rsidRDefault="00555E11" w:rsidP="00555E11">
      <w:pPr>
        <w:ind w:left="-142" w:right="-142"/>
        <w:rPr>
          <w:rFonts w:eastAsia="Calibri" w:cs="Times New Roman"/>
          <w:lang w:eastAsia="cs-CZ"/>
        </w:rPr>
      </w:pPr>
    </w:p>
    <w:p w:rsidR="00555E11" w:rsidRDefault="00555E11" w:rsidP="00555E11">
      <w:pPr>
        <w:ind w:left="284" w:right="-142"/>
      </w:pPr>
      <w:r>
        <w:rPr>
          <w:rFonts w:eastAsia="Calibri" w:cs="Times New Roman"/>
          <w:lang w:eastAsia="cs-CZ"/>
        </w:rPr>
        <w:t xml:space="preserve">„27. V § 82 se na konci odstavce 3 tečka nahrazuje čárkou a doplňuje se písmeno i), které zní: </w:t>
      </w:r>
    </w:p>
    <w:p w:rsidR="00555E11" w:rsidRDefault="00555E11" w:rsidP="00555E11">
      <w:pPr>
        <w:ind w:left="426" w:right="-142"/>
        <w:rPr>
          <w:rFonts w:eastAsia="Calibri" w:cs="Times New Roman"/>
          <w:lang w:eastAsia="cs-CZ"/>
        </w:rPr>
      </w:pPr>
    </w:p>
    <w:p w:rsidR="00555E11" w:rsidRDefault="00555E11" w:rsidP="00555E11">
      <w:pPr>
        <w:ind w:left="567"/>
      </w:pPr>
      <w:r>
        <w:rPr>
          <w:rFonts w:eastAsia="Calibri" w:cs="Times New Roman"/>
          <w:lang w:eastAsia="cs-CZ"/>
        </w:rPr>
        <w:lastRenderedPageBreak/>
        <w:t>„i) ověří ochranné prvky a provedou vyřazení jedinečného identifikátoru u vydávaných léčivých přípravků opatřených ochrannými prvky</w:t>
      </w:r>
      <w:r>
        <w:rPr>
          <w:rFonts w:eastAsia="Calibri" w:cs="Times New Roman"/>
          <w:b/>
          <w:lang w:eastAsia="cs-CZ"/>
        </w:rPr>
        <w:t xml:space="preserve">, </w:t>
      </w:r>
      <w:bookmarkStart w:id="0" w:name="_Hlk530698462"/>
      <w:r w:rsidRPr="00754744">
        <w:rPr>
          <w:rFonts w:eastAsia="Calibri" w:cs="Times New Roman"/>
          <w:lang w:eastAsia="cs-CZ"/>
        </w:rPr>
        <w:t>na které se nařízení o ochranných prvcích nevztahuje,</w:t>
      </w:r>
      <w:bookmarkEnd w:id="0"/>
      <w:r>
        <w:rPr>
          <w:rFonts w:eastAsia="Calibri" w:cs="Times New Roman"/>
          <w:lang w:eastAsia="cs-CZ"/>
        </w:rPr>
        <w:t xml:space="preserve"> postupem podle nařízení o ochranných prvcích.“. “</w:t>
      </w:r>
    </w:p>
    <w:p w:rsidR="00D80602" w:rsidRDefault="00D80602" w:rsidP="00D80602"/>
    <w:p w:rsidR="00555E11" w:rsidRDefault="00555E11" w:rsidP="00D80602">
      <w:pPr>
        <w:rPr>
          <w:b/>
          <w:i/>
        </w:rPr>
      </w:pPr>
    </w:p>
    <w:p w:rsidR="00555E11" w:rsidRDefault="00555E11" w:rsidP="00D80602">
      <w:pPr>
        <w:rPr>
          <w:b/>
          <w:i/>
        </w:rPr>
      </w:pPr>
      <w:r w:rsidRPr="00555E11">
        <w:rPr>
          <w:b/>
          <w:i/>
        </w:rPr>
        <w:t>SD 1853</w:t>
      </w:r>
    </w:p>
    <w:p w:rsidR="008B1D4A" w:rsidRDefault="008B1D4A" w:rsidP="00D80602">
      <w:pPr>
        <w:rPr>
          <w:b/>
          <w:i/>
        </w:rPr>
      </w:pPr>
    </w:p>
    <w:p w:rsidR="007F55EC" w:rsidRPr="008B1D4A" w:rsidRDefault="00754744" w:rsidP="00D80602">
      <w:pPr>
        <w:rPr>
          <w:b/>
          <w:sz w:val="28"/>
          <w:szCs w:val="28"/>
        </w:rPr>
      </w:pPr>
      <w:r w:rsidRPr="008B1D4A">
        <w:rPr>
          <w:b/>
          <w:sz w:val="28"/>
          <w:szCs w:val="28"/>
        </w:rPr>
        <w:t>A 3</w:t>
      </w:r>
    </w:p>
    <w:p w:rsidR="00754744" w:rsidRPr="00754744" w:rsidRDefault="00754744" w:rsidP="00D80602">
      <w:pPr>
        <w:rPr>
          <w:b/>
          <w:sz w:val="28"/>
          <w:szCs w:val="28"/>
        </w:rPr>
      </w:pPr>
    </w:p>
    <w:p w:rsidR="007F55EC" w:rsidRPr="00754744" w:rsidRDefault="007F55EC" w:rsidP="007F55EC">
      <w:pPr>
        <w:rPr>
          <w:b/>
          <w:sz w:val="28"/>
          <w:szCs w:val="28"/>
        </w:rPr>
      </w:pPr>
      <w:r w:rsidRPr="00754744">
        <w:rPr>
          <w:rFonts w:cs="Times New Roman"/>
          <w:b/>
          <w:bCs/>
          <w:sz w:val="28"/>
          <w:szCs w:val="28"/>
        </w:rPr>
        <w:t>K Čl. I</w:t>
      </w:r>
    </w:p>
    <w:p w:rsidR="007F55EC" w:rsidRDefault="007F55EC" w:rsidP="007F55EC">
      <w:pPr>
        <w:rPr>
          <w:rFonts w:cs="Times New Roman"/>
          <w:bCs/>
        </w:rPr>
      </w:pPr>
    </w:p>
    <w:p w:rsidR="007F55EC" w:rsidRDefault="007F55EC" w:rsidP="007F55EC">
      <w:r>
        <w:rPr>
          <w:rFonts w:cs="Times New Roman"/>
          <w:bCs/>
        </w:rPr>
        <w:t>Za bod 1 se vkládá bod X, který zní:</w:t>
      </w:r>
    </w:p>
    <w:p w:rsidR="007F55EC" w:rsidRDefault="007F55EC" w:rsidP="007F55EC">
      <w:pPr>
        <w:rPr>
          <w:rFonts w:cs="Times New Roman"/>
          <w:bCs/>
        </w:rPr>
      </w:pPr>
    </w:p>
    <w:p w:rsidR="007F55EC" w:rsidRPr="007F55EC" w:rsidRDefault="007F55EC" w:rsidP="007F55EC">
      <w:r>
        <w:rPr>
          <w:rFonts w:cs="Times New Roman"/>
          <w:bCs/>
        </w:rPr>
        <w:t>„</w:t>
      </w:r>
      <w:r w:rsidRPr="007F55EC">
        <w:rPr>
          <w:rFonts w:cs="Times New Roman"/>
          <w:bCs/>
        </w:rPr>
        <w:t>X.</w:t>
      </w:r>
      <w:r w:rsidRPr="007F55EC">
        <w:rPr>
          <w:rFonts w:cs="Times New Roman"/>
          <w:bCs/>
        </w:rPr>
        <w:tab/>
        <w:t xml:space="preserve">V § 2 odst. 2 se na konci textu písmene g) </w:t>
      </w:r>
      <w:proofErr w:type="gramStart"/>
      <w:r w:rsidRPr="007F55EC">
        <w:rPr>
          <w:rFonts w:cs="Times New Roman"/>
          <w:bCs/>
        </w:rPr>
        <w:t>doplňují  slova</w:t>
      </w:r>
      <w:proofErr w:type="gramEnd"/>
      <w:r w:rsidRPr="007F55EC">
        <w:rPr>
          <w:rFonts w:cs="Times New Roman"/>
          <w:bCs/>
        </w:rPr>
        <w:t xml:space="preserve">: </w:t>
      </w:r>
      <w:r>
        <w:rPr>
          <w:rFonts w:cs="Times New Roman"/>
          <w:bCs/>
        </w:rPr>
        <w:t xml:space="preserve">„ </w:t>
      </w:r>
      <w:r w:rsidRPr="007F55EC">
        <w:rPr>
          <w:rFonts w:cs="Times New Roman"/>
          <w:bCs/>
        </w:rPr>
        <w:t>; homeopatické přípravky nepatří mezi léčiva vydávaná na lékařský předpis,</w:t>
      </w:r>
      <w:r>
        <w:rPr>
          <w:rFonts w:cs="Times New Roman"/>
          <w:bCs/>
        </w:rPr>
        <w:t>“</w:t>
      </w:r>
      <w:r w:rsidRPr="007F55EC">
        <w:rPr>
          <w:rFonts w:cs="Times New Roman"/>
          <w:bCs/>
        </w:rPr>
        <w:t>.</w:t>
      </w:r>
    </w:p>
    <w:p w:rsidR="00D80602" w:rsidRPr="007F55EC" w:rsidRDefault="00D80602" w:rsidP="00D80602"/>
    <w:p w:rsidR="00D80602" w:rsidRDefault="00D80602" w:rsidP="00D80602"/>
    <w:p w:rsidR="00D80602" w:rsidRDefault="00D80602" w:rsidP="00511F8C">
      <w:pPr>
        <w:pStyle w:val="PNposlanec"/>
      </w:pPr>
      <w:r>
        <w:t>Poslankyně Věra Adámková</w:t>
      </w:r>
    </w:p>
    <w:p w:rsidR="00D80602" w:rsidRPr="007F55EC" w:rsidRDefault="00D80602" w:rsidP="00D80602">
      <w:pPr>
        <w:rPr>
          <w:b/>
          <w:i/>
        </w:rPr>
      </w:pPr>
      <w:r w:rsidRPr="007F55EC">
        <w:rPr>
          <w:b/>
          <w:i/>
        </w:rPr>
        <w:t xml:space="preserve">SD </w:t>
      </w:r>
      <w:r w:rsidR="007F55EC" w:rsidRPr="007F55EC">
        <w:rPr>
          <w:b/>
          <w:i/>
        </w:rPr>
        <w:t>1875</w:t>
      </w:r>
    </w:p>
    <w:p w:rsidR="00D80602" w:rsidRDefault="00D80602" w:rsidP="00D80602"/>
    <w:p w:rsidR="00754744" w:rsidRDefault="00754744" w:rsidP="00D80602">
      <w:pPr>
        <w:rPr>
          <w:b/>
          <w:sz w:val="28"/>
          <w:szCs w:val="28"/>
        </w:rPr>
      </w:pPr>
      <w:r w:rsidRPr="00754744">
        <w:rPr>
          <w:b/>
          <w:sz w:val="28"/>
          <w:szCs w:val="28"/>
        </w:rPr>
        <w:t>K Čl. I</w:t>
      </w:r>
    </w:p>
    <w:p w:rsidR="00D9320F" w:rsidRPr="00754744" w:rsidRDefault="00D9320F" w:rsidP="00D80602">
      <w:pPr>
        <w:rPr>
          <w:b/>
          <w:sz w:val="28"/>
          <w:szCs w:val="28"/>
        </w:rPr>
      </w:pPr>
    </w:p>
    <w:p w:rsidR="007F55EC" w:rsidRDefault="007F55EC" w:rsidP="007F55EC">
      <w:pPr>
        <w:ind w:right="-142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1.</w:t>
      </w:r>
      <w:r>
        <w:rPr>
          <w:rFonts w:eastAsia="Calibri" w:cs="Times New Roman"/>
          <w:b/>
          <w:lang w:eastAsia="cs-CZ"/>
        </w:rPr>
        <w:t xml:space="preserve"> </w:t>
      </w:r>
      <w:r>
        <w:rPr>
          <w:rFonts w:eastAsia="Calibri" w:cs="Times New Roman"/>
          <w:lang w:eastAsia="cs-CZ"/>
        </w:rPr>
        <w:t xml:space="preserve"> V</w:t>
      </w:r>
      <w:r w:rsidR="00754744">
        <w:rPr>
          <w:rFonts w:eastAsia="Calibri" w:cs="Times New Roman"/>
          <w:lang w:eastAsia="cs-CZ"/>
        </w:rPr>
        <w:t xml:space="preserve"> b</w:t>
      </w:r>
      <w:r>
        <w:rPr>
          <w:rFonts w:eastAsia="Calibri" w:cs="Times New Roman"/>
          <w:lang w:eastAsia="cs-CZ"/>
        </w:rPr>
        <w:t>odu 32 v § 103 odst. 6 písm. j) bod 1 zní:</w:t>
      </w:r>
    </w:p>
    <w:p w:rsidR="007F55EC" w:rsidRDefault="007F55EC" w:rsidP="007F55EC">
      <w:pPr>
        <w:ind w:right="-142"/>
        <w:rPr>
          <w:rFonts w:eastAsia="Calibri" w:cs="Times New Roman"/>
          <w:lang w:eastAsia="cs-CZ"/>
        </w:rPr>
      </w:pPr>
    </w:p>
    <w:p w:rsidR="007F55EC" w:rsidRPr="00151E2A" w:rsidRDefault="007F55EC" w:rsidP="007F55EC">
      <w:pPr>
        <w:ind w:right="-142"/>
        <w:rPr>
          <w:rFonts w:cs="Times New Roman"/>
        </w:rPr>
      </w:pPr>
      <w:r>
        <w:rPr>
          <w:rFonts w:cs="Times New Roman"/>
        </w:rPr>
        <w:t>„1. neověří pravost jedinečného identifikátoru nebo neporušenost prostředku k ověření manipulace s obalem</w:t>
      </w:r>
      <w:r w:rsidRPr="00DE1DFA">
        <w:rPr>
          <w:rFonts w:cs="Times New Roman"/>
        </w:rPr>
        <w:t>,</w:t>
      </w:r>
      <w:r w:rsidRPr="00DE1DFA">
        <w:rPr>
          <w:rFonts w:eastAsia="Calibri" w:cs="Times New Roman"/>
          <w:lang w:eastAsia="cs-CZ"/>
        </w:rPr>
        <w:t xml:space="preserve"> nejde-li o poskytovatele zdravotních služeb oprávněného k výdeji léčivých přípravků</w:t>
      </w:r>
      <w:r w:rsidRPr="00DE1DFA">
        <w:rPr>
          <w:rFonts w:cs="Times New Roman"/>
        </w:rPr>
        <w:t>,</w:t>
      </w:r>
      <w:r>
        <w:rPr>
          <w:rFonts w:cs="Times New Roman"/>
        </w:rPr>
        <w:t>”.</w:t>
      </w:r>
    </w:p>
    <w:p w:rsidR="007F55EC" w:rsidRDefault="007F55EC" w:rsidP="007F55EC">
      <w:pPr>
        <w:ind w:right="-142"/>
        <w:rPr>
          <w:rFonts w:eastAsia="Calibri" w:cs="Times New Roman"/>
          <w:lang w:eastAsia="cs-CZ"/>
        </w:rPr>
      </w:pPr>
    </w:p>
    <w:p w:rsidR="007F55EC" w:rsidRDefault="007F55EC" w:rsidP="007F55EC">
      <w:pPr>
        <w:ind w:right="-142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2. V</w:t>
      </w:r>
      <w:r w:rsidR="00754744">
        <w:rPr>
          <w:rFonts w:eastAsia="Calibri" w:cs="Times New Roman"/>
          <w:lang w:eastAsia="cs-CZ"/>
        </w:rPr>
        <w:t xml:space="preserve"> bodu</w:t>
      </w:r>
      <w:r w:rsidRPr="00BC4B8F">
        <w:rPr>
          <w:rFonts w:eastAsia="Calibri" w:cs="Times New Roman"/>
          <w:lang w:eastAsia="cs-CZ"/>
        </w:rPr>
        <w:t xml:space="preserve"> 33 v § 103 odst. 17 písm. a) se na konci bodu 2 slovo „nebo“ zrušuje a doplňuje se bod 4, který zní:</w:t>
      </w:r>
    </w:p>
    <w:p w:rsidR="007F55EC" w:rsidRDefault="007F55EC" w:rsidP="007F55EC">
      <w:pPr>
        <w:ind w:right="-142"/>
        <w:rPr>
          <w:rFonts w:eastAsia="Calibri" w:cs="Times New Roman"/>
          <w:lang w:eastAsia="cs-CZ"/>
        </w:rPr>
      </w:pPr>
    </w:p>
    <w:p w:rsidR="007F55EC" w:rsidRPr="00754744" w:rsidRDefault="007F55EC" w:rsidP="00754744">
      <w:pPr>
        <w:ind w:right="-142" w:firstLine="709"/>
        <w:jc w:val="both"/>
        <w:rPr>
          <w:rFonts w:cs="Times New Roman"/>
        </w:rPr>
      </w:pPr>
      <w:r w:rsidRPr="00DF07ED">
        <w:rPr>
          <w:rFonts w:eastAsia="Calibri" w:cs="Times New Roman"/>
          <w:lang w:eastAsia="cs-CZ"/>
        </w:rPr>
        <w:t xml:space="preserve">„4. </w:t>
      </w:r>
      <w:r w:rsidRPr="00754744">
        <w:rPr>
          <w:rFonts w:cs="Times New Roman"/>
        </w:rPr>
        <w:t>vydá léčivý přípravek s jedinečným identifikátorem, který byl vyřazen, aniž jde o případy stanovené v čl. 12 nařízení o ochranných prvcích, kdy tak je oprávněn učinit, nebo“.</w:t>
      </w:r>
    </w:p>
    <w:p w:rsidR="007F55EC" w:rsidRPr="00754744" w:rsidRDefault="007F55EC" w:rsidP="007F55EC">
      <w:pPr>
        <w:ind w:right="-142"/>
        <w:rPr>
          <w:rFonts w:eastAsia="Calibri" w:cs="Times New Roman"/>
          <w:lang w:eastAsia="cs-CZ"/>
        </w:rPr>
      </w:pPr>
    </w:p>
    <w:p w:rsidR="007F55EC" w:rsidRDefault="007F55EC" w:rsidP="00754744">
      <w:pPr>
        <w:ind w:right="-142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3. </w:t>
      </w:r>
      <w:r w:rsidR="00754744">
        <w:rPr>
          <w:rFonts w:eastAsia="Calibri" w:cs="Times New Roman"/>
          <w:lang w:eastAsia="cs-CZ"/>
        </w:rPr>
        <w:t>B</w:t>
      </w:r>
      <w:r>
        <w:rPr>
          <w:rFonts w:eastAsia="Calibri" w:cs="Times New Roman"/>
          <w:lang w:eastAsia="cs-CZ"/>
        </w:rPr>
        <w:t>od 40 zní:</w:t>
      </w:r>
    </w:p>
    <w:p w:rsidR="007F55EC" w:rsidRDefault="007F55EC" w:rsidP="007F55EC">
      <w:pPr>
        <w:ind w:right="-142"/>
        <w:rPr>
          <w:rFonts w:eastAsia="Calibri" w:cs="Times New Roman"/>
          <w:lang w:eastAsia="cs-CZ"/>
        </w:rPr>
      </w:pPr>
    </w:p>
    <w:p w:rsidR="007F55EC" w:rsidRDefault="007F55EC" w:rsidP="007F55EC">
      <w:pPr>
        <w:ind w:right="-142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„40. </w:t>
      </w:r>
      <w:r w:rsidRPr="00C16D2D">
        <w:rPr>
          <w:rFonts w:eastAsia="Calibri" w:cs="Times New Roman"/>
          <w:lang w:eastAsia="cs-CZ"/>
        </w:rPr>
        <w:t xml:space="preserve">V § 107 odst. </w:t>
      </w:r>
      <w:r w:rsidRPr="00C41292">
        <w:rPr>
          <w:rFonts w:eastAsia="Calibri" w:cs="Times New Roman"/>
          <w:lang w:eastAsia="cs-CZ"/>
        </w:rPr>
        <w:t>1 písm. b) se za text „§ 103 odst. 12 písm. d),“ vkládá text „§ 103 odst. 17 písm. a) bodu 1 nebo 2 nebo písm. b),“ a za text „§ 104 odst. 7 písm. a),“ se vkládá text</w:t>
      </w:r>
      <w:r w:rsidRPr="00072E08">
        <w:rPr>
          <w:rFonts w:eastAsia="Calibri" w:cs="Times New Roman"/>
          <w:lang w:eastAsia="cs-CZ"/>
        </w:rPr>
        <w:t xml:space="preserve"> „§ 104 odst. 14 písm. b),</w:t>
      </w:r>
      <w:r w:rsidRPr="00C41292">
        <w:rPr>
          <w:rFonts w:eastAsia="Calibri" w:cs="Times New Roman"/>
          <w:lang w:eastAsia="cs-CZ"/>
        </w:rPr>
        <w:t>“.</w:t>
      </w:r>
      <w:r>
        <w:rPr>
          <w:rFonts w:eastAsia="Calibri" w:cs="Times New Roman"/>
          <w:lang w:eastAsia="cs-CZ"/>
        </w:rPr>
        <w:t>“.</w:t>
      </w:r>
    </w:p>
    <w:p w:rsidR="007F55EC" w:rsidRDefault="007F55EC" w:rsidP="007F55EC">
      <w:pPr>
        <w:ind w:right="-142"/>
        <w:rPr>
          <w:rFonts w:eastAsia="Calibri" w:cs="Times New Roman"/>
          <w:lang w:eastAsia="cs-CZ"/>
        </w:rPr>
      </w:pPr>
    </w:p>
    <w:p w:rsidR="007F55EC" w:rsidRDefault="007F55EC" w:rsidP="007F55EC">
      <w:pPr>
        <w:ind w:right="-142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4. </w:t>
      </w:r>
      <w:r w:rsidR="00754744">
        <w:rPr>
          <w:rFonts w:eastAsia="Calibri" w:cs="Times New Roman"/>
          <w:lang w:eastAsia="cs-CZ"/>
        </w:rPr>
        <w:t>B</w:t>
      </w:r>
      <w:r>
        <w:rPr>
          <w:rFonts w:eastAsia="Calibri" w:cs="Times New Roman"/>
          <w:lang w:eastAsia="cs-CZ"/>
        </w:rPr>
        <w:t>od 41 zní:</w:t>
      </w:r>
    </w:p>
    <w:p w:rsidR="007F55EC" w:rsidRDefault="007F55EC" w:rsidP="007F55EC">
      <w:pPr>
        <w:ind w:right="-142"/>
        <w:rPr>
          <w:rFonts w:eastAsia="Calibri" w:cs="Times New Roman"/>
          <w:lang w:eastAsia="cs-CZ"/>
        </w:rPr>
      </w:pPr>
    </w:p>
    <w:p w:rsidR="007F55EC" w:rsidRPr="00C41292" w:rsidRDefault="007F55EC" w:rsidP="007F55EC">
      <w:pPr>
        <w:ind w:right="-142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„41. </w:t>
      </w:r>
      <w:r w:rsidRPr="009758BA">
        <w:rPr>
          <w:rFonts w:eastAsia="Calibri" w:cs="Times New Roman"/>
          <w:lang w:eastAsia="cs-CZ"/>
        </w:rPr>
        <w:t>V § 107 odst. 1 písm. c) se za text „§ 103 odst. 6 písm. e),“ vkládají slova „§ 103 odst. 6 písm. j) bodu 3 nebo k)“ a za text „§ 103 odst. 14“ se vkládají slova „, § 103 odst. 15 písm. c), e), f), h), i) nebo k), § 103 odst. 16 písm. a) bodu 1, § 103 odst. 16 písm. c</w:t>
      </w:r>
      <w:r w:rsidRPr="00C41292">
        <w:rPr>
          <w:rFonts w:eastAsia="Calibri" w:cs="Times New Roman"/>
          <w:lang w:eastAsia="cs-CZ"/>
        </w:rPr>
        <w:t>), § 103 odst. 17 písm. a) bodu 3 nebo 4, § 103 odst. 18 písm. c), § 103 odst. 20 nebo 21,“.“.</w:t>
      </w:r>
    </w:p>
    <w:p w:rsidR="007F55EC" w:rsidRDefault="007F55EC" w:rsidP="007F55EC">
      <w:pPr>
        <w:ind w:right="-142"/>
        <w:rPr>
          <w:rFonts w:eastAsia="Calibri" w:cs="Times New Roman"/>
          <w:lang w:eastAsia="cs-CZ"/>
        </w:rPr>
      </w:pPr>
    </w:p>
    <w:p w:rsidR="007F55EC" w:rsidRDefault="007F55EC" w:rsidP="007F55EC">
      <w:pPr>
        <w:ind w:right="-142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5. V bodu 43 se v § 107 odst. 1 písm. d) slova „§ 103 odst. 17 písm. a) bodu 1 nebo 2, § 103 odst. 17 písm. b),“ zrušují.</w:t>
      </w:r>
    </w:p>
    <w:p w:rsidR="007F55EC" w:rsidRDefault="007F55EC" w:rsidP="007F55EC">
      <w:pPr>
        <w:ind w:right="-142"/>
        <w:rPr>
          <w:rFonts w:eastAsia="Calibri" w:cs="Times New Roman"/>
          <w:lang w:eastAsia="cs-CZ"/>
        </w:rPr>
      </w:pPr>
    </w:p>
    <w:p w:rsidR="007F55EC" w:rsidRDefault="007F55EC" w:rsidP="007F55EC">
      <w:pPr>
        <w:ind w:right="-142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6. V</w:t>
      </w:r>
      <w:r w:rsidR="00754744">
        <w:rPr>
          <w:rFonts w:eastAsia="Calibri" w:cs="Times New Roman"/>
          <w:lang w:eastAsia="cs-CZ"/>
        </w:rPr>
        <w:t xml:space="preserve"> </w:t>
      </w:r>
      <w:r>
        <w:rPr>
          <w:rFonts w:eastAsia="Calibri" w:cs="Times New Roman"/>
          <w:lang w:eastAsia="cs-CZ"/>
        </w:rPr>
        <w:t xml:space="preserve">bodu 45 se v § 107 odst. 1 písm. e) </w:t>
      </w:r>
      <w:proofErr w:type="gramStart"/>
      <w:r>
        <w:rPr>
          <w:rFonts w:eastAsia="Calibri" w:cs="Times New Roman"/>
          <w:lang w:eastAsia="cs-CZ"/>
        </w:rPr>
        <w:t>slova „ , § 103</w:t>
      </w:r>
      <w:proofErr w:type="gramEnd"/>
      <w:r>
        <w:rPr>
          <w:rFonts w:eastAsia="Calibri" w:cs="Times New Roman"/>
          <w:lang w:eastAsia="cs-CZ"/>
        </w:rPr>
        <w:t xml:space="preserve"> odst. 17 písm. a) bodu 3 nebo 4“ zrušují.</w:t>
      </w:r>
    </w:p>
    <w:p w:rsidR="007F55EC" w:rsidRDefault="007F55EC" w:rsidP="007F55EC">
      <w:pPr>
        <w:ind w:right="-142"/>
        <w:rPr>
          <w:rFonts w:eastAsia="Calibri" w:cs="Times New Roman"/>
          <w:lang w:eastAsia="cs-CZ"/>
        </w:rPr>
      </w:pPr>
    </w:p>
    <w:p w:rsidR="007F55EC" w:rsidRDefault="00754744" w:rsidP="007F55EC">
      <w:pPr>
        <w:ind w:right="-142"/>
        <w:rPr>
          <w:rFonts w:eastAsia="Calibri" w:cs="Times New Roman"/>
          <w:b/>
          <w:sz w:val="28"/>
          <w:szCs w:val="28"/>
          <w:lang w:eastAsia="cs-CZ"/>
        </w:rPr>
      </w:pPr>
      <w:r w:rsidRPr="00754744">
        <w:rPr>
          <w:rFonts w:eastAsia="Calibri" w:cs="Times New Roman"/>
          <w:b/>
          <w:sz w:val="28"/>
          <w:szCs w:val="28"/>
          <w:lang w:eastAsia="cs-CZ"/>
        </w:rPr>
        <w:lastRenderedPageBreak/>
        <w:t>K Čl. IV</w:t>
      </w:r>
    </w:p>
    <w:p w:rsidR="00D9320F" w:rsidRPr="00754744" w:rsidRDefault="00D9320F" w:rsidP="007F55EC">
      <w:pPr>
        <w:ind w:right="-142"/>
        <w:rPr>
          <w:rFonts w:eastAsia="Calibri" w:cs="Times New Roman"/>
          <w:b/>
          <w:sz w:val="28"/>
          <w:szCs w:val="28"/>
          <w:lang w:eastAsia="cs-CZ"/>
        </w:rPr>
      </w:pPr>
    </w:p>
    <w:p w:rsidR="007F55EC" w:rsidRPr="00F635FB" w:rsidRDefault="007F55EC" w:rsidP="007F55EC">
      <w:pPr>
        <w:ind w:right="-142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7</w:t>
      </w:r>
      <w:r w:rsidRPr="00F635FB">
        <w:rPr>
          <w:rFonts w:eastAsia="Calibri" w:cs="Times New Roman"/>
          <w:lang w:eastAsia="cs-CZ"/>
        </w:rPr>
        <w:t xml:space="preserve">. </w:t>
      </w:r>
      <w:r>
        <w:rPr>
          <w:rFonts w:eastAsia="Calibri" w:cs="Times New Roman"/>
          <w:lang w:eastAsia="cs-CZ"/>
        </w:rPr>
        <w:t xml:space="preserve">V části druhé čl. IV se za slova „s výjimkou ustanovení“ </w:t>
      </w:r>
      <w:r w:rsidRPr="00FD2D15">
        <w:rPr>
          <w:rFonts w:eastAsia="Calibri" w:cs="Times New Roman"/>
          <w:lang w:eastAsia="cs-CZ"/>
        </w:rPr>
        <w:t>vkládají slova „čl. I bodu 32, pokud jde o písmeno j) bod 1, a bodu 33, pokud jde o odstave</w:t>
      </w:r>
      <w:r>
        <w:rPr>
          <w:rFonts w:eastAsia="Calibri" w:cs="Times New Roman"/>
          <w:lang w:eastAsia="cs-CZ"/>
        </w:rPr>
        <w:t>c</w:t>
      </w:r>
      <w:r w:rsidRPr="00FD2D15">
        <w:rPr>
          <w:rFonts w:eastAsia="Calibri" w:cs="Times New Roman"/>
          <w:lang w:eastAsia="cs-CZ"/>
        </w:rPr>
        <w:t xml:space="preserve"> 16</w:t>
      </w:r>
      <w:r>
        <w:rPr>
          <w:rFonts w:eastAsia="Calibri" w:cs="Times New Roman"/>
          <w:lang w:eastAsia="cs-CZ"/>
        </w:rPr>
        <w:t xml:space="preserve"> písm. a) body 1 a 2 a písm. b)</w:t>
      </w:r>
      <w:r w:rsidRPr="00FD2D15">
        <w:rPr>
          <w:rFonts w:eastAsia="Calibri" w:cs="Times New Roman"/>
          <w:lang w:eastAsia="cs-CZ"/>
        </w:rPr>
        <w:t xml:space="preserve"> </w:t>
      </w:r>
      <w:r>
        <w:rPr>
          <w:rFonts w:eastAsia="Calibri" w:cs="Times New Roman"/>
          <w:lang w:eastAsia="cs-CZ"/>
        </w:rPr>
        <w:t xml:space="preserve">a odstavce </w:t>
      </w:r>
      <w:r w:rsidRPr="00FD2D15">
        <w:rPr>
          <w:rFonts w:eastAsia="Calibri" w:cs="Times New Roman"/>
          <w:lang w:eastAsia="cs-CZ"/>
        </w:rPr>
        <w:t>17, 18, 21, která nabývají účinnosti dnem 1. ledna 2020, a ustanovení“.</w:t>
      </w:r>
    </w:p>
    <w:p w:rsidR="007F55EC" w:rsidRDefault="007F55EC" w:rsidP="007F55EC">
      <w:pPr>
        <w:ind w:right="-142"/>
        <w:rPr>
          <w:rFonts w:eastAsia="Calibri" w:cs="Times New Roman"/>
          <w:lang w:eastAsia="cs-CZ"/>
        </w:rPr>
      </w:pPr>
    </w:p>
    <w:p w:rsidR="00D80602" w:rsidRDefault="00D80602" w:rsidP="007F55EC"/>
    <w:p w:rsidR="00D80602" w:rsidRDefault="00D80602" w:rsidP="00D80602"/>
    <w:p w:rsidR="00D80602" w:rsidRDefault="00D80602" w:rsidP="00511F8C">
      <w:pPr>
        <w:pStyle w:val="PNposlanec"/>
      </w:pPr>
      <w:r>
        <w:t>Poslanec David Kasal</w:t>
      </w:r>
    </w:p>
    <w:p w:rsidR="00D80602" w:rsidRDefault="00D80602" w:rsidP="00D80602">
      <w:pPr>
        <w:rPr>
          <w:b/>
          <w:i/>
        </w:rPr>
      </w:pPr>
      <w:r w:rsidRPr="004B344C">
        <w:rPr>
          <w:b/>
          <w:i/>
        </w:rPr>
        <w:t>SD</w:t>
      </w:r>
      <w:r w:rsidR="00250653" w:rsidRPr="004B344C">
        <w:rPr>
          <w:b/>
          <w:i/>
        </w:rPr>
        <w:t xml:space="preserve"> 1868</w:t>
      </w:r>
    </w:p>
    <w:p w:rsidR="000265C4" w:rsidRPr="004B344C" w:rsidRDefault="000265C4" w:rsidP="00D80602">
      <w:pPr>
        <w:rPr>
          <w:b/>
          <w:i/>
        </w:rPr>
      </w:pPr>
    </w:p>
    <w:p w:rsidR="00D80602" w:rsidRPr="003E046E" w:rsidRDefault="00250653" w:rsidP="00D80602">
      <w:pPr>
        <w:rPr>
          <w:b/>
          <w:sz w:val="28"/>
          <w:szCs w:val="28"/>
        </w:rPr>
      </w:pPr>
      <w:r w:rsidRPr="003E046E">
        <w:rPr>
          <w:b/>
          <w:sz w:val="28"/>
          <w:szCs w:val="28"/>
        </w:rPr>
        <w:t xml:space="preserve"> K </w:t>
      </w:r>
      <w:proofErr w:type="spellStart"/>
      <w:r w:rsidRPr="003E046E">
        <w:rPr>
          <w:b/>
          <w:sz w:val="28"/>
          <w:szCs w:val="28"/>
        </w:rPr>
        <w:t>Čl</w:t>
      </w:r>
      <w:proofErr w:type="spellEnd"/>
      <w:r w:rsidRPr="003E046E">
        <w:rPr>
          <w:b/>
          <w:sz w:val="28"/>
          <w:szCs w:val="28"/>
        </w:rPr>
        <w:t xml:space="preserve"> I </w:t>
      </w:r>
    </w:p>
    <w:p w:rsidR="00250653" w:rsidRDefault="00250653" w:rsidP="00D80602"/>
    <w:p w:rsidR="00250653" w:rsidRPr="00250653" w:rsidRDefault="00250653" w:rsidP="00250653">
      <w:pPr>
        <w:pStyle w:val="Odstavecseseznamem"/>
        <w:numPr>
          <w:ilvl w:val="0"/>
          <w:numId w:val="4"/>
        </w:numPr>
        <w:spacing w:line="360" w:lineRule="auto"/>
        <w:ind w:hanging="720"/>
        <w:rPr>
          <w:rFonts w:cs="Times New Roman"/>
          <w:bCs/>
          <w:color w:val="000000"/>
        </w:rPr>
      </w:pPr>
      <w:r>
        <w:rPr>
          <w:rFonts w:cs="Times New Roman"/>
          <w:bCs/>
          <w:color w:val="000000"/>
        </w:rPr>
        <w:t>B</w:t>
      </w:r>
      <w:r w:rsidRPr="00250653">
        <w:rPr>
          <w:rFonts w:cs="Times New Roman"/>
          <w:bCs/>
          <w:color w:val="000000"/>
        </w:rPr>
        <w:t>od 23 se zrušuje.</w:t>
      </w:r>
    </w:p>
    <w:p w:rsidR="00250653" w:rsidRPr="00856ADD" w:rsidRDefault="00250653" w:rsidP="00754744">
      <w:pPr>
        <w:tabs>
          <w:tab w:val="num" w:pos="426"/>
        </w:tabs>
        <w:jc w:val="both"/>
        <w:rPr>
          <w:rFonts w:cs="Times New Roman"/>
          <w:bCs/>
          <w:color w:val="000000"/>
        </w:rPr>
      </w:pPr>
    </w:p>
    <w:p w:rsidR="00250653" w:rsidRDefault="00250653" w:rsidP="00250653">
      <w:pPr>
        <w:widowControl/>
        <w:numPr>
          <w:ilvl w:val="0"/>
          <w:numId w:val="4"/>
        </w:numPr>
        <w:suppressAutoHyphens w:val="0"/>
        <w:spacing w:line="360" w:lineRule="auto"/>
        <w:ind w:hanging="720"/>
        <w:jc w:val="both"/>
        <w:rPr>
          <w:rFonts w:cs="Times New Roman"/>
          <w:bCs/>
          <w:color w:val="000000"/>
        </w:rPr>
      </w:pPr>
      <w:r>
        <w:rPr>
          <w:rFonts w:cs="Times New Roman"/>
          <w:bCs/>
          <w:color w:val="000000"/>
        </w:rPr>
        <w:t>B</w:t>
      </w:r>
      <w:r w:rsidRPr="00856ADD">
        <w:rPr>
          <w:rFonts w:cs="Times New Roman"/>
          <w:bCs/>
          <w:color w:val="000000"/>
        </w:rPr>
        <w:t xml:space="preserve">od 24 zní: </w:t>
      </w:r>
    </w:p>
    <w:p w:rsidR="00250653" w:rsidRDefault="00250653" w:rsidP="00250653">
      <w:pPr>
        <w:pStyle w:val="Odstavecseseznamem"/>
        <w:rPr>
          <w:rFonts w:cs="Times New Roman"/>
          <w:bCs/>
          <w:color w:val="000000"/>
        </w:rPr>
      </w:pPr>
    </w:p>
    <w:p w:rsidR="00250653" w:rsidRPr="00856ADD" w:rsidRDefault="00250653" w:rsidP="00250653">
      <w:pPr>
        <w:widowControl/>
        <w:suppressAutoHyphens w:val="0"/>
        <w:spacing w:line="360" w:lineRule="auto"/>
        <w:jc w:val="both"/>
        <w:rPr>
          <w:rFonts w:cs="Times New Roman"/>
          <w:bCs/>
          <w:color w:val="000000"/>
        </w:rPr>
      </w:pPr>
      <w:r>
        <w:rPr>
          <w:rFonts w:cs="Times New Roman"/>
          <w:bCs/>
          <w:color w:val="000000"/>
        </w:rPr>
        <w:t xml:space="preserve">„24. </w:t>
      </w:r>
      <w:r w:rsidRPr="00856ADD">
        <w:rPr>
          <w:rFonts w:cs="Times New Roman"/>
          <w:bCs/>
          <w:color w:val="000000"/>
        </w:rPr>
        <w:t>V § 77 se na konci odstavce 1 tečka nahrazuje čárkou a doplňuje se písmeno r), které zní: „r) ověřit ochranné prvky a provést vyřazení jedinečného identifikátoru postupem podle nařízení o ochranných prvcích před tím, než léčivý přípravek dodá</w:t>
      </w:r>
    </w:p>
    <w:p w:rsidR="00250653" w:rsidRPr="00856ADD" w:rsidRDefault="00250653" w:rsidP="00250653">
      <w:pPr>
        <w:widowControl/>
        <w:numPr>
          <w:ilvl w:val="0"/>
          <w:numId w:val="3"/>
        </w:numPr>
        <w:spacing w:line="360" w:lineRule="auto"/>
        <w:ind w:left="567" w:hanging="283"/>
        <w:jc w:val="both"/>
        <w:rPr>
          <w:rFonts w:cs="Times New Roman"/>
          <w:bCs/>
          <w:color w:val="000000"/>
        </w:rPr>
      </w:pPr>
      <w:r w:rsidRPr="00856ADD">
        <w:rPr>
          <w:rFonts w:cs="Times New Roman"/>
          <w:bCs/>
          <w:color w:val="000000"/>
        </w:rPr>
        <w:t>veterinárním lékařům,</w:t>
      </w:r>
    </w:p>
    <w:p w:rsidR="00250653" w:rsidRPr="00856ADD" w:rsidRDefault="00250653" w:rsidP="00250653">
      <w:pPr>
        <w:widowControl/>
        <w:numPr>
          <w:ilvl w:val="0"/>
          <w:numId w:val="3"/>
        </w:numPr>
        <w:spacing w:line="360" w:lineRule="auto"/>
        <w:ind w:left="567" w:hanging="283"/>
        <w:jc w:val="both"/>
        <w:rPr>
          <w:rFonts w:cs="Times New Roman"/>
          <w:bCs/>
          <w:color w:val="000000"/>
        </w:rPr>
      </w:pPr>
      <w:r w:rsidRPr="00856ADD">
        <w:rPr>
          <w:rFonts w:cs="Times New Roman"/>
          <w:bCs/>
          <w:color w:val="000000"/>
        </w:rPr>
        <w:t>Armádě České republiky k zabezpečení ozbrojených sil České republiky léčivy a k udržování skladových zásob léčivých přípravků pro účely zabezpečení ozbrojených sil České republiky léčivy při jejich vysílání do zahraničí podle § 111a, nebo</w:t>
      </w:r>
    </w:p>
    <w:p w:rsidR="00250653" w:rsidRPr="00856ADD" w:rsidRDefault="00250653" w:rsidP="00250653">
      <w:pPr>
        <w:widowControl/>
        <w:numPr>
          <w:ilvl w:val="0"/>
          <w:numId w:val="3"/>
        </w:numPr>
        <w:spacing w:line="360" w:lineRule="auto"/>
        <w:ind w:left="567" w:hanging="283"/>
        <w:jc w:val="both"/>
        <w:rPr>
          <w:rFonts w:cs="Times New Roman"/>
          <w:bCs/>
          <w:color w:val="000000"/>
        </w:rPr>
      </w:pPr>
      <w:r w:rsidRPr="00856ADD">
        <w:rPr>
          <w:rFonts w:cs="Times New Roman"/>
          <w:bCs/>
          <w:color w:val="000000"/>
        </w:rPr>
        <w:t>poskytovatelům zdravotních služeb, kterým jsou podle § 77 odst. 1 písm. c) bodu 12 dodávány imunologické léčiv</w:t>
      </w:r>
      <w:r>
        <w:rPr>
          <w:rFonts w:cs="Times New Roman"/>
          <w:bCs/>
          <w:color w:val="000000"/>
        </w:rPr>
        <w:t xml:space="preserve">é přípravky pro účely </w:t>
      </w:r>
      <w:proofErr w:type="gramStart"/>
      <w:r>
        <w:rPr>
          <w:rFonts w:cs="Times New Roman"/>
          <w:bCs/>
          <w:color w:val="000000"/>
        </w:rPr>
        <w:t xml:space="preserve">očkování </w:t>
      </w:r>
      <w:r w:rsidRPr="00856ADD">
        <w:rPr>
          <w:rFonts w:cs="Times New Roman"/>
          <w:bCs/>
          <w:color w:val="000000"/>
        </w:rPr>
        <w:t>.“</w:t>
      </w:r>
      <w:proofErr w:type="gramEnd"/>
    </w:p>
    <w:p w:rsidR="00D80602" w:rsidRDefault="00D80602" w:rsidP="00D80602"/>
    <w:p w:rsidR="00D80602" w:rsidRDefault="00D80602" w:rsidP="00D80602"/>
    <w:p w:rsidR="00D80602" w:rsidRDefault="00D80602" w:rsidP="00511F8C">
      <w:pPr>
        <w:pStyle w:val="PNposlanec"/>
      </w:pPr>
      <w:r>
        <w:t>Poslankyně Jana Pastuchová</w:t>
      </w:r>
    </w:p>
    <w:p w:rsidR="00D80602" w:rsidRPr="004B344C" w:rsidRDefault="00D80602" w:rsidP="00D80602">
      <w:pPr>
        <w:rPr>
          <w:b/>
          <w:i/>
        </w:rPr>
      </w:pPr>
      <w:r w:rsidRPr="004B344C">
        <w:rPr>
          <w:b/>
          <w:i/>
        </w:rPr>
        <w:t>SD</w:t>
      </w:r>
      <w:r w:rsidR="00250653" w:rsidRPr="004B344C">
        <w:rPr>
          <w:b/>
          <w:i/>
        </w:rPr>
        <w:t xml:space="preserve"> 1862</w:t>
      </w:r>
    </w:p>
    <w:p w:rsidR="00D80602" w:rsidRDefault="00D80602" w:rsidP="00D80602">
      <w:pPr>
        <w:rPr>
          <w:b/>
        </w:rPr>
      </w:pPr>
    </w:p>
    <w:p w:rsidR="00754744" w:rsidRDefault="00754744" w:rsidP="00D80602">
      <w:pPr>
        <w:rPr>
          <w:b/>
          <w:sz w:val="28"/>
          <w:szCs w:val="28"/>
        </w:rPr>
      </w:pPr>
      <w:r w:rsidRPr="00754744">
        <w:rPr>
          <w:b/>
          <w:sz w:val="28"/>
          <w:szCs w:val="28"/>
        </w:rPr>
        <w:t xml:space="preserve">D 1 </w:t>
      </w:r>
    </w:p>
    <w:p w:rsidR="00754744" w:rsidRDefault="00754744" w:rsidP="00D80602">
      <w:pPr>
        <w:rPr>
          <w:b/>
          <w:sz w:val="28"/>
          <w:szCs w:val="28"/>
        </w:rPr>
      </w:pPr>
    </w:p>
    <w:p w:rsidR="00754744" w:rsidRDefault="00754744" w:rsidP="00D80602">
      <w:pPr>
        <w:rPr>
          <w:b/>
          <w:sz w:val="28"/>
          <w:szCs w:val="28"/>
        </w:rPr>
      </w:pPr>
      <w:r>
        <w:rPr>
          <w:b/>
          <w:sz w:val="28"/>
          <w:szCs w:val="28"/>
        </w:rPr>
        <w:t>K Čl. I</w:t>
      </w:r>
    </w:p>
    <w:p w:rsidR="00D9320F" w:rsidRPr="00754744" w:rsidRDefault="00D9320F" w:rsidP="00D80602">
      <w:pPr>
        <w:rPr>
          <w:b/>
          <w:sz w:val="28"/>
          <w:szCs w:val="28"/>
        </w:rPr>
      </w:pPr>
    </w:p>
    <w:p w:rsidR="00250653" w:rsidRDefault="00754744" w:rsidP="00250653">
      <w:pPr>
        <w:pStyle w:val="Textbody"/>
        <w:jc w:val="both"/>
      </w:pPr>
      <w:r>
        <w:t>Z</w:t>
      </w:r>
      <w:r w:rsidR="00250653">
        <w:t xml:space="preserve">a bod 7 </w:t>
      </w:r>
      <w:r>
        <w:t xml:space="preserve">se </w:t>
      </w:r>
      <w:r w:rsidR="00250653">
        <w:t xml:space="preserve">vkládá nový bod </w:t>
      </w:r>
      <w:r>
        <w:t>X</w:t>
      </w:r>
      <w:r w:rsidR="00250653">
        <w:t>, který zní:</w:t>
      </w:r>
    </w:p>
    <w:p w:rsidR="00250653" w:rsidRPr="00C51C75" w:rsidRDefault="00250653" w:rsidP="00250653">
      <w:pPr>
        <w:ind w:left="284"/>
        <w:jc w:val="both"/>
        <w:rPr>
          <w:rFonts w:cs="Times New Roman"/>
        </w:rPr>
      </w:pPr>
      <w:r w:rsidRPr="00BD428E">
        <w:rPr>
          <w:rFonts w:cs="Times New Roman"/>
        </w:rPr>
        <w:t>„</w:t>
      </w:r>
      <w:r w:rsidR="00754744">
        <w:rPr>
          <w:rFonts w:cs="Times New Roman"/>
        </w:rPr>
        <w:t>X</w:t>
      </w:r>
      <w:r w:rsidRPr="00BD428E">
        <w:rPr>
          <w:rFonts w:cs="Times New Roman"/>
        </w:rPr>
        <w:t>. V § 13 odst. 3 se na začátek textu písmene p) vkládají slova „provádí</w:t>
      </w:r>
      <w:r w:rsidRPr="00C51C75">
        <w:rPr>
          <w:rFonts w:cs="Times New Roman"/>
        </w:rPr>
        <w:t xml:space="preserve"> vzdělávací činnost v oblastech týkajících léčiv zejména formou odborných přednášek a“.“.</w:t>
      </w:r>
    </w:p>
    <w:p w:rsidR="00250653" w:rsidRDefault="00250653" w:rsidP="00250653">
      <w:pPr>
        <w:pStyle w:val="Textbody"/>
        <w:spacing w:after="0"/>
        <w:ind w:left="708"/>
        <w:jc w:val="both"/>
      </w:pPr>
    </w:p>
    <w:p w:rsidR="00D80602" w:rsidRDefault="00754744" w:rsidP="00D80602">
      <w:pPr>
        <w:rPr>
          <w:b/>
          <w:sz w:val="28"/>
          <w:szCs w:val="28"/>
        </w:rPr>
      </w:pPr>
      <w:r w:rsidRPr="00754744">
        <w:rPr>
          <w:b/>
          <w:sz w:val="28"/>
          <w:szCs w:val="28"/>
        </w:rPr>
        <w:t xml:space="preserve">D 2 </w:t>
      </w:r>
    </w:p>
    <w:p w:rsidR="00754744" w:rsidRPr="00754744" w:rsidRDefault="00754744" w:rsidP="00D80602">
      <w:pPr>
        <w:rPr>
          <w:b/>
          <w:sz w:val="28"/>
          <w:szCs w:val="28"/>
        </w:rPr>
      </w:pPr>
    </w:p>
    <w:p w:rsidR="00250653" w:rsidRDefault="00A90376" w:rsidP="00250653">
      <w:pPr>
        <w:pStyle w:val="Textbody"/>
        <w:jc w:val="both"/>
      </w:pPr>
      <w:r>
        <w:t>B</w:t>
      </w:r>
      <w:r w:rsidR="00250653">
        <w:t xml:space="preserve">od 15 </w:t>
      </w:r>
      <w:r>
        <w:t>zní:</w:t>
      </w:r>
    </w:p>
    <w:p w:rsidR="00250653" w:rsidRPr="00A90376" w:rsidRDefault="00250653" w:rsidP="00250653">
      <w:pPr>
        <w:ind w:left="284"/>
        <w:jc w:val="both"/>
        <w:rPr>
          <w:rFonts w:cs="Times New Roman"/>
        </w:rPr>
      </w:pPr>
      <w:r w:rsidRPr="00A90376">
        <w:rPr>
          <w:rFonts w:cs="Times New Roman"/>
        </w:rPr>
        <w:lastRenderedPageBreak/>
        <w:t xml:space="preserve">„15. V § 37 odstavec 8 zní: </w:t>
      </w:r>
    </w:p>
    <w:p w:rsidR="00250653" w:rsidRPr="00A90376" w:rsidRDefault="00250653" w:rsidP="00250653">
      <w:pPr>
        <w:ind w:left="284"/>
        <w:jc w:val="both"/>
        <w:rPr>
          <w:rFonts w:cs="Times New Roman"/>
        </w:rPr>
      </w:pPr>
    </w:p>
    <w:p w:rsidR="00250653" w:rsidRPr="00A90376" w:rsidRDefault="00250653" w:rsidP="00250653">
      <w:pPr>
        <w:ind w:left="284"/>
        <w:jc w:val="both"/>
        <w:rPr>
          <w:rFonts w:cs="Times New Roman"/>
          <w:iCs/>
          <w:color w:val="FF0000"/>
        </w:rPr>
      </w:pPr>
      <w:r w:rsidRPr="00A90376">
        <w:rPr>
          <w:rFonts w:cs="Times New Roman"/>
        </w:rPr>
        <w:t>„(8) Ochrannými prvky podle odstavce 7 musí být opatřeny humánní léčivé přípravky vydávané pouze na lékařský předpis nebo na lékařský předpis s omezením, které nejsou uvedeny na seznamu léčivých přípravků, které nesmí být opatřeny ochrannými prvky, stanovené přílohou I nařízení o ochranných prvcích. Ochrannými prvky podle odstavce 7 nesmějí být opatřeny humánní léčivé přípravky, které lze vydávat bez lékařského předpisu a které nejsou uvedeny na seznamu uvádějícím léčivé přípravky, které musí být opatřeny ochrannými prvky, stanovené v příloze II nařízení o ochranných prvcích. Technické řešení zajišťující celistvost léčivého přípravku, kterým držitel rozhodnutí o registraci opatří vnější obal léčivého přípravku, jehož výdej není vázán na lékařský předpis a není uveden v příloze II nařízení o ochranných prvcích, se nepovažuje za ochranný prvek podle nařízení o ochranných prvcích.“.“.</w:t>
      </w:r>
    </w:p>
    <w:p w:rsidR="00D80602" w:rsidRDefault="00D80602" w:rsidP="00D80602"/>
    <w:p w:rsidR="00250653" w:rsidRDefault="00250653" w:rsidP="00D80602"/>
    <w:p w:rsidR="00D80602" w:rsidRPr="004B344C" w:rsidRDefault="00250653" w:rsidP="00D80602">
      <w:pPr>
        <w:rPr>
          <w:b/>
          <w:i/>
        </w:rPr>
      </w:pPr>
      <w:r w:rsidRPr="004B344C">
        <w:rPr>
          <w:b/>
          <w:i/>
        </w:rPr>
        <w:t>SD 1863</w:t>
      </w:r>
    </w:p>
    <w:p w:rsidR="000C6893" w:rsidRDefault="000C6893"/>
    <w:p w:rsidR="00A90376" w:rsidRPr="00A90376" w:rsidRDefault="00A90376">
      <w:pPr>
        <w:rPr>
          <w:b/>
          <w:sz w:val="28"/>
          <w:szCs w:val="28"/>
        </w:rPr>
      </w:pPr>
      <w:r w:rsidRPr="00A90376">
        <w:rPr>
          <w:b/>
          <w:sz w:val="28"/>
          <w:szCs w:val="28"/>
        </w:rPr>
        <w:t>D 3</w:t>
      </w:r>
    </w:p>
    <w:p w:rsidR="00A90376" w:rsidRDefault="00A90376"/>
    <w:p w:rsidR="00250653" w:rsidRDefault="00A90376" w:rsidP="00250653">
      <w:pPr>
        <w:pStyle w:val="Textbody"/>
        <w:jc w:val="both"/>
      </w:pPr>
      <w:r>
        <w:t>B</w:t>
      </w:r>
      <w:r w:rsidR="00250653">
        <w:t xml:space="preserve">od 15 </w:t>
      </w:r>
      <w:r>
        <w:t>zní:</w:t>
      </w:r>
    </w:p>
    <w:p w:rsidR="00250653" w:rsidRPr="00A90376" w:rsidRDefault="00250653" w:rsidP="00250653">
      <w:pPr>
        <w:ind w:left="284"/>
        <w:jc w:val="both"/>
        <w:rPr>
          <w:rFonts w:cs="Times New Roman"/>
        </w:rPr>
      </w:pPr>
      <w:r w:rsidRPr="00A90376">
        <w:rPr>
          <w:rFonts w:cs="Times New Roman"/>
        </w:rPr>
        <w:t xml:space="preserve">„15. V § 37 odstavec 8 zní: </w:t>
      </w:r>
    </w:p>
    <w:p w:rsidR="00250653" w:rsidRPr="00A90376" w:rsidRDefault="00250653" w:rsidP="00250653">
      <w:pPr>
        <w:ind w:left="284"/>
        <w:jc w:val="both"/>
        <w:rPr>
          <w:rFonts w:cs="Times New Roman"/>
        </w:rPr>
      </w:pPr>
    </w:p>
    <w:p w:rsidR="00250653" w:rsidRPr="00A90376" w:rsidRDefault="00250653" w:rsidP="00250653">
      <w:pPr>
        <w:ind w:left="284"/>
        <w:jc w:val="both"/>
        <w:rPr>
          <w:rFonts w:cs="Times New Roman"/>
          <w:iCs/>
          <w:color w:val="FF0000"/>
        </w:rPr>
      </w:pPr>
      <w:r w:rsidRPr="00A90376">
        <w:rPr>
          <w:rFonts w:cs="Times New Roman"/>
        </w:rPr>
        <w:t>„(8) Ochrannými prvky podle odstavce 7 musí být opatřeny humánní léčivé přípravky vydávané pouze na lékařský předpis nebo na lékařský předpis s omezením, které nejsou uvedeny na seznamu léčivých přípravků, které nesmí být opatřeny ochrannými prvky, stanovené přílohou I nařízení o ochranných prvcích. Ochrannými prvky podle odstavce 7 nesmějí být opatřeny humánní léčivé přípravky, které lze vydávat bez lékařského předpisu a které nejsou uvedeny na seznamu uvádějícím léčivé přípravky, které musí být opatřeny ochrannými prvky, stanovené v příloze II nařízení o ochranných prvcích. Technické řešení zajišťující celistvost léčivého přípravku, kterým držitel rozhodnutí o registraci opatří vnější obal léčivého přípravku, jehož výdej není vázán na lékařský předpis a není uveden v příloze II nařízení o ochranných prvcích, se nepovažuje za ochranný prvek podle nařízení o ochranných prvcích.“.“.</w:t>
      </w:r>
    </w:p>
    <w:p w:rsidR="000C6893" w:rsidRDefault="000C6893"/>
    <w:p w:rsidR="000C6893" w:rsidRDefault="000C6893"/>
    <w:p w:rsidR="00A90376" w:rsidRDefault="00A90376">
      <w:pPr>
        <w:rPr>
          <w:i/>
        </w:rPr>
      </w:pPr>
      <w:r>
        <w:rPr>
          <w:i/>
        </w:rPr>
        <w:t>Poznámka legislativního odboru:</w:t>
      </w:r>
    </w:p>
    <w:p w:rsidR="00A90376" w:rsidRPr="00A90376" w:rsidRDefault="00A90376">
      <w:pPr>
        <w:rPr>
          <w:i/>
        </w:rPr>
      </w:pPr>
      <w:r>
        <w:rPr>
          <w:i/>
        </w:rPr>
        <w:t xml:space="preserve">Pozměňující návrh D 3 je shodný s pozměňujícím návrhem D 2. </w:t>
      </w:r>
    </w:p>
    <w:p w:rsidR="00A90376" w:rsidRDefault="00A90376"/>
    <w:p w:rsidR="00D9320F" w:rsidRDefault="00D9320F"/>
    <w:p w:rsidR="000C6893" w:rsidRPr="004B344C" w:rsidRDefault="00250653">
      <w:pPr>
        <w:rPr>
          <w:b/>
          <w:i/>
        </w:rPr>
      </w:pPr>
      <w:r w:rsidRPr="004B344C">
        <w:rPr>
          <w:b/>
          <w:i/>
        </w:rPr>
        <w:t>SD 1876</w:t>
      </w:r>
    </w:p>
    <w:p w:rsidR="000C6893" w:rsidRDefault="000C6893"/>
    <w:p w:rsidR="00A90376" w:rsidRPr="00A90376" w:rsidRDefault="00A90376">
      <w:pPr>
        <w:rPr>
          <w:b/>
          <w:sz w:val="28"/>
          <w:szCs w:val="28"/>
        </w:rPr>
      </w:pPr>
      <w:r w:rsidRPr="00A90376">
        <w:rPr>
          <w:b/>
          <w:sz w:val="28"/>
          <w:szCs w:val="28"/>
        </w:rPr>
        <w:t>D 4</w:t>
      </w:r>
    </w:p>
    <w:p w:rsidR="00A90376" w:rsidRPr="00A90376" w:rsidRDefault="00A90376">
      <w:pPr>
        <w:rPr>
          <w:b/>
          <w:sz w:val="28"/>
          <w:szCs w:val="28"/>
        </w:rPr>
      </w:pPr>
    </w:p>
    <w:p w:rsidR="00A90376" w:rsidRPr="00A90376" w:rsidRDefault="00A90376">
      <w:pPr>
        <w:rPr>
          <w:b/>
          <w:sz w:val="28"/>
          <w:szCs w:val="28"/>
        </w:rPr>
      </w:pPr>
      <w:r w:rsidRPr="00A90376">
        <w:rPr>
          <w:b/>
          <w:sz w:val="28"/>
          <w:szCs w:val="28"/>
        </w:rPr>
        <w:t>K Čl. I</w:t>
      </w:r>
    </w:p>
    <w:p w:rsidR="00A90376" w:rsidRDefault="00A90376"/>
    <w:p w:rsidR="00321084" w:rsidRDefault="00A90376" w:rsidP="00321084">
      <w:pPr>
        <w:pStyle w:val="Odstavecseseznamem"/>
        <w:widowControl/>
        <w:numPr>
          <w:ilvl w:val="0"/>
          <w:numId w:val="5"/>
        </w:numPr>
        <w:suppressAutoHyphens w:val="0"/>
        <w:jc w:val="both"/>
        <w:rPr>
          <w:szCs w:val="24"/>
        </w:rPr>
      </w:pPr>
      <w:r>
        <w:rPr>
          <w:szCs w:val="24"/>
        </w:rPr>
        <w:t xml:space="preserve">Za </w:t>
      </w:r>
      <w:r w:rsidR="00321084" w:rsidRPr="00743A77">
        <w:rPr>
          <w:szCs w:val="24"/>
        </w:rPr>
        <w:t>bod 3 vklád</w:t>
      </w:r>
      <w:r w:rsidR="00321084">
        <w:rPr>
          <w:szCs w:val="24"/>
        </w:rPr>
        <w:t>ají</w:t>
      </w:r>
      <w:r w:rsidR="00321084" w:rsidRPr="00743A77">
        <w:rPr>
          <w:szCs w:val="24"/>
        </w:rPr>
        <w:t xml:space="preserve"> nov</w:t>
      </w:r>
      <w:r w:rsidR="00321084">
        <w:rPr>
          <w:szCs w:val="24"/>
        </w:rPr>
        <w:t>é</w:t>
      </w:r>
      <w:r w:rsidR="00321084" w:rsidRPr="00743A77">
        <w:rPr>
          <w:szCs w:val="24"/>
        </w:rPr>
        <w:t xml:space="preserve"> </w:t>
      </w:r>
      <w:r>
        <w:rPr>
          <w:szCs w:val="24"/>
        </w:rPr>
        <w:t>body X1</w:t>
      </w:r>
      <w:r w:rsidR="00321084">
        <w:rPr>
          <w:szCs w:val="24"/>
        </w:rPr>
        <w:t xml:space="preserve"> a </w:t>
      </w:r>
      <w:r>
        <w:rPr>
          <w:szCs w:val="24"/>
        </w:rPr>
        <w:t>X2</w:t>
      </w:r>
      <w:r w:rsidR="00321084" w:rsidRPr="00743A77">
        <w:rPr>
          <w:szCs w:val="24"/>
        </w:rPr>
        <w:t>, kter</w:t>
      </w:r>
      <w:r w:rsidR="00321084">
        <w:rPr>
          <w:szCs w:val="24"/>
        </w:rPr>
        <w:t>é</w:t>
      </w:r>
      <w:r w:rsidR="00321084" w:rsidRPr="00743A77">
        <w:rPr>
          <w:szCs w:val="24"/>
        </w:rPr>
        <w:t xml:space="preserve"> zn</w:t>
      </w:r>
      <w:r w:rsidR="00321084">
        <w:rPr>
          <w:szCs w:val="24"/>
        </w:rPr>
        <w:t>ěj</w:t>
      </w:r>
      <w:r w:rsidR="00321084" w:rsidRPr="00743A77">
        <w:rPr>
          <w:szCs w:val="24"/>
        </w:rPr>
        <w:t>í:</w:t>
      </w:r>
    </w:p>
    <w:p w:rsidR="00321084" w:rsidRDefault="00321084" w:rsidP="00321084">
      <w:pPr>
        <w:pStyle w:val="Odstavecseseznamem"/>
        <w:jc w:val="both"/>
        <w:rPr>
          <w:szCs w:val="24"/>
        </w:rPr>
      </w:pPr>
    </w:p>
    <w:p w:rsidR="00321084" w:rsidRDefault="00321084" w:rsidP="00321084">
      <w:pPr>
        <w:pStyle w:val="Odstavecseseznamem"/>
        <w:jc w:val="both"/>
        <w:rPr>
          <w:szCs w:val="24"/>
        </w:rPr>
      </w:pPr>
      <w:r>
        <w:rPr>
          <w:szCs w:val="24"/>
        </w:rPr>
        <w:t>„</w:t>
      </w:r>
      <w:r w:rsidR="00A90376">
        <w:rPr>
          <w:szCs w:val="24"/>
        </w:rPr>
        <w:t>X1</w:t>
      </w:r>
      <w:r>
        <w:rPr>
          <w:szCs w:val="24"/>
        </w:rPr>
        <w:t>. V § 8 se doplňuje nový odstavec 9, který včetně poznámky pod čarou č. 106 zní:</w:t>
      </w:r>
    </w:p>
    <w:p w:rsidR="00321084" w:rsidRDefault="00321084" w:rsidP="00321084">
      <w:pPr>
        <w:pStyle w:val="Odstavecseseznamem"/>
        <w:jc w:val="both"/>
        <w:rPr>
          <w:szCs w:val="24"/>
        </w:rPr>
      </w:pPr>
    </w:p>
    <w:p w:rsidR="00321084" w:rsidRPr="00743A77" w:rsidRDefault="00321084" w:rsidP="00321084">
      <w:pPr>
        <w:pStyle w:val="Odstavecseseznamem"/>
        <w:jc w:val="both"/>
        <w:rPr>
          <w:szCs w:val="24"/>
        </w:rPr>
      </w:pPr>
      <w:r>
        <w:rPr>
          <w:szCs w:val="24"/>
        </w:rPr>
        <w:t xml:space="preserve">„(9) </w:t>
      </w:r>
      <w:r w:rsidRPr="00AE287A">
        <w:t xml:space="preserve">V situaci, kdy není možné provést ověření ochranných prvků, kterými je opatřen léčivý přípravek, v rozsahu </w:t>
      </w:r>
      <w:r>
        <w:t xml:space="preserve">podle </w:t>
      </w:r>
      <w:r w:rsidRPr="00AE287A">
        <w:t xml:space="preserve">čl. 10 </w:t>
      </w:r>
      <w:r w:rsidRPr="00AE287A">
        <w:rPr>
          <w:szCs w:val="24"/>
        </w:rPr>
        <w:t>přímo použiteln</w:t>
      </w:r>
      <w:r>
        <w:rPr>
          <w:szCs w:val="24"/>
        </w:rPr>
        <w:t>é</w:t>
      </w:r>
      <w:r w:rsidRPr="00AE287A">
        <w:rPr>
          <w:szCs w:val="24"/>
        </w:rPr>
        <w:t xml:space="preserve">ho předpisu Evropské unie upravujícího podrobná pravidla pro ochranné prvky uvedené na obalu humánních léčivých </w:t>
      </w:r>
      <w:proofErr w:type="gramStart"/>
      <w:r w:rsidRPr="00AE287A">
        <w:rPr>
          <w:szCs w:val="24"/>
        </w:rPr>
        <w:t>přípravků</w:t>
      </w:r>
      <w:r w:rsidRPr="00AE287A">
        <w:rPr>
          <w:sz w:val="16"/>
          <w:szCs w:val="16"/>
          <w:vertAlign w:val="superscript"/>
        </w:rPr>
        <w:t xml:space="preserve">106) </w:t>
      </w:r>
      <w:r w:rsidRPr="00AE287A">
        <w:rPr>
          <w:szCs w:val="24"/>
        </w:rPr>
        <w:lastRenderedPageBreak/>
        <w:t>(dále</w:t>
      </w:r>
      <w:proofErr w:type="gramEnd"/>
      <w:r w:rsidRPr="00AE287A">
        <w:rPr>
          <w:szCs w:val="24"/>
        </w:rPr>
        <w:t xml:space="preserve"> jen „nařízení o ochranných prvcích“) v důsledku toho, že tento léčivý přípravek po dokončení výroby nesplňuje požadavky tohoto nařízení</w:t>
      </w:r>
      <w:r w:rsidRPr="00AE287A">
        <w:t>, může Ministerstvo zdravotnictví výjimečně rozhodnutím vydaným na žádost držitele rozhodnutí o registraci dočasně povolit distribuci a výdej tohoto</w:t>
      </w:r>
      <w:r>
        <w:t xml:space="preserve"> léčivého přípravku. V takovém případě držitelé rozhodnutí o registraci, výrobci léčivých přípravků, distributoři a osoby oprávněné k výdeji plní povinnosti vyplývající z nařízení o ochranných prvcích přiměřeně. Odpovědnost za vady léčivých přípravků podle zvláštního právního předpisu</w:t>
      </w:r>
      <w:r>
        <w:rPr>
          <w:vertAlign w:val="superscript"/>
        </w:rPr>
        <w:t>12)</w:t>
      </w:r>
      <w:r>
        <w:t xml:space="preserve"> není dotčena. O vydaném opatření Ministerstvo zdravotnictví informuje Státní ústav pro kontrolu léčiv. Ministerstvo zdravotnictví vyvěsí vydané opatření na své úřední desce a Státní ústav pro kontrolu léčiv je zveřejní způsobem umožňujícím dálkový přístup.</w:t>
      </w:r>
    </w:p>
    <w:p w:rsidR="00321084" w:rsidRDefault="00321084" w:rsidP="00321084">
      <w:pPr>
        <w:autoSpaceDE w:val="0"/>
        <w:autoSpaceDN w:val="0"/>
        <w:adjustRightInd w:val="0"/>
        <w:ind w:left="708"/>
        <w:rPr>
          <w:rFonts w:cs="Times New Roman"/>
        </w:rPr>
      </w:pPr>
      <w:r>
        <w:rPr>
          <w:rFonts w:cs="Times New Roman"/>
        </w:rPr>
        <w:t>___________________________</w:t>
      </w:r>
    </w:p>
    <w:p w:rsidR="00321084" w:rsidRPr="0068452B" w:rsidRDefault="00321084" w:rsidP="00321084">
      <w:pPr>
        <w:ind w:left="708"/>
        <w:jc w:val="both"/>
      </w:pPr>
      <w:r w:rsidRPr="00AE287A">
        <w:rPr>
          <w:rFonts w:cs="Times New Roman"/>
          <w:sz w:val="16"/>
          <w:szCs w:val="16"/>
          <w:vertAlign w:val="superscript"/>
        </w:rPr>
        <w:t>106)</w:t>
      </w:r>
      <w:r>
        <w:rPr>
          <w:rFonts w:cs="Times New Roman"/>
          <w:sz w:val="16"/>
          <w:szCs w:val="16"/>
        </w:rPr>
        <w:t xml:space="preserve"> </w:t>
      </w:r>
      <w:r>
        <w:rPr>
          <w:rFonts w:cs="Times New Roman"/>
        </w:rPr>
        <w:t>Nařízení Komise v přenesené pravomoci (EU) 2016/161 ze dne 2. října 2015, kterým se doplňuje směrnice Evropského parlamentu a Rady 2001/83/ES stanovením podrobných pravidel pro ochranné prvky uvedené na obalu humánních léčivých přípravků.“.</w:t>
      </w:r>
    </w:p>
    <w:p w:rsidR="00321084" w:rsidRDefault="00321084" w:rsidP="00321084">
      <w:pPr>
        <w:ind w:left="708"/>
        <w:jc w:val="both"/>
        <w:rPr>
          <w:rFonts w:cs="Times New Roman"/>
        </w:rPr>
      </w:pPr>
    </w:p>
    <w:p w:rsidR="00A90376" w:rsidRDefault="00A90376" w:rsidP="00321084">
      <w:pPr>
        <w:ind w:left="708"/>
        <w:jc w:val="both"/>
        <w:rPr>
          <w:rFonts w:cs="Times New Roman"/>
        </w:rPr>
      </w:pPr>
    </w:p>
    <w:p w:rsidR="00321084" w:rsidRDefault="00A90376" w:rsidP="00321084">
      <w:pPr>
        <w:ind w:left="708"/>
        <w:jc w:val="both"/>
        <w:rPr>
          <w:rFonts w:cs="Times New Roman"/>
        </w:rPr>
      </w:pPr>
      <w:r>
        <w:rPr>
          <w:rFonts w:cs="Times New Roman"/>
        </w:rPr>
        <w:t>X2</w:t>
      </w:r>
      <w:r w:rsidR="00321084">
        <w:rPr>
          <w:rFonts w:cs="Times New Roman"/>
        </w:rPr>
        <w:t>. V § 11 se na konci písmene q) tečka nahrazuje čárkou a doplňuje se písmeno r), které zní:</w:t>
      </w:r>
    </w:p>
    <w:p w:rsidR="00321084" w:rsidRPr="0030295A" w:rsidRDefault="00321084" w:rsidP="00321084">
      <w:pPr>
        <w:jc w:val="both"/>
        <w:rPr>
          <w:rFonts w:cs="Times New Roman"/>
        </w:rPr>
      </w:pPr>
    </w:p>
    <w:p w:rsidR="00321084" w:rsidRPr="0030295A" w:rsidRDefault="00321084" w:rsidP="00321084">
      <w:pPr>
        <w:ind w:left="708"/>
        <w:jc w:val="both"/>
        <w:rPr>
          <w:rFonts w:cs="Times New Roman"/>
        </w:rPr>
      </w:pPr>
      <w:r w:rsidRPr="0030295A">
        <w:rPr>
          <w:rFonts w:cs="Times New Roman"/>
        </w:rPr>
        <w:t xml:space="preserve">„r) </w:t>
      </w:r>
      <w:r w:rsidRPr="0030295A">
        <w:rPr>
          <w:rFonts w:cs="Times New Roman"/>
          <w:b/>
          <w:bCs/>
        </w:rPr>
        <w:t> </w:t>
      </w:r>
      <w:r w:rsidRPr="0030295A">
        <w:rPr>
          <w:rFonts w:cs="Times New Roman"/>
        </w:rPr>
        <w:t>vydává za účelem zajištění dostupnosti léčivých přípravků dočasné opatření podle § 8 odst. 9, kterým povoluje distribuci a výdej léčivých přípravků, které po dokončení výroby nesplňují požadavky nařízení o ochranných prvcích.“.“.</w:t>
      </w:r>
    </w:p>
    <w:p w:rsidR="00321084" w:rsidRDefault="00321084" w:rsidP="00321084">
      <w:pPr>
        <w:ind w:left="708"/>
        <w:jc w:val="both"/>
        <w:rPr>
          <w:rFonts w:cs="Times New Roman"/>
        </w:rPr>
      </w:pPr>
    </w:p>
    <w:p w:rsidR="00A90376" w:rsidRDefault="00A90376" w:rsidP="00321084">
      <w:pPr>
        <w:ind w:left="708"/>
        <w:jc w:val="both"/>
        <w:rPr>
          <w:rFonts w:cs="Times New Roman"/>
        </w:rPr>
      </w:pPr>
    </w:p>
    <w:p w:rsidR="00321084" w:rsidRDefault="00A90376" w:rsidP="00321084">
      <w:pPr>
        <w:pStyle w:val="Odstavecseseznamem"/>
        <w:widowControl/>
        <w:numPr>
          <w:ilvl w:val="0"/>
          <w:numId w:val="5"/>
        </w:numPr>
        <w:suppressAutoHyphens w:val="0"/>
        <w:jc w:val="both"/>
        <w:rPr>
          <w:szCs w:val="24"/>
        </w:rPr>
      </w:pPr>
      <w:r>
        <w:rPr>
          <w:szCs w:val="24"/>
        </w:rPr>
        <w:t>B</w:t>
      </w:r>
      <w:r w:rsidR="00321084">
        <w:rPr>
          <w:szCs w:val="24"/>
        </w:rPr>
        <w:t xml:space="preserve">od </w:t>
      </w:r>
      <w:r>
        <w:rPr>
          <w:szCs w:val="24"/>
        </w:rPr>
        <w:t>5</w:t>
      </w:r>
      <w:r w:rsidR="00321084">
        <w:rPr>
          <w:szCs w:val="24"/>
        </w:rPr>
        <w:t xml:space="preserve"> zní:</w:t>
      </w:r>
    </w:p>
    <w:p w:rsidR="00321084" w:rsidRDefault="00321084" w:rsidP="00321084">
      <w:pPr>
        <w:pStyle w:val="Odstavecseseznamem"/>
        <w:spacing w:line="276" w:lineRule="auto"/>
        <w:jc w:val="both"/>
        <w:rPr>
          <w:szCs w:val="24"/>
        </w:rPr>
      </w:pPr>
    </w:p>
    <w:p w:rsidR="00321084" w:rsidRDefault="00321084" w:rsidP="00321084">
      <w:pPr>
        <w:ind w:left="708"/>
        <w:jc w:val="both"/>
        <w:rPr>
          <w:rFonts w:cs="Times New Roman"/>
        </w:rPr>
      </w:pPr>
      <w:r w:rsidRPr="00C40C9E">
        <w:rPr>
          <w:rFonts w:cs="Times New Roman"/>
        </w:rPr>
        <w:t>„</w:t>
      </w:r>
      <w:r w:rsidR="00A90376">
        <w:rPr>
          <w:rFonts w:cs="Times New Roman"/>
        </w:rPr>
        <w:t>5</w:t>
      </w:r>
      <w:r w:rsidRPr="00C40C9E">
        <w:rPr>
          <w:rFonts w:cs="Times New Roman"/>
        </w:rPr>
        <w:t>. V § 13 se na konci odstavce 2 tečka nahrazuje čárkou a doplňuje se písmeno o), které zní</w:t>
      </w:r>
      <w:r>
        <w:rPr>
          <w:rFonts w:cs="Times New Roman"/>
        </w:rPr>
        <w:t>:</w:t>
      </w:r>
    </w:p>
    <w:p w:rsidR="00321084" w:rsidRPr="00C40C9E" w:rsidRDefault="00321084" w:rsidP="00321084">
      <w:pPr>
        <w:ind w:left="708"/>
        <w:jc w:val="both"/>
        <w:rPr>
          <w:rFonts w:cs="Times New Roman"/>
        </w:rPr>
      </w:pPr>
    </w:p>
    <w:p w:rsidR="00321084" w:rsidRPr="00C40C9E" w:rsidRDefault="00321084" w:rsidP="00321084">
      <w:pPr>
        <w:autoSpaceDE w:val="0"/>
        <w:autoSpaceDN w:val="0"/>
        <w:adjustRightInd w:val="0"/>
        <w:ind w:left="708"/>
        <w:jc w:val="both"/>
        <w:rPr>
          <w:rFonts w:cs="Times New Roman"/>
        </w:rPr>
      </w:pPr>
      <w:r w:rsidRPr="00C40C9E">
        <w:rPr>
          <w:rFonts w:cs="Times New Roman"/>
        </w:rPr>
        <w:t>„o) je příslušným orgánem České republiky pro plnění jejích úkolů v oblasti dodržování pravidel pro ochranné prvky uvedené na obalu léčivých přípravků, vykonává kontrolu dodržování povinností stanovených nařízení</w:t>
      </w:r>
      <w:r>
        <w:rPr>
          <w:rFonts w:cs="Times New Roman"/>
        </w:rPr>
        <w:t>m</w:t>
      </w:r>
      <w:r w:rsidRPr="00C40C9E">
        <w:rPr>
          <w:rFonts w:cs="Times New Roman"/>
        </w:rPr>
        <w:t xml:space="preserve"> o ochranných prvcích, má přístup do systému úložišť a k informacím v nich obsaženým v souladu s čl. 39 nařízení o ochranných prvcích, a vykonává kontrolu fungování tohoto systému, sleduje a vyhodnocuje rizika padělání u léčivých přípravků a rizika plynoucí z jejich padělání a podává v této oblasti informace Komisi.</w:t>
      </w:r>
      <w:r>
        <w:rPr>
          <w:rFonts w:cs="Times New Roman"/>
        </w:rPr>
        <w:t>“.“.</w:t>
      </w:r>
    </w:p>
    <w:p w:rsidR="000C6893" w:rsidRDefault="000C6893"/>
    <w:p w:rsidR="000C6893" w:rsidRDefault="000C6893"/>
    <w:p w:rsidR="000C6893" w:rsidRPr="004B344C" w:rsidRDefault="00321084">
      <w:pPr>
        <w:rPr>
          <w:b/>
          <w:i/>
        </w:rPr>
      </w:pPr>
      <w:r w:rsidRPr="004B344C">
        <w:rPr>
          <w:b/>
          <w:i/>
        </w:rPr>
        <w:t>SD 1877</w:t>
      </w:r>
    </w:p>
    <w:p w:rsidR="000C6893" w:rsidRDefault="000C6893"/>
    <w:p w:rsidR="00A90376" w:rsidRPr="00A90376" w:rsidRDefault="00A90376">
      <w:pPr>
        <w:rPr>
          <w:b/>
          <w:sz w:val="28"/>
          <w:szCs w:val="28"/>
        </w:rPr>
      </w:pPr>
      <w:r w:rsidRPr="00A90376">
        <w:rPr>
          <w:b/>
          <w:sz w:val="28"/>
          <w:szCs w:val="28"/>
        </w:rPr>
        <w:t>D 5</w:t>
      </w:r>
    </w:p>
    <w:p w:rsidR="00A90376" w:rsidRPr="00A90376" w:rsidRDefault="00A90376">
      <w:pPr>
        <w:rPr>
          <w:b/>
          <w:sz w:val="28"/>
          <w:szCs w:val="28"/>
        </w:rPr>
      </w:pPr>
    </w:p>
    <w:p w:rsidR="00A90376" w:rsidRPr="00A90376" w:rsidRDefault="00A90376">
      <w:pPr>
        <w:rPr>
          <w:b/>
          <w:sz w:val="28"/>
          <w:szCs w:val="28"/>
        </w:rPr>
      </w:pPr>
      <w:r w:rsidRPr="00A90376">
        <w:rPr>
          <w:b/>
          <w:sz w:val="28"/>
          <w:szCs w:val="28"/>
        </w:rPr>
        <w:t>K Čl. I</w:t>
      </w:r>
    </w:p>
    <w:p w:rsidR="00A90376" w:rsidRDefault="00A90376"/>
    <w:p w:rsidR="00321084" w:rsidRDefault="00A90376" w:rsidP="00321084">
      <w:pPr>
        <w:pStyle w:val="Odstavecseseznamem"/>
        <w:widowControl/>
        <w:numPr>
          <w:ilvl w:val="0"/>
          <w:numId w:val="6"/>
        </w:numPr>
        <w:suppressAutoHyphens w:val="0"/>
        <w:jc w:val="both"/>
      </w:pPr>
      <w:r>
        <w:t xml:space="preserve">Za </w:t>
      </w:r>
      <w:r w:rsidR="00321084">
        <w:t xml:space="preserve">bod 27 vkládá nový bod </w:t>
      </w:r>
      <w:r>
        <w:t>X</w:t>
      </w:r>
      <w:r w:rsidR="00321084">
        <w:t>, který zní:</w:t>
      </w:r>
    </w:p>
    <w:p w:rsidR="00321084" w:rsidRDefault="00321084" w:rsidP="00321084">
      <w:pPr>
        <w:jc w:val="both"/>
        <w:rPr>
          <w:rFonts w:cs="Times New Roman"/>
        </w:rPr>
      </w:pPr>
    </w:p>
    <w:p w:rsidR="00321084" w:rsidRPr="00EE717B" w:rsidRDefault="00321084" w:rsidP="00321084">
      <w:pPr>
        <w:ind w:left="708"/>
        <w:jc w:val="both"/>
        <w:rPr>
          <w:rFonts w:cs="Times New Roman"/>
        </w:rPr>
      </w:pPr>
      <w:r>
        <w:rPr>
          <w:rFonts w:cs="Times New Roman"/>
        </w:rPr>
        <w:t>„</w:t>
      </w:r>
      <w:r w:rsidR="00A90376">
        <w:rPr>
          <w:rFonts w:cs="Times New Roman"/>
        </w:rPr>
        <w:t>X</w:t>
      </w:r>
      <w:r>
        <w:rPr>
          <w:rFonts w:cs="Times New Roman"/>
        </w:rPr>
        <w:t>. V § 89 se doplňuje odstavec 4, který zní:</w:t>
      </w:r>
    </w:p>
    <w:p w:rsidR="00321084" w:rsidRPr="00EE717B" w:rsidRDefault="00321084" w:rsidP="00321084">
      <w:pPr>
        <w:ind w:left="708"/>
        <w:jc w:val="both"/>
        <w:rPr>
          <w:rFonts w:cs="Times New Roman"/>
        </w:rPr>
      </w:pPr>
    </w:p>
    <w:p w:rsidR="00321084" w:rsidRPr="00EE717B" w:rsidRDefault="00321084" w:rsidP="00321084">
      <w:pPr>
        <w:ind w:left="708"/>
        <w:jc w:val="both"/>
        <w:rPr>
          <w:rFonts w:cs="Times New Roman"/>
        </w:rPr>
      </w:pPr>
      <w:r w:rsidRPr="00EE717B">
        <w:rPr>
          <w:rFonts w:cs="Times New Roman"/>
        </w:rPr>
        <w:t xml:space="preserve">„(4) Osoba provádějící ověření ochranných prvků nebo vyřazení jedinečného identifikátoru podle nařízení o ochranných prvcích může vrátit léčivý přípravek dodavateli, který </w:t>
      </w:r>
      <w:r>
        <w:rPr>
          <w:rFonts w:cs="Times New Roman"/>
        </w:rPr>
        <w:t xml:space="preserve">mu </w:t>
      </w:r>
      <w:r w:rsidRPr="00EE717B">
        <w:rPr>
          <w:rFonts w:cs="Times New Roman"/>
        </w:rPr>
        <w:t xml:space="preserve">jej dodal, pokud ani po uplynutí </w:t>
      </w:r>
      <w:r>
        <w:rPr>
          <w:rFonts w:cs="Times New Roman"/>
        </w:rPr>
        <w:t>14</w:t>
      </w:r>
      <w:r w:rsidRPr="00EE717B">
        <w:rPr>
          <w:rFonts w:cs="Times New Roman"/>
        </w:rPr>
        <w:t xml:space="preserve"> </w:t>
      </w:r>
      <w:r>
        <w:rPr>
          <w:rFonts w:cs="Times New Roman"/>
        </w:rPr>
        <w:t>kalendářních</w:t>
      </w:r>
      <w:r w:rsidRPr="00EE717B">
        <w:rPr>
          <w:rFonts w:cs="Times New Roman"/>
        </w:rPr>
        <w:t xml:space="preserve"> dnů od prvního neúspěšného ověření ochranných prvků nebo vyřazení jedinečného identifikátoru není možné tento úkon úspěšně provést. </w:t>
      </w:r>
      <w:r w:rsidRPr="00324976">
        <w:rPr>
          <w:rFonts w:cs="Times New Roman"/>
        </w:rPr>
        <w:t xml:space="preserve">K léčivému přípravku, který je dodavateli vracen, se připojí dokumentace prokazující </w:t>
      </w:r>
      <w:r w:rsidRPr="00324976">
        <w:rPr>
          <w:rFonts w:cs="Times New Roman"/>
        </w:rPr>
        <w:lastRenderedPageBreak/>
        <w:t>důvod vrácení léčivého přípravku, a to pro nemožnost ověření ochranných prvků nebo vyřazení jedinečného identifikátoru.</w:t>
      </w:r>
      <w:r>
        <w:rPr>
          <w:rFonts w:cs="Times New Roman"/>
        </w:rPr>
        <w:t xml:space="preserve"> </w:t>
      </w:r>
      <w:r w:rsidRPr="00EE717B">
        <w:rPr>
          <w:rFonts w:cs="Times New Roman"/>
        </w:rPr>
        <w:t>Dodavatel takového léčivého přípravku je povinen jej převzít zpět.“</w:t>
      </w:r>
      <w:r>
        <w:rPr>
          <w:rFonts w:cs="Times New Roman"/>
        </w:rPr>
        <w:t>.“</w:t>
      </w:r>
      <w:r w:rsidRPr="00EE717B">
        <w:rPr>
          <w:rFonts w:cs="Times New Roman"/>
        </w:rPr>
        <w:t xml:space="preserve"> </w:t>
      </w:r>
    </w:p>
    <w:p w:rsidR="00321084" w:rsidRDefault="00321084" w:rsidP="00321084">
      <w:pPr>
        <w:ind w:left="708"/>
        <w:jc w:val="both"/>
        <w:rPr>
          <w:rFonts w:cs="Times New Roman"/>
        </w:rPr>
      </w:pPr>
    </w:p>
    <w:p w:rsidR="00321084" w:rsidRDefault="00321084" w:rsidP="00321084">
      <w:pPr>
        <w:jc w:val="both"/>
        <w:rPr>
          <w:rFonts w:cs="Times New Roman"/>
        </w:rPr>
      </w:pPr>
    </w:p>
    <w:p w:rsidR="00321084" w:rsidRDefault="00A90376" w:rsidP="00321084">
      <w:pPr>
        <w:pStyle w:val="Odstavecseseznamem"/>
        <w:widowControl/>
        <w:numPr>
          <w:ilvl w:val="0"/>
          <w:numId w:val="6"/>
        </w:numPr>
        <w:suppressAutoHyphens w:val="0"/>
        <w:jc w:val="both"/>
        <w:rPr>
          <w:szCs w:val="24"/>
        </w:rPr>
      </w:pPr>
      <w:r>
        <w:rPr>
          <w:szCs w:val="24"/>
        </w:rPr>
        <w:t xml:space="preserve">V </w:t>
      </w:r>
      <w:r w:rsidR="00321084">
        <w:rPr>
          <w:szCs w:val="24"/>
        </w:rPr>
        <w:t>bodě 3</w:t>
      </w:r>
      <w:r>
        <w:rPr>
          <w:szCs w:val="24"/>
        </w:rPr>
        <w:t>2</w:t>
      </w:r>
      <w:r w:rsidR="00321084">
        <w:rPr>
          <w:szCs w:val="24"/>
        </w:rPr>
        <w:t xml:space="preserve">  se na konci písmene j) bodu 4 slovo „nebo“ zrušuje, na konci písmene k) se tečka nahrazuje </w:t>
      </w:r>
      <w:proofErr w:type="gramStart"/>
      <w:r w:rsidR="00321084">
        <w:rPr>
          <w:szCs w:val="24"/>
        </w:rPr>
        <w:t>slovem „ , nebo</w:t>
      </w:r>
      <w:proofErr w:type="gramEnd"/>
      <w:r w:rsidR="00321084">
        <w:rPr>
          <w:szCs w:val="24"/>
        </w:rPr>
        <w:t>“ a doplňuje se písmeno l), které zní:</w:t>
      </w:r>
    </w:p>
    <w:p w:rsidR="00321084" w:rsidRPr="00EE717B" w:rsidRDefault="00321084" w:rsidP="00321084">
      <w:pPr>
        <w:jc w:val="both"/>
        <w:rPr>
          <w:rFonts w:cs="Times New Roman"/>
        </w:rPr>
      </w:pPr>
    </w:p>
    <w:p w:rsidR="00321084" w:rsidRPr="00EE717B" w:rsidRDefault="00321084" w:rsidP="00321084">
      <w:pPr>
        <w:ind w:left="708"/>
        <w:jc w:val="both"/>
        <w:rPr>
          <w:rFonts w:cs="Times New Roman"/>
        </w:rPr>
      </w:pPr>
      <w:r w:rsidRPr="00EE717B">
        <w:rPr>
          <w:rFonts w:cs="Times New Roman"/>
        </w:rPr>
        <w:t>„l) v rozporu s § 89 odst. 4 nepřevezme vracený léčivý přípravek, u kterého se nepodařilo ověřit ochranné prvky nebo vyřadit jedinečný identifikátor.</w:t>
      </w:r>
      <w:r>
        <w:rPr>
          <w:rFonts w:cs="Times New Roman"/>
        </w:rPr>
        <w:t>“.</w:t>
      </w:r>
    </w:p>
    <w:p w:rsidR="00321084" w:rsidRDefault="00321084" w:rsidP="00321084">
      <w:pPr>
        <w:jc w:val="both"/>
        <w:rPr>
          <w:rFonts w:cs="Times New Roman"/>
        </w:rPr>
      </w:pPr>
    </w:p>
    <w:p w:rsidR="00321084" w:rsidRDefault="00321084" w:rsidP="00321084">
      <w:pPr>
        <w:jc w:val="both"/>
        <w:rPr>
          <w:rFonts w:cs="Times New Roman"/>
        </w:rPr>
      </w:pPr>
    </w:p>
    <w:p w:rsidR="00321084" w:rsidRDefault="00A90376" w:rsidP="00321084">
      <w:pPr>
        <w:pStyle w:val="Odstavecseseznamem"/>
        <w:widowControl/>
        <w:numPr>
          <w:ilvl w:val="0"/>
          <w:numId w:val="6"/>
        </w:numPr>
        <w:suppressAutoHyphens w:val="0"/>
        <w:jc w:val="both"/>
        <w:rPr>
          <w:szCs w:val="24"/>
        </w:rPr>
      </w:pPr>
      <w:r>
        <w:rPr>
          <w:szCs w:val="24"/>
        </w:rPr>
        <w:t xml:space="preserve">Za bod 39 </w:t>
      </w:r>
      <w:proofErr w:type="gramStart"/>
      <w:r>
        <w:rPr>
          <w:szCs w:val="24"/>
        </w:rPr>
        <w:t xml:space="preserve">se </w:t>
      </w:r>
      <w:r w:rsidR="00321084">
        <w:rPr>
          <w:szCs w:val="24"/>
        </w:rPr>
        <w:t xml:space="preserve"> vkládá</w:t>
      </w:r>
      <w:proofErr w:type="gramEnd"/>
      <w:r w:rsidR="00321084">
        <w:rPr>
          <w:szCs w:val="24"/>
        </w:rPr>
        <w:t xml:space="preserve"> nový bod </w:t>
      </w:r>
      <w:r>
        <w:rPr>
          <w:szCs w:val="24"/>
        </w:rPr>
        <w:t>X2</w:t>
      </w:r>
      <w:r w:rsidR="00321084">
        <w:rPr>
          <w:szCs w:val="24"/>
        </w:rPr>
        <w:t>, který zní:</w:t>
      </w:r>
    </w:p>
    <w:p w:rsidR="00321084" w:rsidRDefault="00321084" w:rsidP="00321084">
      <w:pPr>
        <w:pStyle w:val="Odstavecseseznamem"/>
        <w:jc w:val="both"/>
        <w:rPr>
          <w:szCs w:val="24"/>
        </w:rPr>
      </w:pPr>
    </w:p>
    <w:p w:rsidR="00321084" w:rsidRDefault="00321084" w:rsidP="00321084">
      <w:pPr>
        <w:autoSpaceDE w:val="0"/>
        <w:autoSpaceDN w:val="0"/>
        <w:adjustRightInd w:val="0"/>
        <w:ind w:left="708"/>
        <w:jc w:val="both"/>
        <w:rPr>
          <w:rFonts w:cs="Times New Roman"/>
        </w:rPr>
      </w:pPr>
      <w:r w:rsidRPr="0056711F">
        <w:rPr>
          <w:rFonts w:cs="Times New Roman"/>
        </w:rPr>
        <w:t>„</w:t>
      </w:r>
      <w:r w:rsidR="00A90376">
        <w:rPr>
          <w:rFonts w:cs="Times New Roman"/>
        </w:rPr>
        <w:t>X2</w:t>
      </w:r>
      <w:r w:rsidRPr="0056711F">
        <w:rPr>
          <w:rFonts w:cs="Times New Roman"/>
        </w:rPr>
        <w:t>. V § 107 odst. 1 písm. b) se za text „§ 103 odst. 6 pís</w:t>
      </w:r>
      <w:r>
        <w:rPr>
          <w:rFonts w:cs="Times New Roman"/>
        </w:rPr>
        <w:t>m. c)“ vkládají slova „nebo l)“.</w:t>
      </w:r>
    </w:p>
    <w:p w:rsidR="00321084" w:rsidRPr="0056711F" w:rsidRDefault="00321084" w:rsidP="00321084">
      <w:pPr>
        <w:autoSpaceDE w:val="0"/>
        <w:autoSpaceDN w:val="0"/>
        <w:adjustRightInd w:val="0"/>
        <w:ind w:left="708"/>
        <w:jc w:val="both"/>
        <w:rPr>
          <w:rFonts w:cs="Times New Roman"/>
        </w:rPr>
      </w:pPr>
    </w:p>
    <w:p w:rsidR="00321084" w:rsidRPr="00EE717B" w:rsidRDefault="00321084" w:rsidP="00321084">
      <w:pPr>
        <w:rPr>
          <w:rFonts w:cs="Times New Roman"/>
        </w:rPr>
      </w:pPr>
    </w:p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>
      <w:pPr>
        <w:jc w:val="center"/>
      </w:pPr>
      <w:r>
        <w:t>V Praze</w:t>
      </w:r>
      <w:r w:rsidR="00153D9A">
        <w:t xml:space="preserve"> </w:t>
      </w:r>
      <w:r w:rsidR="00F83AF5">
        <w:t>4</w:t>
      </w:r>
      <w:r w:rsidR="00153D9A">
        <w:t>. prosince 2018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Pr="00A90376" w:rsidRDefault="00153D9A">
      <w:pPr>
        <w:jc w:val="center"/>
        <w:rPr>
          <w:b/>
        </w:rPr>
      </w:pPr>
      <w:r w:rsidRPr="00A90376">
        <w:rPr>
          <w:b/>
        </w:rPr>
        <w:t xml:space="preserve">MUDr. </w:t>
      </w:r>
      <w:r w:rsidR="00EA3D31" w:rsidRPr="00A90376">
        <w:rPr>
          <w:b/>
        </w:rPr>
        <w:t xml:space="preserve">Miloslav </w:t>
      </w:r>
      <w:proofErr w:type="spellStart"/>
      <w:r w:rsidR="00EA3D31" w:rsidRPr="00A90376">
        <w:rPr>
          <w:b/>
        </w:rPr>
        <w:t>Janulík</w:t>
      </w:r>
      <w:proofErr w:type="spellEnd"/>
      <w:r w:rsidR="00F83AF5" w:rsidRPr="00F83AF5">
        <w:t xml:space="preserve">, </w:t>
      </w:r>
      <w:proofErr w:type="gramStart"/>
      <w:r w:rsidR="00F83AF5" w:rsidRPr="00F83AF5">
        <w:t>v.r.</w:t>
      </w:r>
      <w:proofErr w:type="gramEnd"/>
    </w:p>
    <w:p w:rsidR="000C6893" w:rsidRDefault="000C6893">
      <w:pPr>
        <w:jc w:val="center"/>
      </w:pPr>
      <w:r>
        <w:t>zpravodaj garančního výboru</w:t>
      </w:r>
      <w:r w:rsidR="00EA3D31">
        <w:t xml:space="preserve"> pro zdravo</w:t>
      </w:r>
      <w:bookmarkStart w:id="1" w:name="_GoBack"/>
      <w:bookmarkEnd w:id="1"/>
      <w:r w:rsidR="00EA3D31">
        <w:t>tnictví</w:t>
      </w:r>
    </w:p>
    <w:sectPr w:rsidR="000C6893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D31" w:rsidRDefault="00EA3D31" w:rsidP="00087102">
      <w:r>
        <w:separator/>
      </w:r>
    </w:p>
  </w:endnote>
  <w:endnote w:type="continuationSeparator" w:id="0">
    <w:p w:rsidR="00EA3D31" w:rsidRDefault="00EA3D31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D31" w:rsidRDefault="00EA3D31" w:rsidP="00087102">
      <w:r>
        <w:separator/>
      </w:r>
    </w:p>
  </w:footnote>
  <w:footnote w:type="continuationSeparator" w:id="0">
    <w:p w:rsidR="00EA3D31" w:rsidRDefault="00EA3D31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F83AF5">
      <w:rPr>
        <w:noProof/>
      </w:rPr>
      <w:t>5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2C85D73"/>
    <w:multiLevelType w:val="hybridMultilevel"/>
    <w:tmpl w:val="ECBA3E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897272E0">
      <w:start w:val="3"/>
      <w:numFmt w:val="bullet"/>
      <w:lvlText w:val="•"/>
      <w:lvlJc w:val="left"/>
      <w:pPr>
        <w:ind w:left="1800" w:hanging="720"/>
      </w:pPr>
      <w:rPr>
        <w:rFonts w:ascii="Times New Roman" w:eastAsia="Calibri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C7C9A"/>
    <w:multiLevelType w:val="hybridMultilevel"/>
    <w:tmpl w:val="D28E1FCC"/>
    <w:lvl w:ilvl="0" w:tplc="0405000F">
      <w:start w:val="1"/>
      <w:numFmt w:val="decimal"/>
      <w:lvlText w:val="%1."/>
      <w:lvlJc w:val="left"/>
      <w:pPr>
        <w:ind w:left="2778" w:hanging="360"/>
      </w:pPr>
    </w:lvl>
    <w:lvl w:ilvl="1" w:tplc="04050019" w:tentative="1">
      <w:start w:val="1"/>
      <w:numFmt w:val="lowerLetter"/>
      <w:lvlText w:val="%2."/>
      <w:lvlJc w:val="left"/>
      <w:pPr>
        <w:ind w:left="3498" w:hanging="360"/>
      </w:pPr>
    </w:lvl>
    <w:lvl w:ilvl="2" w:tplc="0405001B" w:tentative="1">
      <w:start w:val="1"/>
      <w:numFmt w:val="lowerRoman"/>
      <w:lvlText w:val="%3."/>
      <w:lvlJc w:val="right"/>
      <w:pPr>
        <w:ind w:left="4218" w:hanging="180"/>
      </w:pPr>
    </w:lvl>
    <w:lvl w:ilvl="3" w:tplc="0405000F" w:tentative="1">
      <w:start w:val="1"/>
      <w:numFmt w:val="decimal"/>
      <w:lvlText w:val="%4."/>
      <w:lvlJc w:val="left"/>
      <w:pPr>
        <w:ind w:left="4938" w:hanging="360"/>
      </w:pPr>
    </w:lvl>
    <w:lvl w:ilvl="4" w:tplc="04050019" w:tentative="1">
      <w:start w:val="1"/>
      <w:numFmt w:val="lowerLetter"/>
      <w:lvlText w:val="%5."/>
      <w:lvlJc w:val="left"/>
      <w:pPr>
        <w:ind w:left="5658" w:hanging="360"/>
      </w:pPr>
    </w:lvl>
    <w:lvl w:ilvl="5" w:tplc="0405001B" w:tentative="1">
      <w:start w:val="1"/>
      <w:numFmt w:val="lowerRoman"/>
      <w:lvlText w:val="%6."/>
      <w:lvlJc w:val="right"/>
      <w:pPr>
        <w:ind w:left="6378" w:hanging="180"/>
      </w:pPr>
    </w:lvl>
    <w:lvl w:ilvl="6" w:tplc="0405000F" w:tentative="1">
      <w:start w:val="1"/>
      <w:numFmt w:val="decimal"/>
      <w:lvlText w:val="%7."/>
      <w:lvlJc w:val="left"/>
      <w:pPr>
        <w:ind w:left="7098" w:hanging="360"/>
      </w:pPr>
    </w:lvl>
    <w:lvl w:ilvl="7" w:tplc="04050019" w:tentative="1">
      <w:start w:val="1"/>
      <w:numFmt w:val="lowerLetter"/>
      <w:lvlText w:val="%8."/>
      <w:lvlJc w:val="left"/>
      <w:pPr>
        <w:ind w:left="7818" w:hanging="360"/>
      </w:pPr>
    </w:lvl>
    <w:lvl w:ilvl="8" w:tplc="0405001B" w:tentative="1">
      <w:start w:val="1"/>
      <w:numFmt w:val="lowerRoman"/>
      <w:lvlText w:val="%9."/>
      <w:lvlJc w:val="right"/>
      <w:pPr>
        <w:ind w:left="8538" w:hanging="180"/>
      </w:pPr>
    </w:lvl>
  </w:abstractNum>
  <w:abstractNum w:abstractNumId="4" w15:restartNumberingAfterBreak="0">
    <w:nsid w:val="41836F15"/>
    <w:multiLevelType w:val="hybridMultilevel"/>
    <w:tmpl w:val="B28AE5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8371FE"/>
    <w:multiLevelType w:val="hybridMultilevel"/>
    <w:tmpl w:val="66B6B65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B524F"/>
    <w:multiLevelType w:val="hybridMultilevel"/>
    <w:tmpl w:val="76C00F72"/>
    <w:lvl w:ilvl="0" w:tplc="95FA1D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D31"/>
    <w:rsid w:val="000265C4"/>
    <w:rsid w:val="00087102"/>
    <w:rsid w:val="000C6893"/>
    <w:rsid w:val="00153D9A"/>
    <w:rsid w:val="00250653"/>
    <w:rsid w:val="00321084"/>
    <w:rsid w:val="003E046E"/>
    <w:rsid w:val="004B344C"/>
    <w:rsid w:val="00511F8C"/>
    <w:rsid w:val="00555E11"/>
    <w:rsid w:val="006706ED"/>
    <w:rsid w:val="00754744"/>
    <w:rsid w:val="007F55EC"/>
    <w:rsid w:val="008B1D4A"/>
    <w:rsid w:val="00A90376"/>
    <w:rsid w:val="00D80602"/>
    <w:rsid w:val="00D9320F"/>
    <w:rsid w:val="00EA3D31"/>
    <w:rsid w:val="00F8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925A2EE"/>
  <w15:chartTrackingRefBased/>
  <w15:docId w15:val="{9A3C9BBE-F0A1-44C9-B578-35C03CEE9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250653"/>
    <w:pPr>
      <w:ind w:left="720"/>
      <w:contextualSpacing/>
    </w:pPr>
    <w:rPr>
      <w:szCs w:val="21"/>
    </w:rPr>
  </w:style>
  <w:style w:type="paragraph" w:customStyle="1" w:styleId="Textbody">
    <w:name w:val="Text body"/>
    <w:basedOn w:val="Normln"/>
    <w:rsid w:val="00250653"/>
    <w:pPr>
      <w:autoSpaceDN w:val="0"/>
      <w:spacing w:after="140" w:line="288" w:lineRule="auto"/>
      <w:textAlignment w:val="baseline"/>
    </w:pPr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75</TotalTime>
  <Pages>6</Pages>
  <Words>1547</Words>
  <Characters>9130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10656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9</cp:revision>
  <cp:lastPrinted>2018-12-04T17:26:00Z</cp:lastPrinted>
  <dcterms:created xsi:type="dcterms:W3CDTF">2018-12-04T15:34:00Z</dcterms:created>
  <dcterms:modified xsi:type="dcterms:W3CDTF">2018-12-04T17:34:00Z</dcterms:modified>
</cp:coreProperties>
</file>