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75B" w:rsidRDefault="00971377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PARLAMENT ČESKÉ REPUBLIKY</w:t>
      </w:r>
    </w:p>
    <w:p w:rsidR="00A5675B" w:rsidRDefault="009713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Poslanecká sněmovna</w:t>
      </w:r>
    </w:p>
    <w:p w:rsidR="00A5675B" w:rsidRDefault="009713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2018</w:t>
      </w:r>
    </w:p>
    <w:p w:rsidR="00A5675B" w:rsidRDefault="009713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VIII. volební období</w:t>
      </w:r>
    </w:p>
    <w:p w:rsidR="00A5675B" w:rsidRDefault="009713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</w:t>
      </w: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675B" w:rsidRDefault="00971377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Pozměňovací návrh </w:t>
      </w: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675B" w:rsidRDefault="009713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Tomáše Martínka</w:t>
      </w: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675B" w:rsidRDefault="009713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 vládnímu návrhu zákona, kterým se mění některé zákony v oblasti daní a některé další zákony</w:t>
      </w: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A5675B" w:rsidRDefault="009713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(sněmovní tisk č. 206)</w:t>
      </w:r>
    </w:p>
    <w:p w:rsidR="00A5675B" w:rsidRDefault="00A5675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1377" w:rsidRDefault="0097137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br w:type="page"/>
      </w:r>
    </w:p>
    <w:p w:rsidR="00A5675B" w:rsidRDefault="009713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Text návrhu:</w:t>
      </w:r>
    </w:p>
    <w:p w:rsidR="004D4610" w:rsidRPr="004D4610" w:rsidRDefault="00971377" w:rsidP="004D46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 části </w:t>
      </w:r>
      <w:r w:rsidR="005F6006">
        <w:rPr>
          <w:rFonts w:ascii="Times New Roman" w:eastAsia="Times New Roman" w:hAnsi="Times New Roman" w:cs="Times New Roman"/>
          <w:color w:val="000000"/>
          <w:sz w:val="24"/>
          <w:szCs w:val="24"/>
        </w:rPr>
        <w:t>třetí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čl. </w:t>
      </w:r>
      <w:r w:rsidR="005F6006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se </w:t>
      </w:r>
      <w:r w:rsidR="00E062A6" w:rsidRPr="00E062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zrušuje</w:t>
      </w:r>
      <w:r w:rsidR="00886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novelizační bod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6006">
        <w:rPr>
          <w:rFonts w:ascii="Times New Roman" w:eastAsia="Times New Roman" w:hAnsi="Times New Roman" w:cs="Times New Roman"/>
          <w:color w:val="000000"/>
          <w:sz w:val="24"/>
          <w:szCs w:val="24"/>
        </w:rPr>
        <w:t>62</w:t>
      </w:r>
      <w:r w:rsidR="00B1592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4D4610" w:rsidRPr="004D4610" w:rsidRDefault="008A785F" w:rsidP="004D4610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Následující</w:t>
      </w:r>
      <w:r w:rsidR="004D4610" w:rsidRPr="004D46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novelizační body se přečíslují</w:t>
      </w:r>
      <w:r w:rsidR="00E062A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5921" w:rsidRDefault="00B1592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br w:type="page"/>
      </w:r>
    </w:p>
    <w:p w:rsidR="00A5675B" w:rsidRDefault="00971377" w:rsidP="00B1592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Odůvodnění:</w:t>
      </w: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886788" w:rsidRDefault="008867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Původně navrhované </w:t>
      </w:r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obecné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použití obvyklé ceny </w:t>
      </w:r>
      <w:r w:rsidR="003B6E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 případě směnného obchodu nebo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 případě úplaty poskytnuté virtuální měnou je v rozporu s právem EU.</w:t>
      </w:r>
    </w:p>
    <w:p w:rsidR="00886788" w:rsidRDefault="008867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B7B" w:rsidRDefault="008867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Společn</w:t>
      </w:r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ý systém DPH uplatňuje určení ceny na základě principu tržního odstupu jen výjimečně.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Znění čl. 80 </w:t>
      </w:r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měrnice</w:t>
      </w:r>
      <w:r w:rsidR="005678A2">
        <w:rPr>
          <w:rStyle w:val="Znakapoznpodarou"/>
          <w:rFonts w:ascii="Times New Roman" w:eastAsia="Times New Roman" w:hAnsi="Times New Roman" w:cs="Times New Roman"/>
          <w:color w:val="000000"/>
          <w:sz w:val="24"/>
          <w:szCs w:val="24"/>
        </w:rPr>
        <w:footnoteReference w:id="1"/>
      </w:r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umožňuje členským státům pouze z</w:t>
      </w:r>
      <w:r w:rsidR="000B6981" w:rsidRP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účelem zabránění daňovým únikům nebo vyhýbání se daňovým povinnostem přijmout opatření, aby při dodání zboží nebo poskytnutí služby osobě, s níž má osoba povinná k dani rodinné nebo jiné úzké osobní vazby, organizační vazby a vlastnické, členské, finanční nebo právní vazby, byla základem daně </w:t>
      </w:r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>obvyklá cena. Čl.</w:t>
      </w:r>
      <w:r w:rsidR="00C538D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80 odst. 1, </w:t>
      </w:r>
      <w:proofErr w:type="spellStart"/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>písm</w:t>
      </w:r>
      <w:proofErr w:type="spellEnd"/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a), b), c) Směrnice stanovují další kumulativní podmínky pro využití tohoto postupu. Primární podmínkou je, že v transakci není nárok na odpočet daně. Vládní návrh tento aspekt nezohledňuje a je z tohoto důvodu v rozporu s</w:t>
      </w:r>
      <w:r w:rsidR="006F2B7B">
        <w:rPr>
          <w:rFonts w:ascii="Times New Roman" w:eastAsia="Times New Roman" w:hAnsi="Times New Roman" w:cs="Times New Roman"/>
          <w:color w:val="000000"/>
          <w:sz w:val="24"/>
          <w:szCs w:val="24"/>
        </w:rPr>
        <w:t>e sekundárním</w:t>
      </w:r>
      <w:r w:rsidR="000B6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právem EU. Jestliže má být základ daně stanoven </w:t>
      </w:r>
      <w:r w:rsidR="006F2B7B">
        <w:rPr>
          <w:rFonts w:ascii="Times New Roman" w:eastAsia="Times New Roman" w:hAnsi="Times New Roman" w:cs="Times New Roman"/>
          <w:color w:val="000000"/>
          <w:sz w:val="24"/>
          <w:szCs w:val="24"/>
        </w:rPr>
        <w:t>na úroveň obvyklé ceny, musí se tak činit jen v transakcích, které nejsou na straně dodatele nebo odběratele s nárokem na odpočet.</w:t>
      </w:r>
    </w:p>
    <w:p w:rsidR="006F2B7B" w:rsidRDefault="006F2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4EFF" w:rsidRDefault="006F2B7B" w:rsidP="00944E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Soudní dvůr Evropské unie </w:t>
      </w:r>
      <w:r w:rsid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 rozsudku ze dne </w:t>
      </w:r>
      <w:r w:rsidR="00944EFF" w:rsidRP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>19. prosince 2012</w:t>
      </w:r>
      <w:r w:rsid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 věci </w:t>
      </w:r>
      <w:r w:rsidR="00944EFF" w:rsidRP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>C-549/11</w:t>
      </w:r>
      <w:r w:rsid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944EFF" w:rsidRPr="00944E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Orfey</w:t>
      </w:r>
      <w:proofErr w:type="spellEnd"/>
      <w:r w:rsidR="00944EFF" w:rsidRPr="00944E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944EFF" w:rsidRPr="00944E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Balgaria</w:t>
      </w:r>
      <w:proofErr w:type="spellEnd"/>
      <w:r w:rsidR="00944E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uzavřel, že </w:t>
      </w:r>
      <w:r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jestliže plnění není uskutečněno mezi stranami, mezi kterými</w:t>
      </w:r>
      <w:r w:rsidR="00944EFF"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existují vazby ve smyslu čl.</w:t>
      </w:r>
      <w:r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80 </w:t>
      </w:r>
      <w:r w:rsidR="00944EFF"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Směrnice</w:t>
      </w:r>
      <w:r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, </w:t>
      </w:r>
      <w:r w:rsidR="00944EFF"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je </w:t>
      </w:r>
      <w:r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nutné čl</w:t>
      </w:r>
      <w:r w:rsidR="00944EFF"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73 a 80 </w:t>
      </w:r>
      <w:r w:rsidR="00944EFF"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Směrnice </w:t>
      </w:r>
      <w:r w:rsidRPr="00E062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vykládat v tom smyslu, že brání takovému vnitrostátnímu ustanovení, podle kterého je u plnění základem daně obvyklá cena dodaného zboží či poskytnutých služeb, jestliže je protiplnění za dané plnění zcela tvořeno zbožím či službami</w:t>
      </w:r>
      <w:r w:rsidRPr="006F2B7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 tomu výslovně v bodě [47] SDEU uvádí, že po</w:t>
      </w:r>
      <w:r w:rsidR="00944EFF" w:rsidRP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>dmínky obsažené v</w:t>
      </w:r>
      <w:r w:rsidR="00C538D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>čl</w:t>
      </w:r>
      <w:r w:rsidR="00C538D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80 Směrnic</w:t>
      </w:r>
      <w:r w:rsidR="00944EFF" w:rsidRP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>í jsou přitom taxativní, takže vnitrostátní právní úprava nemůže na základě tohoto ustanovení stanovit, že základem daně je obvyklá cena plnění i v jiných případech, než jsou případy</w:t>
      </w:r>
      <w:r w:rsidR="00944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vyjmenované v tomto ustanovení. </w:t>
      </w:r>
    </w:p>
    <w:p w:rsidR="003B6E91" w:rsidRDefault="003B6E91" w:rsidP="00944E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6E91" w:rsidRDefault="003B6E91" w:rsidP="00944E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Konstantní judikatura SDEU </w:t>
      </w:r>
      <w:r w:rsidR="00C538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dále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upřednostňuje mezi stranami</w:t>
      </w:r>
      <w:r w:rsidRPr="006F2B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které nemají vazby ve smyslu čl.</w:t>
      </w:r>
      <w:r w:rsidRPr="006F2B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Směrnice, subjektivní hodnotu, nikoli objektivní. Subjektivní hodnota směnného obchodu může být taktéž vyjádřena v penězích v rámci kontraktace. K tomu srov. body</w:t>
      </w:r>
      <w:r w:rsidR="004D46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[44 a 45] </w:t>
      </w:r>
      <w:r w:rsidR="004D46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tam uvedená judikatura v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rozhodnutí </w:t>
      </w:r>
      <w:proofErr w:type="spellStart"/>
      <w:r w:rsidRPr="00944E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Orfey</w:t>
      </w:r>
      <w:proofErr w:type="spellEnd"/>
      <w:r w:rsidRPr="00944E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44E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Balgaria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3B6E91" w:rsidRDefault="003B6E91" w:rsidP="00944E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944EFF" w:rsidRDefault="005678A2" w:rsidP="00944E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 určení subjektivní hodnoty plnění slouží již současný § 36 odst. 1 ZDPH.</w:t>
      </w:r>
      <w:r w:rsidR="00C538D0">
        <w:rPr>
          <w:rStyle w:val="Znakapoznpodarou"/>
          <w:rFonts w:ascii="Times New Roman" w:eastAsia="Times New Roman" w:hAnsi="Times New Roman" w:cs="Times New Roman"/>
          <w:color w:val="000000"/>
          <w:sz w:val="24"/>
          <w:szCs w:val="24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v případě směny je to </w:t>
      </w:r>
      <w:r w:rsidR="00C538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subjektivní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hodnota vyjádřená smluvními stranami.</w:t>
      </w:r>
      <w:r w:rsidR="00C538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Článek 73 Směrnice, z něhož tuzemský § 36 ZDPH vychází, má přímý účinek.</w:t>
      </w:r>
      <w:r w:rsidR="00C538D0">
        <w:rPr>
          <w:rStyle w:val="Znakapoznpodarou"/>
          <w:rFonts w:ascii="Times New Roman" w:eastAsia="Times New Roman" w:hAnsi="Times New Roman" w:cs="Times New Roman"/>
          <w:color w:val="000000"/>
          <w:sz w:val="24"/>
          <w:szCs w:val="24"/>
        </w:rPr>
        <w:footnoteReference w:id="3"/>
      </w:r>
    </w:p>
    <w:p w:rsidR="006F2B7B" w:rsidRDefault="006F2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4610" w:rsidRDefault="004D46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 případě, že by v rámci směny byl určen základ daně zkracujícím způsobem, dopadá na tuto situaci § 36a ZDPH. Další výslovná úprava tak není nutná.</w:t>
      </w:r>
    </w:p>
    <w:p w:rsidR="004D4610" w:rsidRDefault="004D46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4610" w:rsidRDefault="004D4610" w:rsidP="004D46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 případě úplaty poskytnuté virtuální měnou je nutné tyto závěry respektovat obdobně. K otázce doporučení určení základu daně v obchodech zahrnující virtuální měny se vyjádřil Výbor pro DPH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v rámci Evropské komise.</w:t>
      </w:r>
      <w:r>
        <w:rPr>
          <w:rStyle w:val="Znakapoznpodarou"/>
          <w:rFonts w:ascii="Times New Roman" w:eastAsia="Times New Roman" w:hAnsi="Times New Roman" w:cs="Times New Roman"/>
          <w:color w:val="000000"/>
          <w:sz w:val="24"/>
          <w:szCs w:val="24"/>
        </w:rPr>
        <w:footnoteReference w:id="4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Preferované řešení spočívá ve stanovení základu daně na základě ceny obvyklé virtuální měny, nikoliv na základě ceny obvyklé dodaného plnění. Stejný postoj zaujímá dostupná odborná literatura.</w:t>
      </w:r>
      <w:r>
        <w:rPr>
          <w:rStyle w:val="Znakapoznpodarou"/>
          <w:rFonts w:ascii="Times New Roman" w:eastAsia="Times New Roman" w:hAnsi="Times New Roman" w:cs="Times New Roman"/>
          <w:color w:val="000000"/>
          <w:sz w:val="24"/>
          <w:szCs w:val="24"/>
        </w:rPr>
        <w:footnoteReference w:id="5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 praxi nečiní z pohledu DPH obchody zahrnující virtuální měny obtíže, jelikož jejich hodnota je typicky určena v penězích. I kdyby v penězích určená nebyla, je subjektivní hodnotou ve smyslu výše cit.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judikatury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SDEU cena obvyklá virtuální měny.  </w:t>
      </w:r>
    </w:p>
    <w:p w:rsidR="004D4610" w:rsidRDefault="004D4610" w:rsidP="004D46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4610" w:rsidRDefault="004D4610" w:rsidP="004D46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v případě, že by obchod zahrnující virtuální měny proveden zkracujícím způsobem, dopadá na něj již nyní účinný § 36a ZDPH.</w:t>
      </w:r>
    </w:p>
    <w:p w:rsidR="006F2B7B" w:rsidRDefault="006F2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B7B" w:rsidRDefault="006F2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6788" w:rsidRDefault="008867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6788" w:rsidRDefault="008867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675B" w:rsidRDefault="00A5675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 w:after="12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5675B">
      <w:pgSz w:w="12240" w:h="15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5C8" w:rsidRDefault="007B65C8" w:rsidP="00886788">
      <w:r>
        <w:separator/>
      </w:r>
    </w:p>
  </w:endnote>
  <w:endnote w:type="continuationSeparator" w:id="0">
    <w:p w:rsidR="007B65C8" w:rsidRDefault="007B65C8" w:rsidP="0088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5C8" w:rsidRDefault="007B65C8" w:rsidP="00886788">
      <w:r>
        <w:separator/>
      </w:r>
    </w:p>
  </w:footnote>
  <w:footnote w:type="continuationSeparator" w:id="0">
    <w:p w:rsidR="007B65C8" w:rsidRDefault="007B65C8" w:rsidP="00886788">
      <w:r>
        <w:continuationSeparator/>
      </w:r>
    </w:p>
  </w:footnote>
  <w:footnote w:id="1">
    <w:p w:rsidR="005678A2" w:rsidRPr="00C538D0" w:rsidRDefault="005678A2" w:rsidP="005678A2">
      <w:pPr>
        <w:pStyle w:val="Textpoznpodarou"/>
        <w:rPr>
          <w:rFonts w:ascii="Times New Roman" w:hAnsi="Times New Roman" w:cs="Times New Roman"/>
        </w:rPr>
      </w:pPr>
      <w:r w:rsidRPr="00C538D0">
        <w:rPr>
          <w:rStyle w:val="Znakapoznpodarou"/>
          <w:rFonts w:ascii="Times New Roman" w:hAnsi="Times New Roman" w:cs="Times New Roman"/>
        </w:rPr>
        <w:footnoteRef/>
      </w:r>
      <w:r w:rsidRPr="00C538D0">
        <w:rPr>
          <w:rFonts w:ascii="Times New Roman" w:hAnsi="Times New Roman" w:cs="Times New Roman"/>
        </w:rPr>
        <w:t xml:space="preserve"> Směrnice Rady 2006/112/ES, ze dne 28. listopadu 2006, o společném systému daně z přidané hodnoty (dále jen „Směrnice“).</w:t>
      </w:r>
    </w:p>
  </w:footnote>
  <w:footnote w:id="2">
    <w:p w:rsidR="00C538D0" w:rsidRPr="00C538D0" w:rsidRDefault="00C538D0">
      <w:pPr>
        <w:pStyle w:val="Textpoznpodarou"/>
        <w:rPr>
          <w:rFonts w:ascii="Times New Roman" w:hAnsi="Times New Roman" w:cs="Times New Roman"/>
        </w:rPr>
      </w:pPr>
      <w:r w:rsidRPr="00C538D0">
        <w:rPr>
          <w:rStyle w:val="Znakapoznpodarou"/>
          <w:rFonts w:ascii="Times New Roman" w:hAnsi="Times New Roman" w:cs="Times New Roman"/>
        </w:rPr>
        <w:footnoteRef/>
      </w:r>
      <w:r w:rsidRPr="00C538D0">
        <w:rPr>
          <w:rFonts w:ascii="Times New Roman" w:hAnsi="Times New Roman" w:cs="Times New Roman"/>
        </w:rPr>
        <w:t xml:space="preserve"> Zákon č. 235/2004 Sb., o dani z přidané hodnoty, ve znění pozdějších předpisů (dále jen „ZDPH“).</w:t>
      </w:r>
    </w:p>
  </w:footnote>
  <w:footnote w:id="3">
    <w:p w:rsidR="00C538D0" w:rsidRPr="00C538D0" w:rsidRDefault="00C538D0">
      <w:pPr>
        <w:pStyle w:val="Textpoznpodarou"/>
        <w:rPr>
          <w:rFonts w:ascii="Times New Roman" w:hAnsi="Times New Roman" w:cs="Times New Roman"/>
        </w:rPr>
      </w:pPr>
      <w:r w:rsidRPr="00C538D0">
        <w:rPr>
          <w:rStyle w:val="Znakapoznpodarou"/>
          <w:rFonts w:ascii="Times New Roman" w:hAnsi="Times New Roman" w:cs="Times New Roman"/>
        </w:rPr>
        <w:footnoteRef/>
      </w:r>
      <w:r w:rsidRPr="00C538D0">
        <w:rPr>
          <w:rFonts w:ascii="Times New Roman" w:hAnsi="Times New Roman" w:cs="Times New Roman"/>
        </w:rPr>
        <w:t xml:space="preserve"> Výrok 3 ve věci </w:t>
      </w:r>
      <w:proofErr w:type="spellStart"/>
      <w:r w:rsidRPr="00C538D0">
        <w:rPr>
          <w:rFonts w:ascii="Times New Roman" w:eastAsia="Times New Roman" w:hAnsi="Times New Roman" w:cs="Times New Roman"/>
          <w:i/>
          <w:color w:val="000000"/>
        </w:rPr>
        <w:t>Orfey</w:t>
      </w:r>
      <w:proofErr w:type="spellEnd"/>
      <w:r w:rsidRPr="00C538D0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C538D0">
        <w:rPr>
          <w:rFonts w:ascii="Times New Roman" w:eastAsia="Times New Roman" w:hAnsi="Times New Roman" w:cs="Times New Roman"/>
          <w:i/>
          <w:color w:val="000000"/>
        </w:rPr>
        <w:t>Balgaria</w:t>
      </w:r>
      <w:proofErr w:type="spellEnd"/>
      <w:r w:rsidRPr="00C538D0">
        <w:rPr>
          <w:rFonts w:ascii="Times New Roman" w:eastAsia="Times New Roman" w:hAnsi="Times New Roman" w:cs="Times New Roman"/>
          <w:i/>
          <w:color w:val="000000"/>
        </w:rPr>
        <w:t>.</w:t>
      </w:r>
    </w:p>
  </w:footnote>
  <w:footnote w:id="4">
    <w:p w:rsidR="004D4610" w:rsidRPr="00C538D0" w:rsidRDefault="004D4610" w:rsidP="004D4610">
      <w:pPr>
        <w:pStyle w:val="Textpoznpodarou"/>
        <w:rPr>
          <w:rFonts w:ascii="Times New Roman" w:hAnsi="Times New Roman" w:cs="Times New Roman"/>
        </w:rPr>
      </w:pPr>
      <w:r w:rsidRPr="00C538D0">
        <w:rPr>
          <w:rStyle w:val="Znakapoznpodarou"/>
          <w:rFonts w:ascii="Times New Roman" w:hAnsi="Times New Roman" w:cs="Times New Roman"/>
        </w:rPr>
        <w:footnoteRef/>
      </w:r>
      <w:r w:rsidRPr="00C538D0">
        <w:rPr>
          <w:rFonts w:ascii="Times New Roman" w:hAnsi="Times New Roman" w:cs="Times New Roman"/>
        </w:rPr>
        <w:t xml:space="preserve"> VAT </w:t>
      </w:r>
      <w:proofErr w:type="spellStart"/>
      <w:r w:rsidRPr="00C538D0">
        <w:rPr>
          <w:rFonts w:ascii="Times New Roman" w:hAnsi="Times New Roman" w:cs="Times New Roman"/>
        </w:rPr>
        <w:t>Committee</w:t>
      </w:r>
      <w:proofErr w:type="spellEnd"/>
      <w:r w:rsidRPr="00C538D0">
        <w:rPr>
          <w:rFonts w:ascii="Times New Roman" w:hAnsi="Times New Roman" w:cs="Times New Roman"/>
        </w:rPr>
        <w:t>, ‘</w:t>
      </w:r>
      <w:proofErr w:type="spellStart"/>
      <w:r w:rsidRPr="00C538D0">
        <w:rPr>
          <w:rFonts w:ascii="Times New Roman" w:hAnsi="Times New Roman" w:cs="Times New Roman"/>
        </w:rPr>
        <w:t>Working</w:t>
      </w:r>
      <w:proofErr w:type="spellEnd"/>
      <w:r w:rsidRPr="00C538D0">
        <w:rPr>
          <w:rFonts w:ascii="Times New Roman" w:hAnsi="Times New Roman" w:cs="Times New Roman"/>
        </w:rPr>
        <w:t xml:space="preserve"> </w:t>
      </w:r>
      <w:proofErr w:type="spellStart"/>
      <w:r w:rsidRPr="00C538D0">
        <w:rPr>
          <w:rFonts w:ascii="Times New Roman" w:hAnsi="Times New Roman" w:cs="Times New Roman"/>
        </w:rPr>
        <w:t>Paper</w:t>
      </w:r>
      <w:proofErr w:type="spellEnd"/>
      <w:r w:rsidRPr="00C538D0">
        <w:rPr>
          <w:rFonts w:ascii="Times New Roman" w:hAnsi="Times New Roman" w:cs="Times New Roman"/>
        </w:rPr>
        <w:t xml:space="preserve"> No. 854’. </w:t>
      </w:r>
      <w:proofErr w:type="gramStart"/>
      <w:r w:rsidRPr="00C538D0">
        <w:rPr>
          <w:rFonts w:ascii="Times New Roman" w:hAnsi="Times New Roman" w:cs="Times New Roman"/>
        </w:rPr>
        <w:t>str.</w:t>
      </w:r>
      <w:proofErr w:type="gramEnd"/>
      <w:r w:rsidRPr="00C538D0">
        <w:rPr>
          <w:rFonts w:ascii="Times New Roman" w:hAnsi="Times New Roman" w:cs="Times New Roman"/>
        </w:rPr>
        <w:t xml:space="preserve"> 15. https://circabc.europa.eu/sd/a/19f564ce-3878-4a61-9b8c-f0dbf545465f/854%20-%20Commission%20-%20VAT%20treatment%20of%20Bitcoin%20(II).pdf</w:t>
      </w:r>
    </w:p>
  </w:footnote>
  <w:footnote w:id="5">
    <w:p w:rsidR="004D4610" w:rsidRPr="00C538D0" w:rsidRDefault="004D4610" w:rsidP="004D4610">
      <w:pPr>
        <w:pStyle w:val="Textpoznpodarou"/>
        <w:rPr>
          <w:rFonts w:ascii="Times New Roman" w:hAnsi="Times New Roman" w:cs="Times New Roman"/>
        </w:rPr>
      </w:pPr>
      <w:r w:rsidRPr="00C538D0">
        <w:rPr>
          <w:rStyle w:val="Znakapoznpodarou"/>
          <w:rFonts w:ascii="Times New Roman" w:hAnsi="Times New Roman" w:cs="Times New Roman"/>
        </w:rPr>
        <w:footnoteRef/>
      </w:r>
      <w:r w:rsidRPr="00C538D0">
        <w:rPr>
          <w:rFonts w:ascii="Times New Roman" w:hAnsi="Times New Roman" w:cs="Times New Roman"/>
        </w:rPr>
        <w:t xml:space="preserve"> HANYCH, Michal. VAT on Cryptocurrencies. str. 18. http://vatoncryptos.com/vatoncryptos.pdf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36B"/>
    <w:multiLevelType w:val="multilevel"/>
    <w:tmpl w:val="B3485CCC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3073584"/>
    <w:multiLevelType w:val="multilevel"/>
    <w:tmpl w:val="937436BA"/>
    <w:lvl w:ilvl="0">
      <w:start w:val="1"/>
      <w:numFmt w:val="decimal"/>
      <w:lvlText w:val="K bodu %1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6"/>
      <w:numFmt w:val="decimal"/>
      <w:lvlText w:val="(%3)"/>
      <w:lvlJc w:val="left"/>
      <w:pPr>
        <w:ind w:left="2340" w:hanging="360"/>
      </w:pPr>
      <w:rPr>
        <w:vertAlign w:val="baseline"/>
      </w:rPr>
    </w:lvl>
    <w:lvl w:ilvl="3">
      <w:start w:val="3"/>
      <w:numFmt w:val="decimal"/>
      <w:lvlText w:val="(%4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2F2B00"/>
    <w:multiLevelType w:val="multilevel"/>
    <w:tmpl w:val="9D16F458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(%3)"/>
      <w:lvlJc w:val="left"/>
      <w:pPr>
        <w:ind w:left="0" w:firstLine="425"/>
      </w:pPr>
      <w:rPr>
        <w:strike w:val="0"/>
        <w:vertAlign w:val="baseline"/>
      </w:rPr>
    </w:lvl>
    <w:lvl w:ilvl="3">
      <w:start w:val="1"/>
      <w:numFmt w:val="lowerLetter"/>
      <w:lvlText w:val="%4)"/>
      <w:lvlJc w:val="left"/>
      <w:pPr>
        <w:ind w:left="425" w:hanging="425"/>
      </w:pPr>
      <w:rPr>
        <w:b w:val="0"/>
        <w:vertAlign w:val="baseline"/>
      </w:rPr>
    </w:lvl>
    <w:lvl w:ilvl="4">
      <w:start w:val="1"/>
      <w:numFmt w:val="decimal"/>
      <w:lvlText w:val="%5."/>
      <w:lvlJc w:val="left"/>
      <w:pPr>
        <w:ind w:left="851" w:hanging="426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5B"/>
    <w:rsid w:val="000B6981"/>
    <w:rsid w:val="000D0F2E"/>
    <w:rsid w:val="000D6B2D"/>
    <w:rsid w:val="002667D4"/>
    <w:rsid w:val="003B6E91"/>
    <w:rsid w:val="004D4610"/>
    <w:rsid w:val="005678A2"/>
    <w:rsid w:val="005F6006"/>
    <w:rsid w:val="006F2B7B"/>
    <w:rsid w:val="007B65C8"/>
    <w:rsid w:val="00886788"/>
    <w:rsid w:val="008A785F"/>
    <w:rsid w:val="00944EFF"/>
    <w:rsid w:val="00971377"/>
    <w:rsid w:val="00A5675B"/>
    <w:rsid w:val="00A97091"/>
    <w:rsid w:val="00B15921"/>
    <w:rsid w:val="00C538D0"/>
    <w:rsid w:val="00E0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5CF0"/>
  <w15:docId w15:val="{312E4F55-5C1F-4A4A-8752-989AE983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867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78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78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7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78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67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678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6788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6788"/>
  </w:style>
  <w:style w:type="character" w:styleId="Znakapoznpodarou">
    <w:name w:val="footnote reference"/>
    <w:basedOn w:val="Standardnpsmoodstavce"/>
    <w:uiPriority w:val="99"/>
    <w:semiHidden/>
    <w:unhideWhenUsed/>
    <w:rsid w:val="0088678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B6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DCAF0-466D-4BA3-88D6-D4840E9D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540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MartinekT</dc:creator>
  <cp:lastModifiedBy>MartinekT</cp:lastModifiedBy>
  <cp:revision>2</cp:revision>
  <dcterms:created xsi:type="dcterms:W3CDTF">2018-12-04T13:15:00Z</dcterms:created>
  <dcterms:modified xsi:type="dcterms:W3CDTF">2018-12-04T13:15:00Z</dcterms:modified>
</cp:coreProperties>
</file>