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988" w:rsidRPr="00A933CF" w:rsidRDefault="00375925" w:rsidP="00375925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A933CF">
        <w:rPr>
          <w:rFonts w:ascii="Times New Roman" w:hAnsi="Times New Roman"/>
          <w:sz w:val="24"/>
          <w:szCs w:val="24"/>
        </w:rPr>
        <w:t>PS1800</w:t>
      </w:r>
      <w:r w:rsidR="00A933CF" w:rsidRPr="00A933CF">
        <w:rPr>
          <w:rFonts w:ascii="Times New Roman" w:hAnsi="Times New Roman"/>
          <w:sz w:val="24"/>
          <w:szCs w:val="24"/>
        </w:rPr>
        <w:t>12332</w:t>
      </w:r>
    </w:p>
    <w:p w:rsidR="006C0499" w:rsidRDefault="006C0499" w:rsidP="001E0702">
      <w:pPr>
        <w:pStyle w:val="PS-hlavika1"/>
      </w:pPr>
    </w:p>
    <w:p w:rsidR="006C0499" w:rsidRDefault="006C0499" w:rsidP="001E0702">
      <w:pPr>
        <w:pStyle w:val="PS-hlavika1"/>
      </w:pPr>
    </w:p>
    <w:p w:rsidR="001E0702" w:rsidRDefault="001E0702" w:rsidP="001E0702">
      <w:pPr>
        <w:pStyle w:val="PS-hlavika1"/>
      </w:pPr>
      <w:r>
        <w:t>Parlament České republiky</w:t>
      </w:r>
    </w:p>
    <w:p w:rsidR="001E0702" w:rsidRDefault="001E0702" w:rsidP="001E0702">
      <w:pPr>
        <w:pStyle w:val="PS-hlavika2"/>
      </w:pPr>
      <w:r>
        <w:t>POSLANECKÁ SNĚMOVNA</w:t>
      </w:r>
    </w:p>
    <w:p w:rsidR="001E0702" w:rsidRDefault="001E0702" w:rsidP="001E0702">
      <w:pPr>
        <w:pStyle w:val="PS-hlavika2"/>
      </w:pPr>
      <w:r>
        <w:t>2018</w:t>
      </w:r>
    </w:p>
    <w:p w:rsidR="001E0702" w:rsidRDefault="001E0702" w:rsidP="001E0702">
      <w:pPr>
        <w:pStyle w:val="PS-hlavika1"/>
      </w:pPr>
      <w:r>
        <w:t>8. volební období</w:t>
      </w:r>
    </w:p>
    <w:p w:rsidR="001E0702" w:rsidRDefault="00376BCB" w:rsidP="001E0702">
      <w:pPr>
        <w:pStyle w:val="PS-slousnesen"/>
      </w:pPr>
      <w:r>
        <w:t>88</w:t>
      </w:r>
    </w:p>
    <w:p w:rsidR="001E0702" w:rsidRDefault="001E0702" w:rsidP="001E0702">
      <w:pPr>
        <w:pStyle w:val="PS-hlavika3"/>
      </w:pPr>
      <w:r>
        <w:t>USNESENÍ</w:t>
      </w:r>
    </w:p>
    <w:p w:rsidR="001E0702" w:rsidRDefault="001E0702" w:rsidP="001E0702">
      <w:pPr>
        <w:pStyle w:val="PS-hlavika1"/>
      </w:pPr>
      <w:r>
        <w:t>ústavně právního výboru</w:t>
      </w:r>
    </w:p>
    <w:p w:rsidR="001E0702" w:rsidRDefault="00280332" w:rsidP="001E0702">
      <w:pPr>
        <w:pStyle w:val="PS-hlavika1"/>
      </w:pPr>
      <w:r>
        <w:t xml:space="preserve">z </w:t>
      </w:r>
      <w:r w:rsidR="00BD3DB1">
        <w:t>2</w:t>
      </w:r>
      <w:r w:rsidR="008C2C4B">
        <w:t>7</w:t>
      </w:r>
      <w:r w:rsidR="001E0702">
        <w:t>. schůze</w:t>
      </w:r>
    </w:p>
    <w:p w:rsidR="001E0702" w:rsidRDefault="00C52AB6" w:rsidP="001E0702">
      <w:pPr>
        <w:pStyle w:val="PS-hlavika1"/>
      </w:pPr>
      <w:r>
        <w:t xml:space="preserve">dne </w:t>
      </w:r>
      <w:r w:rsidR="008C2C4B">
        <w:t xml:space="preserve">10. října </w:t>
      </w:r>
      <w:r w:rsidR="001E0702">
        <w:t>2018</w:t>
      </w:r>
    </w:p>
    <w:p w:rsidR="00040D2E" w:rsidRPr="00040D2E" w:rsidRDefault="00040D2E" w:rsidP="00040D2E">
      <w:pPr>
        <w:pStyle w:val="Bezmezer"/>
      </w:pPr>
    </w:p>
    <w:p w:rsidR="00040D2E" w:rsidRDefault="00040D2E" w:rsidP="00040D2E">
      <w:pPr>
        <w:pStyle w:val="Bezmezer"/>
      </w:pPr>
    </w:p>
    <w:p w:rsidR="00040D2E" w:rsidRPr="00BC5E0A" w:rsidRDefault="00040D2E" w:rsidP="00040D2E">
      <w:pPr>
        <w:jc w:val="center"/>
      </w:pPr>
      <w:r w:rsidRPr="00BC5E0A">
        <w:t>Vládní návrh zákona, kterým se mění zákon č. 234/2014 Sb., o státní službě, ve znění pozdějších předpisů, a další související zákony (tisk 132)</w:t>
      </w:r>
    </w:p>
    <w:p w:rsidR="001E0702" w:rsidRPr="00681834" w:rsidRDefault="008C2C4B" w:rsidP="001E0702">
      <w:pPr>
        <w:jc w:val="center"/>
      </w:pPr>
      <w:r>
        <w:t>___________________________</w:t>
      </w:r>
      <w:r w:rsidR="001E0702">
        <w:t>____________________________________________</w:t>
      </w:r>
    </w:p>
    <w:p w:rsidR="001E0702" w:rsidRDefault="001E0702" w:rsidP="001E0702">
      <w:pPr>
        <w:pStyle w:val="PS-uvodnodstavec"/>
        <w:spacing w:after="0"/>
      </w:pPr>
    </w:p>
    <w:p w:rsidR="004E4A59" w:rsidRDefault="004E4A59" w:rsidP="00D25E86">
      <w:pPr>
        <w:pStyle w:val="PS-uvodnodstavec"/>
        <w:spacing w:after="0" w:line="240" w:lineRule="auto"/>
      </w:pPr>
    </w:p>
    <w:p w:rsidR="001E0702" w:rsidRDefault="00BD3DB1" w:rsidP="00D25E86">
      <w:pPr>
        <w:pStyle w:val="PS-uvodnodstavec"/>
        <w:spacing w:after="0" w:line="240" w:lineRule="auto"/>
      </w:pPr>
      <w:r>
        <w:t xml:space="preserve">Ústavně právní výbor Poslanecké sněmovny Parlamentu ČR jako garanční výbor po projednání návrhu zákona po druhém čtení </w:t>
      </w:r>
    </w:p>
    <w:p w:rsidR="00BD3DB1" w:rsidRPr="00BD3DB1" w:rsidRDefault="00BD3DB1" w:rsidP="00D25E86">
      <w:pPr>
        <w:rPr>
          <w:lang w:eastAsia="en-US"/>
        </w:rPr>
      </w:pPr>
    </w:p>
    <w:p w:rsidR="00BD3DB1" w:rsidRDefault="00BD3DB1" w:rsidP="00D25E86">
      <w:pPr>
        <w:rPr>
          <w:lang w:eastAsia="en-US"/>
        </w:rPr>
      </w:pPr>
    </w:p>
    <w:p w:rsidR="00BD3DB1" w:rsidRDefault="00BD3DB1" w:rsidP="00D25E86">
      <w:pPr>
        <w:pStyle w:val="Tlotextu"/>
        <w:spacing w:after="0" w:line="240" w:lineRule="auto"/>
        <w:ind w:left="690" w:hanging="690"/>
        <w:jc w:val="both"/>
        <w:rPr>
          <w:spacing w:val="-4"/>
        </w:rPr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</w:t>
      </w:r>
      <w:proofErr w:type="gramStart"/>
      <w:r>
        <w:rPr>
          <w:spacing w:val="-4"/>
        </w:rPr>
        <w:t xml:space="preserve">podaných </w:t>
      </w:r>
      <w:r w:rsidR="00CE53B7">
        <w:rPr>
          <w:spacing w:val="-4"/>
        </w:rPr>
        <w:t xml:space="preserve">                    </w:t>
      </w:r>
      <w:r>
        <w:rPr>
          <w:spacing w:val="-4"/>
        </w:rPr>
        <w:t>k</w:t>
      </w:r>
      <w:r w:rsidR="00CE53B7">
        <w:rPr>
          <w:spacing w:val="-4"/>
        </w:rPr>
        <w:t> </w:t>
      </w:r>
      <w:r>
        <w:rPr>
          <w:spacing w:val="-4"/>
        </w:rPr>
        <w:t>návrhu</w:t>
      </w:r>
      <w:proofErr w:type="gramEnd"/>
      <w:r w:rsidR="00CE53B7">
        <w:rPr>
          <w:spacing w:val="-4"/>
        </w:rPr>
        <w:t xml:space="preserve"> zá</w:t>
      </w:r>
      <w:r>
        <w:rPr>
          <w:spacing w:val="-4"/>
        </w:rPr>
        <w:t xml:space="preserve">kona (podle sněmovního tisku </w:t>
      </w:r>
      <w:r w:rsidR="00040D2E">
        <w:rPr>
          <w:spacing w:val="-4"/>
        </w:rPr>
        <w:t>132/3</w:t>
      </w:r>
      <w:r>
        <w:rPr>
          <w:spacing w:val="-4"/>
        </w:rPr>
        <w:t>) v následujícím pořadí:</w:t>
      </w:r>
    </w:p>
    <w:p w:rsidR="00750AA3" w:rsidRDefault="00750AA3" w:rsidP="00D25E86">
      <w:pPr>
        <w:pStyle w:val="Tlotextu"/>
        <w:spacing w:after="0" w:line="240" w:lineRule="auto"/>
        <w:ind w:left="690" w:hanging="690"/>
        <w:jc w:val="both"/>
      </w:pPr>
    </w:p>
    <w:p w:rsidR="00750AA3" w:rsidRDefault="00750AA3" w:rsidP="00750AA3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 na zamítnutí zákona</w:t>
      </w:r>
    </w:p>
    <w:p w:rsidR="00750AA3" w:rsidRDefault="00750AA3" w:rsidP="00750AA3">
      <w:pPr>
        <w:pStyle w:val="Odstavecseseznamem"/>
        <w:autoSpaceDE w:val="0"/>
        <w:autoSpaceDN w:val="0"/>
        <w:adjustRightInd w:val="0"/>
        <w:spacing w:after="100" w:afterAutospacing="1"/>
        <w:ind w:left="993"/>
        <w:rPr>
          <w:lang w:eastAsia="zh-CN" w:bidi="hi-IN"/>
        </w:rPr>
      </w:pPr>
    </w:p>
    <w:p w:rsidR="00AE0B4E" w:rsidRPr="00BB534D" w:rsidRDefault="00AE0B4E" w:rsidP="00717827">
      <w:pPr>
        <w:pStyle w:val="Odstavecseseznamem"/>
        <w:numPr>
          <w:ilvl w:val="0"/>
          <w:numId w:val="12"/>
        </w:numPr>
        <w:ind w:left="426" w:firstLine="567"/>
        <w:jc w:val="both"/>
      </w:pPr>
      <w:r w:rsidRPr="00BB534D">
        <w:t>Návrhy technických úprav podle § 95 odst. 2 JŘ přednesené ve třetím čtení</w:t>
      </w:r>
    </w:p>
    <w:p w:rsidR="00AE0B4E" w:rsidRPr="00BB534D" w:rsidRDefault="00AE0B4E" w:rsidP="00AE0B4E">
      <w:pPr>
        <w:ind w:left="1133" w:firstLine="283"/>
        <w:jc w:val="both"/>
      </w:pPr>
      <w:r w:rsidRPr="00BB534D">
        <w:t>(budou-li v rozpravě ve třetím čtení předneseny).</w:t>
      </w:r>
    </w:p>
    <w:p w:rsidR="00040D2E" w:rsidRDefault="00040D2E" w:rsidP="00750AA3">
      <w:pPr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Návrhy D1 až D15 společně jedním hlasováním</w:t>
      </w:r>
    </w:p>
    <w:p w:rsidR="00040D2E" w:rsidRDefault="00040D2E" w:rsidP="00040D2E">
      <w:pPr>
        <w:pStyle w:val="Odstavecseseznamem"/>
        <w:autoSpaceDE w:val="0"/>
        <w:autoSpaceDN w:val="0"/>
        <w:adjustRightInd w:val="0"/>
        <w:spacing w:after="100" w:afterAutospacing="1"/>
        <w:ind w:left="1418" w:hanging="2"/>
        <w:rPr>
          <w:lang w:eastAsia="zh-CN" w:bidi="hi-IN"/>
        </w:rPr>
      </w:pPr>
      <w:r>
        <w:rPr>
          <w:lang w:eastAsia="zh-CN" w:bidi="hi-IN"/>
        </w:rPr>
        <w:t xml:space="preserve">Návrhy C, D22, E8 a F se po hlasování o D1 až D15 stanou </w:t>
      </w:r>
      <w:proofErr w:type="spellStart"/>
      <w:r>
        <w:rPr>
          <w:lang w:eastAsia="zh-CN" w:bidi="hi-IN"/>
        </w:rPr>
        <w:t>nehlasovatelnými</w:t>
      </w:r>
      <w:proofErr w:type="spellEnd"/>
      <w:r>
        <w:rPr>
          <w:lang w:eastAsia="zh-CN" w:bidi="hi-IN"/>
        </w:rPr>
        <w:t xml:space="preserve"> (věcně totožné)</w:t>
      </w:r>
    </w:p>
    <w:p w:rsidR="00040D2E" w:rsidRPr="000F7C1D" w:rsidRDefault="00040D2E" w:rsidP="00040D2E">
      <w:pPr>
        <w:pStyle w:val="Odstavecseseznamem"/>
        <w:autoSpaceDE w:val="0"/>
        <w:autoSpaceDN w:val="0"/>
        <w:adjustRightInd w:val="0"/>
        <w:spacing w:after="100" w:afterAutospacing="1"/>
        <w:ind w:left="1418" w:hanging="2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 A1</w:t>
      </w:r>
    </w:p>
    <w:p w:rsidR="00040D2E" w:rsidRDefault="00040D2E" w:rsidP="00040D2E">
      <w:pPr>
        <w:pStyle w:val="Odstavecseseznamem"/>
        <w:autoSpaceDE w:val="0"/>
        <w:autoSpaceDN w:val="0"/>
        <w:adjustRightInd w:val="0"/>
        <w:spacing w:after="100" w:afterAutospacing="1"/>
        <w:ind w:left="993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 A2</w:t>
      </w:r>
    </w:p>
    <w:p w:rsidR="00040D2E" w:rsidRDefault="00040D2E" w:rsidP="00040D2E">
      <w:pPr>
        <w:pStyle w:val="Odstavecseseznamem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 xml:space="preserve">Návrh B </w:t>
      </w:r>
    </w:p>
    <w:p w:rsidR="00040D2E" w:rsidRDefault="00040D2E" w:rsidP="00040D2E">
      <w:pPr>
        <w:pStyle w:val="Odstavecseseznamem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 D16</w:t>
      </w:r>
    </w:p>
    <w:p w:rsidR="00960535" w:rsidRDefault="00960535" w:rsidP="00960535">
      <w:pPr>
        <w:pStyle w:val="Odstavecseseznamem"/>
        <w:rPr>
          <w:lang w:eastAsia="zh-CN" w:bidi="hi-IN"/>
        </w:rPr>
      </w:pPr>
    </w:p>
    <w:p w:rsidR="00960535" w:rsidRDefault="00960535" w:rsidP="0096053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left="1418" w:hanging="425"/>
        <w:rPr>
          <w:lang w:eastAsia="zh-CN" w:bidi="hi-IN"/>
        </w:rPr>
      </w:pPr>
      <w:r>
        <w:rPr>
          <w:lang w:eastAsia="zh-CN" w:bidi="hi-IN"/>
        </w:rPr>
        <w:t xml:space="preserve">Návrhy E5 až E7 společně jedním hlasováním – </w:t>
      </w:r>
      <w:proofErr w:type="spellStart"/>
      <w:r>
        <w:rPr>
          <w:lang w:eastAsia="zh-CN" w:bidi="hi-IN"/>
        </w:rPr>
        <w:t>nehlasovatelné</w:t>
      </w:r>
      <w:proofErr w:type="spellEnd"/>
      <w:r>
        <w:rPr>
          <w:lang w:eastAsia="zh-CN" w:bidi="hi-IN"/>
        </w:rPr>
        <w:t xml:space="preserve"> v případě přijetí návrhů D17 a D18</w:t>
      </w:r>
    </w:p>
    <w:p w:rsidR="00040D2E" w:rsidRDefault="00040D2E" w:rsidP="00040D2E">
      <w:pPr>
        <w:pStyle w:val="Odstavecseseznamem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lastRenderedPageBreak/>
        <w:t>Návrhy D17 a D18 společně jedním hlasováním</w:t>
      </w:r>
    </w:p>
    <w:p w:rsidR="00040D2E" w:rsidRDefault="00040D2E" w:rsidP="00040D2E">
      <w:pPr>
        <w:pStyle w:val="Odstavecseseznamem"/>
        <w:autoSpaceDE w:val="0"/>
        <w:autoSpaceDN w:val="0"/>
        <w:adjustRightInd w:val="0"/>
        <w:spacing w:after="100" w:afterAutospacing="1"/>
        <w:ind w:firstLine="696"/>
        <w:rPr>
          <w:lang w:eastAsia="zh-CN" w:bidi="hi-IN"/>
        </w:rPr>
      </w:pPr>
      <w:r>
        <w:rPr>
          <w:lang w:eastAsia="zh-CN" w:bidi="hi-IN"/>
        </w:rPr>
        <w:t xml:space="preserve">Budou-li návrhy D17 a D18 přijaty, jsou návrhy E5 až E7 </w:t>
      </w:r>
      <w:proofErr w:type="spellStart"/>
      <w:r>
        <w:rPr>
          <w:lang w:eastAsia="zh-CN" w:bidi="hi-IN"/>
        </w:rPr>
        <w:t>nehlasovatelné</w:t>
      </w:r>
      <w:proofErr w:type="spellEnd"/>
    </w:p>
    <w:p w:rsidR="00040D2E" w:rsidRDefault="00040D2E" w:rsidP="00040D2E">
      <w:pPr>
        <w:pStyle w:val="Odstavecseseznamem"/>
        <w:autoSpaceDE w:val="0"/>
        <w:autoSpaceDN w:val="0"/>
        <w:adjustRightInd w:val="0"/>
        <w:spacing w:after="100" w:afterAutospacing="1"/>
        <w:ind w:firstLine="696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Návrhy D19 a D23 společně jedním hlasováním</w:t>
      </w:r>
    </w:p>
    <w:p w:rsidR="00040D2E" w:rsidRDefault="00040D2E" w:rsidP="00040D2E">
      <w:pPr>
        <w:pStyle w:val="Odstavecseseznamem"/>
        <w:autoSpaceDE w:val="0"/>
        <w:autoSpaceDN w:val="0"/>
        <w:adjustRightInd w:val="0"/>
        <w:spacing w:after="100" w:afterAutospacing="1"/>
        <w:ind w:left="993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 D20</w:t>
      </w:r>
    </w:p>
    <w:p w:rsidR="00040D2E" w:rsidRDefault="00040D2E" w:rsidP="00040D2E">
      <w:pPr>
        <w:pStyle w:val="Odstavecseseznamem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 D21</w:t>
      </w:r>
    </w:p>
    <w:p w:rsidR="00040D2E" w:rsidRDefault="00040D2E" w:rsidP="00040D2E">
      <w:pPr>
        <w:pStyle w:val="Odstavecseseznamem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Návrhy D24 a D25 společně jedním hlasováním</w:t>
      </w:r>
    </w:p>
    <w:p w:rsidR="00040D2E" w:rsidRDefault="00040D2E" w:rsidP="00040D2E">
      <w:pPr>
        <w:pStyle w:val="Odstavecseseznamem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firstLine="65"/>
        <w:rPr>
          <w:lang w:eastAsia="zh-CN" w:bidi="hi-IN"/>
        </w:rPr>
      </w:pPr>
      <w:r>
        <w:rPr>
          <w:lang w:eastAsia="zh-CN" w:bidi="hi-IN"/>
        </w:rPr>
        <w:t>Návrhy E1 až E4 společně jedním hlasováním</w:t>
      </w:r>
    </w:p>
    <w:p w:rsidR="00040D2E" w:rsidRDefault="00040D2E" w:rsidP="00040D2E">
      <w:pPr>
        <w:pStyle w:val="Odstavecseseznamem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left="1418" w:hanging="425"/>
        <w:rPr>
          <w:lang w:eastAsia="zh-CN" w:bidi="hi-IN"/>
        </w:rPr>
      </w:pPr>
      <w:r>
        <w:rPr>
          <w:lang w:eastAsia="zh-CN" w:bidi="hi-IN"/>
        </w:rPr>
        <w:t>Návrhy E9 až E11 společně jedním hlasováním</w:t>
      </w:r>
    </w:p>
    <w:p w:rsidR="00040D2E" w:rsidRDefault="00040D2E" w:rsidP="00040D2E">
      <w:pPr>
        <w:pStyle w:val="Odstavecseseznamem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left="1418" w:hanging="425"/>
        <w:rPr>
          <w:lang w:eastAsia="zh-CN" w:bidi="hi-IN"/>
        </w:rPr>
      </w:pPr>
      <w:r>
        <w:rPr>
          <w:lang w:eastAsia="zh-CN" w:bidi="hi-IN"/>
        </w:rPr>
        <w:t>Návrh E12</w:t>
      </w:r>
    </w:p>
    <w:p w:rsidR="00040D2E" w:rsidRDefault="00040D2E" w:rsidP="00040D2E">
      <w:pPr>
        <w:pStyle w:val="Odstavecseseznamem"/>
        <w:rPr>
          <w:lang w:eastAsia="zh-CN" w:bidi="hi-IN"/>
        </w:rPr>
      </w:pPr>
    </w:p>
    <w:p w:rsidR="00040D2E" w:rsidRDefault="00040D2E" w:rsidP="00040D2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ind w:left="1418" w:hanging="425"/>
        <w:rPr>
          <w:lang w:eastAsia="zh-CN" w:bidi="hi-IN"/>
        </w:rPr>
      </w:pPr>
      <w:r>
        <w:rPr>
          <w:lang w:eastAsia="zh-CN" w:bidi="hi-IN"/>
        </w:rPr>
        <w:t>Návrh zákona jako celek;</w:t>
      </w:r>
    </w:p>
    <w:p w:rsidR="00BD3DB1" w:rsidRDefault="00BD3DB1" w:rsidP="006D268A">
      <w:pPr>
        <w:pStyle w:val="Tlotextu"/>
        <w:ind w:firstLine="65"/>
        <w:jc w:val="both"/>
        <w:rPr>
          <w:rFonts w:cs="Mangal"/>
        </w:rPr>
      </w:pPr>
    </w:p>
    <w:p w:rsidR="00BD3DB1" w:rsidRDefault="00BD3DB1" w:rsidP="00BD3DB1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BD3DB1" w:rsidRDefault="00BD3DB1" w:rsidP="00BD3DB1">
      <w:pPr>
        <w:jc w:val="both"/>
      </w:pPr>
    </w:p>
    <w:p w:rsidR="00273B37" w:rsidRPr="00996AFE" w:rsidRDefault="00960535" w:rsidP="00505CA4">
      <w:pPr>
        <w:pStyle w:val="Odstavecseseznamem"/>
        <w:numPr>
          <w:ilvl w:val="0"/>
          <w:numId w:val="17"/>
        </w:numPr>
      </w:pPr>
      <w:r>
        <w:t>Návrh na zamítnutí zákona</w:t>
      </w:r>
      <w:r w:rsidR="00505CA4">
        <w:t xml:space="preserve"> -</w:t>
      </w:r>
      <w:r>
        <w:tab/>
      </w:r>
      <w:r w:rsidRPr="00505CA4">
        <w:rPr>
          <w:b/>
        </w:rPr>
        <w:t>nedoporučuje</w:t>
      </w:r>
    </w:p>
    <w:p w:rsidR="00996AFE" w:rsidRDefault="00996AFE" w:rsidP="00996AFE">
      <w:pPr>
        <w:pStyle w:val="Odstavecseseznamem"/>
        <w:ind w:left="1428"/>
      </w:pPr>
    </w:p>
    <w:p w:rsidR="00960535" w:rsidRPr="00A526D8" w:rsidRDefault="00960535" w:rsidP="00505CA4">
      <w:pPr>
        <w:pStyle w:val="Odstavecseseznamem"/>
        <w:numPr>
          <w:ilvl w:val="0"/>
          <w:numId w:val="17"/>
        </w:numPr>
      </w:pPr>
      <w:r w:rsidRPr="00A526D8">
        <w:t>Návrh</w:t>
      </w:r>
      <w:r w:rsidR="00BB5F7E" w:rsidRPr="00A526D8">
        <w:t>y</w:t>
      </w:r>
      <w:r w:rsidRPr="00A526D8">
        <w:t xml:space="preserve"> D1 až D15</w:t>
      </w:r>
      <w:r w:rsidR="00505CA4" w:rsidRPr="00A526D8">
        <w:t xml:space="preserve"> </w:t>
      </w:r>
      <w:r w:rsidR="00996AFE" w:rsidRPr="00A526D8">
        <w:t>–</w:t>
      </w:r>
      <w:r w:rsidR="00505CA4" w:rsidRPr="00A526D8">
        <w:t xml:space="preserve"> </w:t>
      </w:r>
      <w:r w:rsidRPr="00A526D8">
        <w:rPr>
          <w:b/>
        </w:rPr>
        <w:t>doporučuje</w:t>
      </w:r>
    </w:p>
    <w:p w:rsidR="00996AFE" w:rsidRPr="00A526D8" w:rsidRDefault="00996AFE" w:rsidP="00996AFE"/>
    <w:p w:rsidR="00960535" w:rsidRPr="00996AFE" w:rsidRDefault="00960535" w:rsidP="00505CA4">
      <w:pPr>
        <w:pStyle w:val="Odstavecseseznamem"/>
        <w:numPr>
          <w:ilvl w:val="0"/>
          <w:numId w:val="17"/>
        </w:numPr>
      </w:pPr>
      <w:r>
        <w:t>Návrh A1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nedoporučuje</w:t>
      </w:r>
    </w:p>
    <w:p w:rsidR="00996AFE" w:rsidRDefault="00996AFE" w:rsidP="00996AFE"/>
    <w:p w:rsidR="00960535" w:rsidRPr="00996AFE" w:rsidRDefault="00960535" w:rsidP="00505CA4">
      <w:pPr>
        <w:pStyle w:val="Odstavecseseznamem"/>
        <w:numPr>
          <w:ilvl w:val="0"/>
          <w:numId w:val="17"/>
        </w:numPr>
      </w:pPr>
      <w:r>
        <w:t>Návrh A2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nedoporučuje</w:t>
      </w:r>
    </w:p>
    <w:p w:rsidR="00996AFE" w:rsidRDefault="00996AFE" w:rsidP="00996AFE"/>
    <w:p w:rsidR="00960535" w:rsidRPr="00996AFE" w:rsidRDefault="004A1136" w:rsidP="00505CA4">
      <w:pPr>
        <w:pStyle w:val="Odstavecseseznamem"/>
        <w:numPr>
          <w:ilvl w:val="0"/>
          <w:numId w:val="17"/>
        </w:numPr>
      </w:pPr>
      <w:r>
        <w:t>Návrh B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doporučuje</w:t>
      </w:r>
    </w:p>
    <w:p w:rsidR="00996AFE" w:rsidRDefault="00996AFE" w:rsidP="00996AFE"/>
    <w:p w:rsidR="004A1136" w:rsidRPr="00996AFE" w:rsidRDefault="004A1136" w:rsidP="00505CA4">
      <w:pPr>
        <w:pStyle w:val="Odstavecseseznamem"/>
        <w:numPr>
          <w:ilvl w:val="0"/>
          <w:numId w:val="17"/>
        </w:numPr>
      </w:pPr>
      <w:r>
        <w:t>Návrh D16</w:t>
      </w:r>
      <w:r w:rsidR="00505CA4">
        <w:t xml:space="preserve"> </w:t>
      </w:r>
      <w:r w:rsidR="00996AFE">
        <w:t>–</w:t>
      </w:r>
      <w:r w:rsidR="00505CA4">
        <w:t xml:space="preserve"> </w:t>
      </w:r>
      <w:r w:rsidR="00996AFE">
        <w:rPr>
          <w:b/>
        </w:rPr>
        <w:t>doporučuje</w:t>
      </w:r>
    </w:p>
    <w:p w:rsidR="00996AFE" w:rsidRDefault="00996AFE" w:rsidP="00996AFE"/>
    <w:p w:rsidR="00BB5F7E" w:rsidRPr="00996AFE" w:rsidRDefault="00BB5F7E" w:rsidP="00505CA4">
      <w:pPr>
        <w:pStyle w:val="Odstavecseseznamem"/>
        <w:numPr>
          <w:ilvl w:val="0"/>
          <w:numId w:val="17"/>
        </w:numPr>
      </w:pPr>
      <w:r>
        <w:t>Návrhy E5 až E7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nedoporučuje</w:t>
      </w:r>
    </w:p>
    <w:p w:rsidR="00996AFE" w:rsidRDefault="00996AFE" w:rsidP="00996AFE"/>
    <w:p w:rsidR="00BB5F7E" w:rsidRPr="00996AFE" w:rsidRDefault="00BB5F7E" w:rsidP="00505CA4">
      <w:pPr>
        <w:pStyle w:val="Odstavecseseznamem"/>
        <w:numPr>
          <w:ilvl w:val="0"/>
          <w:numId w:val="17"/>
        </w:numPr>
      </w:pPr>
      <w:r>
        <w:t>Návrhy D17 a D18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doporučuje</w:t>
      </w:r>
    </w:p>
    <w:p w:rsidR="00996AFE" w:rsidRDefault="00996AFE" w:rsidP="00996AFE"/>
    <w:p w:rsidR="00BB5F7E" w:rsidRPr="00996AFE" w:rsidRDefault="00BB5F7E" w:rsidP="00505CA4">
      <w:pPr>
        <w:pStyle w:val="Odstavecseseznamem"/>
        <w:numPr>
          <w:ilvl w:val="0"/>
          <w:numId w:val="17"/>
        </w:numPr>
      </w:pPr>
      <w:r>
        <w:t>Návrhy D19 a D23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doporučuje</w:t>
      </w:r>
    </w:p>
    <w:p w:rsidR="00996AFE" w:rsidRDefault="00996AFE" w:rsidP="00996AFE"/>
    <w:p w:rsidR="00BB5F7E" w:rsidRPr="00996AFE" w:rsidRDefault="00BB5F7E" w:rsidP="00505CA4">
      <w:pPr>
        <w:pStyle w:val="Odstavecseseznamem"/>
        <w:numPr>
          <w:ilvl w:val="0"/>
          <w:numId w:val="17"/>
        </w:numPr>
      </w:pPr>
      <w:r>
        <w:t>Návrh D 20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doporučuje</w:t>
      </w:r>
    </w:p>
    <w:p w:rsidR="00996AFE" w:rsidRDefault="00996AFE" w:rsidP="00996AFE"/>
    <w:p w:rsidR="00BB5F7E" w:rsidRPr="00996AFE" w:rsidRDefault="00BB5F7E" w:rsidP="00505CA4">
      <w:pPr>
        <w:pStyle w:val="Odstavecseseznamem"/>
        <w:numPr>
          <w:ilvl w:val="0"/>
          <w:numId w:val="17"/>
        </w:numPr>
      </w:pPr>
      <w:r>
        <w:t>Návrh D21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doporučuje</w:t>
      </w:r>
    </w:p>
    <w:p w:rsidR="00996AFE" w:rsidRDefault="00996AFE" w:rsidP="00996AFE"/>
    <w:p w:rsidR="00BB5F7E" w:rsidRPr="00996AFE" w:rsidRDefault="00BB5F7E" w:rsidP="00505CA4">
      <w:pPr>
        <w:pStyle w:val="Odstavecseseznamem"/>
        <w:numPr>
          <w:ilvl w:val="0"/>
          <w:numId w:val="17"/>
        </w:numPr>
      </w:pPr>
      <w:r>
        <w:t>Návrhy D24 a D25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doporučuje</w:t>
      </w:r>
    </w:p>
    <w:p w:rsidR="00996AFE" w:rsidRDefault="00996AFE" w:rsidP="00996AFE"/>
    <w:p w:rsidR="00BB5F7E" w:rsidRPr="00996AFE" w:rsidRDefault="00BB5F7E" w:rsidP="00505CA4">
      <w:pPr>
        <w:pStyle w:val="Odstavecseseznamem"/>
        <w:numPr>
          <w:ilvl w:val="0"/>
          <w:numId w:val="17"/>
        </w:numPr>
      </w:pPr>
      <w:r>
        <w:t>Návrhy E1 až E4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nedoporučuje</w:t>
      </w:r>
    </w:p>
    <w:p w:rsidR="00996AFE" w:rsidRDefault="00996AFE" w:rsidP="00996AFE"/>
    <w:p w:rsidR="00BB5F7E" w:rsidRPr="00996AFE" w:rsidRDefault="00BB5F7E" w:rsidP="00505CA4">
      <w:pPr>
        <w:pStyle w:val="Odstavecseseznamem"/>
        <w:numPr>
          <w:ilvl w:val="0"/>
          <w:numId w:val="17"/>
        </w:numPr>
      </w:pPr>
      <w:r>
        <w:t>Návrhy E9 až E11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nedoporučuje</w:t>
      </w:r>
    </w:p>
    <w:p w:rsidR="00996AFE" w:rsidRDefault="00996AFE" w:rsidP="00996AFE">
      <w:pPr>
        <w:pStyle w:val="Odstavecseseznamem"/>
        <w:ind w:left="1428"/>
      </w:pPr>
    </w:p>
    <w:p w:rsidR="00BB5F7E" w:rsidRPr="00996AFE" w:rsidRDefault="00BB5F7E" w:rsidP="00505CA4">
      <w:pPr>
        <w:pStyle w:val="Odstavecseseznamem"/>
        <w:numPr>
          <w:ilvl w:val="0"/>
          <w:numId w:val="17"/>
        </w:numPr>
      </w:pPr>
      <w:r>
        <w:t>Návrh E12</w:t>
      </w:r>
      <w:r w:rsidR="00505CA4">
        <w:t xml:space="preserve"> </w:t>
      </w:r>
      <w:r w:rsidR="00996AFE">
        <w:t>–</w:t>
      </w:r>
      <w:r w:rsidR="00505CA4">
        <w:t xml:space="preserve"> </w:t>
      </w:r>
      <w:r w:rsidRPr="00505CA4">
        <w:rPr>
          <w:b/>
        </w:rPr>
        <w:t>nedoporučuje</w:t>
      </w:r>
    </w:p>
    <w:p w:rsidR="00996AFE" w:rsidRDefault="00996AFE" w:rsidP="00996AFE">
      <w:pPr>
        <w:pStyle w:val="Odstavecseseznamem"/>
        <w:ind w:left="1428"/>
      </w:pPr>
    </w:p>
    <w:p w:rsidR="00BB5F7E" w:rsidRPr="00273B37" w:rsidRDefault="00BB5F7E" w:rsidP="00505CA4">
      <w:pPr>
        <w:pStyle w:val="Odstavecseseznamem"/>
        <w:numPr>
          <w:ilvl w:val="0"/>
          <w:numId w:val="17"/>
        </w:numPr>
      </w:pPr>
      <w:r>
        <w:t>Návrh zákona jako celek</w:t>
      </w:r>
      <w:r w:rsidR="00505CA4">
        <w:t xml:space="preserve"> - </w:t>
      </w:r>
      <w:r w:rsidRPr="00505CA4">
        <w:rPr>
          <w:b/>
        </w:rPr>
        <w:t>doporučuje</w:t>
      </w:r>
      <w:r w:rsidR="004E4A59" w:rsidRPr="00505CA4">
        <w:rPr>
          <w:b/>
        </w:rPr>
        <w:t>;</w:t>
      </w:r>
    </w:p>
    <w:p w:rsidR="00BD3DB1" w:rsidRDefault="00BB5F7E" w:rsidP="00D25E86">
      <w:pPr>
        <w:jc w:val="both"/>
        <w:rPr>
          <w:rFonts w:cs="Mangal"/>
        </w:rPr>
      </w:pPr>
      <w:r>
        <w:rPr>
          <w:rFonts w:cs="Mangal"/>
        </w:rPr>
        <w:tab/>
      </w:r>
    </w:p>
    <w:p w:rsidR="00BB5F7E" w:rsidRDefault="00BB5F7E" w:rsidP="00D25E86">
      <w:pPr>
        <w:jc w:val="both"/>
        <w:rPr>
          <w:rFonts w:cs="Mangal"/>
        </w:rPr>
      </w:pPr>
    </w:p>
    <w:p w:rsidR="00BD3DB1" w:rsidRDefault="00BD3DB1" w:rsidP="00D25E86">
      <w:pPr>
        <w:pStyle w:val="Tlotextu"/>
        <w:spacing w:after="0" w:line="240" w:lineRule="auto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>zpravodaj</w:t>
      </w:r>
      <w:r w:rsidR="000F28CB">
        <w:t xml:space="preserve">ku </w:t>
      </w:r>
      <w:r>
        <w:t xml:space="preserve">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0F28CB">
        <w:rPr>
          <w:rFonts w:ascii="TimesNewRomanPSMT" w:hAnsi="TimesNewRomanPSMT" w:cs="TimesNewRomanPSMT"/>
        </w:rPr>
        <w:t>a</w:t>
      </w:r>
      <w:r>
        <w:t xml:space="preserve"> nezbytné úpravy podle § 95 odst. 2 zákona o jednacím řádu Poslanecké sněmovny,</w:t>
      </w:r>
    </w:p>
    <w:p w:rsidR="00BD3DB1" w:rsidRDefault="00BD3DB1" w:rsidP="00D25E86">
      <w:pPr>
        <w:pStyle w:val="Tlotextu"/>
        <w:spacing w:after="0" w:line="240" w:lineRule="auto"/>
        <w:rPr>
          <w:rFonts w:cs="Mangal"/>
        </w:rPr>
      </w:pPr>
    </w:p>
    <w:p w:rsidR="0073585A" w:rsidRDefault="0073585A" w:rsidP="00D25E86">
      <w:pPr>
        <w:pStyle w:val="Tlotextu"/>
        <w:spacing w:after="0" w:line="240" w:lineRule="auto"/>
        <w:rPr>
          <w:rFonts w:cs="Mangal"/>
        </w:rPr>
      </w:pPr>
    </w:p>
    <w:p w:rsidR="00BD3DB1" w:rsidRDefault="00BD3DB1" w:rsidP="00D25E86">
      <w:pPr>
        <w:ind w:left="720" w:hanging="720"/>
        <w:jc w:val="both"/>
      </w:pPr>
      <w:r>
        <w:t>IV.</w:t>
      </w:r>
      <w:r>
        <w:tab/>
      </w:r>
      <w:r w:rsidR="002974B7">
        <w:rPr>
          <w:spacing w:val="40"/>
        </w:rPr>
        <w:t>pověřuje</w:t>
      </w:r>
      <w:r w:rsidR="002974B7">
        <w:t xml:space="preserve"> </w:t>
      </w:r>
      <w:r>
        <w:t>zpravodaj</w:t>
      </w:r>
      <w:r w:rsidR="000F28CB">
        <w:t>ku</w:t>
      </w:r>
      <w:r>
        <w:t xml:space="preserve"> výboru, aby na schůzi Poslanecké sněmovny ve třetím čtení návrhu zákona přednášel</w:t>
      </w:r>
      <w:r w:rsidR="000F28CB">
        <w:t>a</w:t>
      </w:r>
      <w:r>
        <w:t xml:space="preserve"> stanoviska výboru,</w:t>
      </w:r>
    </w:p>
    <w:p w:rsidR="00BD3DB1" w:rsidRDefault="00BD3DB1" w:rsidP="00D25E86">
      <w:pPr>
        <w:ind w:left="720" w:hanging="720"/>
        <w:jc w:val="both"/>
      </w:pPr>
    </w:p>
    <w:p w:rsidR="004E4A59" w:rsidRDefault="004E4A59" w:rsidP="00D25E86">
      <w:pPr>
        <w:ind w:left="720" w:hanging="720"/>
        <w:jc w:val="both"/>
      </w:pPr>
    </w:p>
    <w:p w:rsidR="00BD3DB1" w:rsidRDefault="00BD3DB1" w:rsidP="00D25E86">
      <w:pPr>
        <w:ind w:left="705" w:hanging="705"/>
        <w:jc w:val="both"/>
      </w:pPr>
      <w:r>
        <w:t>V.</w:t>
      </w:r>
      <w:r>
        <w:tab/>
      </w:r>
      <w:r w:rsidR="002974B7">
        <w:rPr>
          <w:spacing w:val="40"/>
        </w:rPr>
        <w:t>pověřuje</w:t>
      </w:r>
      <w:r w:rsidR="00375925">
        <w:rPr>
          <w:spacing w:val="40"/>
        </w:rPr>
        <w:t xml:space="preserve"> </w:t>
      </w:r>
      <w:r>
        <w:t>předsedu výboru, aby předložil toto usnesení předsedovi Poslanecké sněmovny.</w:t>
      </w:r>
    </w:p>
    <w:p w:rsidR="00BD3DB1" w:rsidRDefault="00BD3DB1" w:rsidP="00BD3DB1">
      <w:pPr>
        <w:rPr>
          <w:lang w:eastAsia="en-US"/>
        </w:rPr>
      </w:pPr>
    </w:p>
    <w:p w:rsidR="00BD3DB1" w:rsidRDefault="00BD3DB1" w:rsidP="00BD3DB1">
      <w:pPr>
        <w:rPr>
          <w:lang w:eastAsia="en-US"/>
        </w:rPr>
      </w:pPr>
    </w:p>
    <w:p w:rsidR="0073585A" w:rsidRDefault="0073585A" w:rsidP="00BD3DB1">
      <w:pPr>
        <w:rPr>
          <w:lang w:eastAsia="en-US"/>
        </w:rPr>
      </w:pPr>
    </w:p>
    <w:p w:rsidR="004E4A59" w:rsidRDefault="004E4A59" w:rsidP="00BD3DB1">
      <w:pPr>
        <w:rPr>
          <w:lang w:eastAsia="en-US"/>
        </w:rPr>
      </w:pPr>
    </w:p>
    <w:p w:rsidR="004E4A59" w:rsidRDefault="004E4A59" w:rsidP="00BD3DB1">
      <w:pPr>
        <w:rPr>
          <w:lang w:eastAsia="en-US"/>
        </w:rPr>
      </w:pPr>
    </w:p>
    <w:p w:rsidR="00790A2C" w:rsidRDefault="00790A2C" w:rsidP="00790A2C">
      <w:pPr>
        <w:tabs>
          <w:tab w:val="center" w:pos="1843"/>
        </w:tabs>
        <w:ind w:left="357"/>
      </w:pPr>
    </w:p>
    <w:p w:rsidR="00790A2C" w:rsidRDefault="00790A2C" w:rsidP="00790A2C">
      <w:pPr>
        <w:tabs>
          <w:tab w:val="center" w:pos="1843"/>
        </w:tabs>
        <w:ind w:left="357"/>
      </w:pPr>
      <w:r>
        <w:t xml:space="preserve">Mgr. </w:t>
      </w:r>
      <w:proofErr w:type="gramStart"/>
      <w:r>
        <w:t>Kateřina  VALACHOVÁ</w:t>
      </w:r>
      <w:proofErr w:type="gramEnd"/>
      <w:r>
        <w:t xml:space="preserve">, Ph.D. </w:t>
      </w:r>
      <w:r w:rsidR="00A933CF">
        <w:t xml:space="preserve">v. r. </w:t>
      </w:r>
      <w:r>
        <w:t xml:space="preserve"> </w:t>
      </w:r>
      <w:r>
        <w:tab/>
      </w:r>
      <w:r>
        <w:tab/>
        <w:t xml:space="preserve"> </w:t>
      </w:r>
      <w:r w:rsidR="00996AFE">
        <w:t xml:space="preserve">          Dominik FERI</w:t>
      </w:r>
      <w:r w:rsidR="00A933CF">
        <w:t xml:space="preserve"> v. r. </w:t>
      </w:r>
    </w:p>
    <w:p w:rsidR="00790A2C" w:rsidRDefault="00790A2C" w:rsidP="00790A2C">
      <w:pPr>
        <w:tabs>
          <w:tab w:val="center" w:pos="1985"/>
        </w:tabs>
        <w:ind w:left="708" w:right="-995" w:hanging="141"/>
      </w:pPr>
      <w:r>
        <w:t xml:space="preserve">               zpravodajka výboru</w:t>
      </w:r>
      <w:r w:rsidRPr="00106842">
        <w:tab/>
      </w:r>
      <w:r w:rsidRPr="00106842">
        <w:tab/>
      </w:r>
      <w:r>
        <w:tab/>
        <w:t xml:space="preserve">        </w:t>
      </w:r>
      <w:r>
        <w:tab/>
        <w:t xml:space="preserve">          </w:t>
      </w:r>
      <w:r w:rsidR="00A933CF">
        <w:t xml:space="preserve">  </w:t>
      </w:r>
      <w:r>
        <w:t>ověřovatel výboru</w:t>
      </w:r>
    </w:p>
    <w:p w:rsidR="00790A2C" w:rsidRDefault="00790A2C" w:rsidP="00790A2C">
      <w:pPr>
        <w:tabs>
          <w:tab w:val="center" w:pos="1701"/>
          <w:tab w:val="center" w:pos="4395"/>
          <w:tab w:val="center" w:pos="7371"/>
        </w:tabs>
      </w:pPr>
      <w:r>
        <w:tab/>
      </w:r>
      <w:r>
        <w:tab/>
      </w:r>
    </w:p>
    <w:p w:rsidR="00A526D8" w:rsidRDefault="00A526D8" w:rsidP="00790A2C">
      <w:pPr>
        <w:tabs>
          <w:tab w:val="center" w:pos="1701"/>
          <w:tab w:val="center" w:pos="4395"/>
          <w:tab w:val="center" w:pos="7371"/>
        </w:tabs>
      </w:pPr>
      <w:bookmarkStart w:id="0" w:name="_GoBack"/>
      <w:bookmarkEnd w:id="0"/>
    </w:p>
    <w:p w:rsidR="00790A2C" w:rsidRDefault="00790A2C" w:rsidP="00790A2C">
      <w:pPr>
        <w:tabs>
          <w:tab w:val="center" w:pos="1701"/>
          <w:tab w:val="center" w:pos="4395"/>
          <w:tab w:val="center" w:pos="7371"/>
        </w:tabs>
      </w:pPr>
    </w:p>
    <w:p w:rsidR="00790A2C" w:rsidRPr="00254049" w:rsidRDefault="00790A2C" w:rsidP="00790A2C">
      <w:pPr>
        <w:tabs>
          <w:tab w:val="center" w:pos="1701"/>
          <w:tab w:val="center" w:pos="4395"/>
          <w:tab w:val="center" w:pos="7371"/>
        </w:tabs>
        <w:rPr>
          <w:caps/>
        </w:rPr>
      </w:pPr>
      <w:r>
        <w:tab/>
      </w:r>
      <w:r>
        <w:tab/>
        <w:t xml:space="preserve">Marek BENDA </w:t>
      </w:r>
      <w:r w:rsidR="00A933CF">
        <w:t xml:space="preserve">v. r. </w:t>
      </w:r>
    </w:p>
    <w:p w:rsidR="00790A2C" w:rsidRDefault="00790A2C" w:rsidP="00790A2C">
      <w:pPr>
        <w:tabs>
          <w:tab w:val="center" w:pos="1701"/>
          <w:tab w:val="center" w:pos="4395"/>
        </w:tabs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73585A" w:rsidRDefault="0073585A" w:rsidP="00BD3DB1">
      <w:pPr>
        <w:rPr>
          <w:lang w:eastAsia="en-US"/>
        </w:rPr>
      </w:pPr>
    </w:p>
    <w:sectPr w:rsidR="0073585A" w:rsidSect="006C0499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AB6" w:rsidRDefault="00C52AB6" w:rsidP="00C52AB6">
      <w:r>
        <w:separator/>
      </w:r>
    </w:p>
  </w:endnote>
  <w:endnote w:type="continuationSeparator" w:id="0">
    <w:p w:rsidR="00C52AB6" w:rsidRDefault="00C52AB6" w:rsidP="00C5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9190838"/>
      <w:docPartObj>
        <w:docPartGallery w:val="Page Numbers (Bottom of Page)"/>
        <w:docPartUnique/>
      </w:docPartObj>
    </w:sdtPr>
    <w:sdtEndPr/>
    <w:sdtContent>
      <w:p w:rsidR="00EF0DD6" w:rsidRDefault="00EF0D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6D8">
          <w:rPr>
            <w:noProof/>
          </w:rPr>
          <w:t>3</w:t>
        </w:r>
        <w:r>
          <w:fldChar w:fldCharType="end"/>
        </w:r>
      </w:p>
    </w:sdtContent>
  </w:sdt>
  <w:p w:rsidR="00EF0DD6" w:rsidRDefault="00EF0D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AB6" w:rsidRDefault="00C52AB6" w:rsidP="00C52AB6">
      <w:r>
        <w:separator/>
      </w:r>
    </w:p>
  </w:footnote>
  <w:footnote w:type="continuationSeparator" w:id="0">
    <w:p w:rsidR="00C52AB6" w:rsidRDefault="00C52AB6" w:rsidP="00C5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AB6" w:rsidRDefault="00C52AB6">
    <w:pPr>
      <w:pStyle w:val="Zhlav"/>
      <w:jc w:val="right"/>
    </w:pPr>
  </w:p>
  <w:p w:rsidR="00C52AB6" w:rsidRDefault="00C52A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A9A"/>
    <w:multiLevelType w:val="hybridMultilevel"/>
    <w:tmpl w:val="607CCB4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DD2"/>
    <w:multiLevelType w:val="hybridMultilevel"/>
    <w:tmpl w:val="004002C2"/>
    <w:lvl w:ilvl="0" w:tplc="0CFC96D6">
      <w:start w:val="1"/>
      <w:numFmt w:val="upperLetter"/>
      <w:lvlText w:val="%1."/>
      <w:lvlJc w:val="left"/>
      <w:pPr>
        <w:ind w:left="717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976772"/>
    <w:multiLevelType w:val="hybridMultilevel"/>
    <w:tmpl w:val="1E783EDC"/>
    <w:lvl w:ilvl="0" w:tplc="363C06BE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86375A4"/>
    <w:multiLevelType w:val="hybridMultilevel"/>
    <w:tmpl w:val="844E3EA2"/>
    <w:lvl w:ilvl="0" w:tplc="B54CA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5C7277"/>
    <w:multiLevelType w:val="hybridMultilevel"/>
    <w:tmpl w:val="43709B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7426"/>
    <w:multiLevelType w:val="hybridMultilevel"/>
    <w:tmpl w:val="E24870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3DE53705"/>
    <w:multiLevelType w:val="hybridMultilevel"/>
    <w:tmpl w:val="5C66322A"/>
    <w:lvl w:ilvl="0" w:tplc="E1DA1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43FB9"/>
    <w:multiLevelType w:val="hybridMultilevel"/>
    <w:tmpl w:val="52BC5BAE"/>
    <w:lvl w:ilvl="0" w:tplc="7A3A6D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812BCB"/>
    <w:multiLevelType w:val="hybridMultilevel"/>
    <w:tmpl w:val="8B6E96F2"/>
    <w:lvl w:ilvl="0" w:tplc="036A7D0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7B21DB6"/>
    <w:multiLevelType w:val="hybridMultilevel"/>
    <w:tmpl w:val="21F080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7566A"/>
    <w:multiLevelType w:val="hybridMultilevel"/>
    <w:tmpl w:val="A9F0F6A2"/>
    <w:lvl w:ilvl="0" w:tplc="4E64E508">
      <w:start w:val="1"/>
      <w:numFmt w:val="upperLetter"/>
      <w:lvlText w:val="%1."/>
      <w:lvlJc w:val="left"/>
      <w:pPr>
        <w:ind w:left="717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DCC1F73"/>
    <w:multiLevelType w:val="hybridMultilevel"/>
    <w:tmpl w:val="63042CFE"/>
    <w:lvl w:ilvl="0" w:tplc="9530CB9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F8F0ED4"/>
    <w:multiLevelType w:val="hybridMultilevel"/>
    <w:tmpl w:val="13AAE7BE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50D379A"/>
    <w:multiLevelType w:val="hybridMultilevel"/>
    <w:tmpl w:val="B080A6C4"/>
    <w:lvl w:ilvl="0" w:tplc="07FEF864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  <w:lvlOverride w:ilvl="0">
      <w:startOverride w:val="1"/>
    </w:lvlOverride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"/>
  </w:num>
  <w:num w:numId="10">
    <w:abstractNumId w:val="14"/>
  </w:num>
  <w:num w:numId="11">
    <w:abstractNumId w:val="0"/>
  </w:num>
  <w:num w:numId="12">
    <w:abstractNumId w:val="13"/>
  </w:num>
  <w:num w:numId="13">
    <w:abstractNumId w:val="8"/>
  </w:num>
  <w:num w:numId="14">
    <w:abstractNumId w:val="4"/>
  </w:num>
  <w:num w:numId="15">
    <w:abstractNumId w:val="5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88"/>
    <w:rsid w:val="00040D2E"/>
    <w:rsid w:val="00061ECB"/>
    <w:rsid w:val="000907B2"/>
    <w:rsid w:val="000F28CB"/>
    <w:rsid w:val="00100C5B"/>
    <w:rsid w:val="001229C8"/>
    <w:rsid w:val="00151F34"/>
    <w:rsid w:val="0017155A"/>
    <w:rsid w:val="001A0836"/>
    <w:rsid w:val="001C6464"/>
    <w:rsid w:val="001E0702"/>
    <w:rsid w:val="001E0A9C"/>
    <w:rsid w:val="00273B37"/>
    <w:rsid w:val="00280332"/>
    <w:rsid w:val="002974B7"/>
    <w:rsid w:val="002E0BE2"/>
    <w:rsid w:val="00307488"/>
    <w:rsid w:val="00325ED3"/>
    <w:rsid w:val="00350704"/>
    <w:rsid w:val="00375925"/>
    <w:rsid w:val="00376BCB"/>
    <w:rsid w:val="003E6C6F"/>
    <w:rsid w:val="00407D98"/>
    <w:rsid w:val="004234F2"/>
    <w:rsid w:val="004330E6"/>
    <w:rsid w:val="004A1136"/>
    <w:rsid w:val="004E4A59"/>
    <w:rsid w:val="00505CA4"/>
    <w:rsid w:val="00521C5A"/>
    <w:rsid w:val="00535C9E"/>
    <w:rsid w:val="00617353"/>
    <w:rsid w:val="00656BB3"/>
    <w:rsid w:val="006C0499"/>
    <w:rsid w:val="006D268A"/>
    <w:rsid w:val="00717827"/>
    <w:rsid w:val="0073585A"/>
    <w:rsid w:val="00750AA3"/>
    <w:rsid w:val="00772A24"/>
    <w:rsid w:val="00790A2C"/>
    <w:rsid w:val="007B3FE0"/>
    <w:rsid w:val="007B7CE5"/>
    <w:rsid w:val="007C1988"/>
    <w:rsid w:val="007C1CFE"/>
    <w:rsid w:val="00814617"/>
    <w:rsid w:val="00857CEB"/>
    <w:rsid w:val="008732CE"/>
    <w:rsid w:val="008C2C4B"/>
    <w:rsid w:val="00960535"/>
    <w:rsid w:val="00996AFE"/>
    <w:rsid w:val="009B0CC4"/>
    <w:rsid w:val="009E34A9"/>
    <w:rsid w:val="00A42DB6"/>
    <w:rsid w:val="00A526D8"/>
    <w:rsid w:val="00A61D40"/>
    <w:rsid w:val="00A933CF"/>
    <w:rsid w:val="00AE0B4E"/>
    <w:rsid w:val="00AE0C6E"/>
    <w:rsid w:val="00AE1005"/>
    <w:rsid w:val="00B93866"/>
    <w:rsid w:val="00BB5F7E"/>
    <w:rsid w:val="00BD3DB1"/>
    <w:rsid w:val="00BF2508"/>
    <w:rsid w:val="00C52AB6"/>
    <w:rsid w:val="00CD11B3"/>
    <w:rsid w:val="00CE53B7"/>
    <w:rsid w:val="00D25E86"/>
    <w:rsid w:val="00D446FB"/>
    <w:rsid w:val="00DA63E6"/>
    <w:rsid w:val="00DB6ABB"/>
    <w:rsid w:val="00E05761"/>
    <w:rsid w:val="00E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35145"/>
  <w15:chartTrackingRefBased/>
  <w15:docId w15:val="{305E0D31-7922-4C7B-824E-E43E9AFA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988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7C1988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C1988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C1988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C1988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styleId="Bezmezer">
    <w:name w:val="No Spacing"/>
    <w:uiPriority w:val="1"/>
    <w:qFormat/>
    <w:rsid w:val="007C19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7C1988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7C198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7C1988"/>
    <w:pPr>
      <w:numPr>
        <w:numId w:val="2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basedOn w:val="Standardnpsmoodstavce"/>
    <w:link w:val="PS-slovanseznam"/>
    <w:rsid w:val="007C1988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C1988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basedOn w:val="Standardnpsmoodstavce"/>
    <w:link w:val="proloen"/>
    <w:rsid w:val="007C1988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nhideWhenUsed/>
    <w:rsid w:val="00C52A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52AB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2A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AB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E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E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lotextu">
    <w:name w:val="Tělo textu"/>
    <w:basedOn w:val="Normln"/>
    <w:rsid w:val="00BD3DB1"/>
    <w:pPr>
      <w:widowControl w:val="0"/>
      <w:suppressAutoHyphens/>
      <w:spacing w:after="120" w:line="288" w:lineRule="auto"/>
      <w:textAlignment w:val="baseline"/>
    </w:pPr>
    <w:rPr>
      <w:rFonts w:eastAsia="SimSun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2CC4-469A-4FED-ABD5-D9585865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380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Zavodska Martina</cp:lastModifiedBy>
  <cp:revision>5</cp:revision>
  <cp:lastPrinted>2018-10-15T13:31:00Z</cp:lastPrinted>
  <dcterms:created xsi:type="dcterms:W3CDTF">2018-10-15T09:03:00Z</dcterms:created>
  <dcterms:modified xsi:type="dcterms:W3CDTF">2018-10-15T13:36:00Z</dcterms:modified>
</cp:coreProperties>
</file>