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2" w:type="dxa"/>
        <w:tblCellMar>
          <w:left w:w="70" w:type="dxa"/>
          <w:right w:w="70" w:type="dxa"/>
        </w:tblCellMar>
        <w:tblLook w:val="04A0" w:firstRow="1" w:lastRow="0" w:firstColumn="1" w:lastColumn="0" w:noHBand="0" w:noVBand="1"/>
      </w:tblPr>
      <w:tblGrid>
        <w:gridCol w:w="9212"/>
      </w:tblGrid>
      <w:tr w:rsidR="00DD2CE7" w:rsidTr="00DD2CE7">
        <w:tc>
          <w:tcPr>
            <w:tcW w:w="9212" w:type="dxa"/>
            <w:hideMark/>
          </w:tcPr>
          <w:p w:rsidR="00DD2CE7" w:rsidRDefault="00DD2CE7" w:rsidP="00284AC1">
            <w:pPr>
              <w:spacing w:after="0" w:line="240" w:lineRule="auto"/>
              <w:jc w:val="center"/>
              <w:rPr>
                <w:rFonts w:ascii="Times New Roman" w:hAnsi="Times New Roman" w:cs="Times New Roman"/>
                <w:b/>
                <w:i/>
                <w:sz w:val="24"/>
              </w:rPr>
            </w:pPr>
            <w:r>
              <w:rPr>
                <w:rFonts w:ascii="Times New Roman" w:hAnsi="Times New Roman" w:cs="Times New Roman"/>
                <w:b/>
                <w:i/>
                <w:sz w:val="24"/>
              </w:rPr>
              <w:t>Parlament České republiky</w:t>
            </w:r>
          </w:p>
          <w:p w:rsidR="00DD2CE7" w:rsidRDefault="00DD2CE7" w:rsidP="00284AC1">
            <w:pPr>
              <w:spacing w:after="0" w:line="240" w:lineRule="auto"/>
              <w:jc w:val="center"/>
              <w:rPr>
                <w:rFonts w:ascii="Times New Roman" w:hAnsi="Times New Roman" w:cs="Times New Roman"/>
                <w:b/>
                <w:i/>
                <w:sz w:val="36"/>
              </w:rPr>
            </w:pPr>
            <w:r>
              <w:rPr>
                <w:rFonts w:ascii="Times New Roman" w:hAnsi="Times New Roman" w:cs="Times New Roman"/>
                <w:b/>
                <w:i/>
                <w:sz w:val="36"/>
              </w:rPr>
              <w:t>POSLANECKÁ SNĚMOVNA</w:t>
            </w:r>
          </w:p>
          <w:p w:rsidR="00DD2CE7" w:rsidRDefault="00DD2CE7" w:rsidP="00284AC1">
            <w:pPr>
              <w:spacing w:after="0" w:line="240" w:lineRule="auto"/>
              <w:jc w:val="center"/>
              <w:rPr>
                <w:rFonts w:ascii="CG Omega;Arial" w:hAnsi="CG Omega;Arial" w:cs="CG Omega;Arial"/>
                <w:sz w:val="16"/>
              </w:rPr>
            </w:pPr>
            <w:r>
              <w:rPr>
                <w:rFonts w:ascii="Times New Roman" w:hAnsi="Times New Roman" w:cs="Times New Roman"/>
                <w:b/>
                <w:i/>
                <w:sz w:val="36"/>
              </w:rPr>
              <w:t>2018</w:t>
            </w:r>
          </w:p>
          <w:p w:rsidR="00DD2CE7" w:rsidRDefault="00DD2CE7" w:rsidP="00284AC1">
            <w:pPr>
              <w:spacing w:after="0" w:line="240" w:lineRule="auto"/>
              <w:jc w:val="center"/>
              <w:rPr>
                <w:rFonts w:ascii="Times New Roman" w:hAnsi="Times New Roman" w:cs="Times New Roman"/>
                <w:b/>
                <w:i/>
                <w:sz w:val="24"/>
              </w:rPr>
            </w:pPr>
            <w:r>
              <w:rPr>
                <w:rFonts w:ascii="Times New Roman" w:hAnsi="Times New Roman" w:cs="Times New Roman"/>
                <w:b/>
                <w:i/>
                <w:sz w:val="24"/>
              </w:rPr>
              <w:t>8. volební období</w:t>
            </w:r>
          </w:p>
        </w:tc>
      </w:tr>
      <w:tr w:rsidR="00DD2CE7" w:rsidTr="00DD2CE7">
        <w:tc>
          <w:tcPr>
            <w:tcW w:w="9212" w:type="dxa"/>
          </w:tcPr>
          <w:p w:rsidR="00DD2CE7" w:rsidRDefault="00DD2CE7" w:rsidP="00284AC1">
            <w:pPr>
              <w:snapToGrid w:val="0"/>
              <w:spacing w:after="0" w:line="240" w:lineRule="auto"/>
              <w:jc w:val="center"/>
              <w:rPr>
                <w:rFonts w:ascii="Times New Roman" w:hAnsi="Times New Roman" w:cs="Times New Roman"/>
                <w:b/>
                <w:i/>
                <w:sz w:val="24"/>
              </w:rPr>
            </w:pPr>
          </w:p>
        </w:tc>
      </w:tr>
      <w:tr w:rsidR="00DD2CE7" w:rsidTr="00DD2CE7">
        <w:tc>
          <w:tcPr>
            <w:tcW w:w="9212" w:type="dxa"/>
            <w:hideMark/>
          </w:tcPr>
          <w:p w:rsidR="00DD2CE7" w:rsidRDefault="00DD2CE7" w:rsidP="00284AC1">
            <w:pPr>
              <w:spacing w:after="0" w:line="240" w:lineRule="auto"/>
              <w:jc w:val="center"/>
              <w:rPr>
                <w:rFonts w:ascii="Times New Roman" w:hAnsi="Times New Roman" w:cs="Times New Roman"/>
                <w:b/>
                <w:i/>
                <w:sz w:val="24"/>
              </w:rPr>
            </w:pPr>
            <w:r>
              <w:rPr>
                <w:rFonts w:ascii="Times New Roman" w:hAnsi="Times New Roman" w:cs="Times New Roman"/>
                <w:b/>
                <w:i/>
                <w:sz w:val="24"/>
              </w:rPr>
              <w:t>156</w:t>
            </w:r>
          </w:p>
        </w:tc>
      </w:tr>
      <w:tr w:rsidR="00DD2CE7" w:rsidTr="00DD2CE7">
        <w:tc>
          <w:tcPr>
            <w:tcW w:w="9212" w:type="dxa"/>
          </w:tcPr>
          <w:p w:rsidR="00DD2CE7" w:rsidRDefault="00DD2CE7" w:rsidP="00284AC1">
            <w:pPr>
              <w:pStyle w:val="Nadpis3"/>
              <w:snapToGrid w:val="0"/>
              <w:jc w:val="center"/>
              <w:rPr>
                <w:sz w:val="24"/>
              </w:rPr>
            </w:pPr>
          </w:p>
        </w:tc>
      </w:tr>
      <w:tr w:rsidR="00DD2CE7" w:rsidTr="00DD2CE7">
        <w:tc>
          <w:tcPr>
            <w:tcW w:w="9212" w:type="dxa"/>
            <w:hideMark/>
          </w:tcPr>
          <w:p w:rsidR="00DD2CE7" w:rsidRDefault="00DD2CE7" w:rsidP="00284AC1">
            <w:pPr>
              <w:pStyle w:val="Nadpis4"/>
            </w:pPr>
            <w:r>
              <w:t xml:space="preserve">USNESENÍ  </w:t>
            </w:r>
          </w:p>
        </w:tc>
      </w:tr>
      <w:tr w:rsidR="00DD2CE7" w:rsidTr="00DD2CE7">
        <w:tc>
          <w:tcPr>
            <w:tcW w:w="9212" w:type="dxa"/>
            <w:hideMark/>
          </w:tcPr>
          <w:p w:rsidR="00DD2CE7" w:rsidRDefault="00DD2CE7" w:rsidP="00284AC1">
            <w:pPr>
              <w:spacing w:after="0" w:line="240" w:lineRule="auto"/>
              <w:jc w:val="center"/>
              <w:rPr>
                <w:rFonts w:ascii="Times New Roman" w:hAnsi="Times New Roman" w:cs="Times New Roman"/>
                <w:b/>
                <w:i/>
                <w:sz w:val="24"/>
              </w:rPr>
            </w:pPr>
            <w:r>
              <w:rPr>
                <w:rFonts w:ascii="Times New Roman" w:hAnsi="Times New Roman" w:cs="Times New Roman"/>
                <w:b/>
                <w:i/>
                <w:sz w:val="24"/>
              </w:rPr>
              <w:t>rozpočtového výboru</w:t>
            </w:r>
          </w:p>
        </w:tc>
      </w:tr>
      <w:tr w:rsidR="00DD2CE7" w:rsidTr="00DD2CE7">
        <w:tc>
          <w:tcPr>
            <w:tcW w:w="9212" w:type="dxa"/>
            <w:hideMark/>
          </w:tcPr>
          <w:p w:rsidR="00DD2CE7" w:rsidRDefault="00DD2CE7" w:rsidP="00284AC1">
            <w:pPr>
              <w:spacing w:after="0" w:line="240" w:lineRule="auto"/>
              <w:jc w:val="center"/>
              <w:rPr>
                <w:rFonts w:ascii="Times New Roman" w:hAnsi="Times New Roman" w:cs="Times New Roman"/>
                <w:b/>
                <w:i/>
                <w:sz w:val="24"/>
              </w:rPr>
            </w:pPr>
            <w:r>
              <w:rPr>
                <w:rFonts w:ascii="Times New Roman" w:hAnsi="Times New Roman" w:cs="Times New Roman"/>
                <w:b/>
                <w:i/>
                <w:sz w:val="24"/>
              </w:rPr>
              <w:t>ze 13. schůze</w:t>
            </w:r>
          </w:p>
        </w:tc>
      </w:tr>
      <w:tr w:rsidR="00DD2CE7" w:rsidTr="00DD2CE7">
        <w:tc>
          <w:tcPr>
            <w:tcW w:w="9212" w:type="dxa"/>
            <w:hideMark/>
          </w:tcPr>
          <w:p w:rsidR="00DD2CE7" w:rsidRDefault="00DD2CE7" w:rsidP="00284AC1">
            <w:pPr>
              <w:spacing w:after="0" w:line="240" w:lineRule="auto"/>
              <w:jc w:val="center"/>
              <w:rPr>
                <w:rFonts w:ascii="CG Omega;Arial" w:hAnsi="CG Omega;Arial" w:cs="CG Omega;Arial"/>
                <w:sz w:val="16"/>
              </w:rPr>
            </w:pPr>
            <w:r>
              <w:rPr>
                <w:rFonts w:ascii="Times New Roman" w:hAnsi="Times New Roman" w:cs="Times New Roman"/>
                <w:b/>
                <w:i/>
                <w:sz w:val="24"/>
              </w:rPr>
              <w:t xml:space="preserve">ze dne 10. října 2018         </w:t>
            </w:r>
          </w:p>
        </w:tc>
      </w:tr>
      <w:tr w:rsidR="00DD2CE7" w:rsidTr="00DD2CE7">
        <w:trPr>
          <w:trHeight w:val="1686"/>
        </w:trPr>
        <w:tc>
          <w:tcPr>
            <w:tcW w:w="9212" w:type="dxa"/>
          </w:tcPr>
          <w:p w:rsidR="00DD2CE7" w:rsidRDefault="00DD2CE7">
            <w:pPr>
              <w:pStyle w:val="Zkladntext3"/>
              <w:snapToGrid w:val="0"/>
            </w:pPr>
          </w:p>
          <w:p w:rsidR="00DD2CE7" w:rsidRDefault="00DD2CE7">
            <w:pPr>
              <w:pStyle w:val="Tlotextu"/>
              <w:pBdr>
                <w:bottom w:val="single" w:sz="4" w:space="1" w:color="000000"/>
              </w:pBdr>
              <w:jc w:val="center"/>
            </w:pPr>
            <w:r>
              <w:t xml:space="preserve">k návrhu poslanců Pavla </w:t>
            </w:r>
            <w:proofErr w:type="spellStart"/>
            <w:r>
              <w:t>Kováčika</w:t>
            </w:r>
            <w:proofErr w:type="spellEnd"/>
            <w:r>
              <w:t xml:space="preserve">, Josefa Kotta, Karla Turečka a dalších na vydání zákona, kterým se mění zákon č. 353/2003 Sb., o spotřebních daních, ve znění pozdějších předpisů </w:t>
            </w:r>
          </w:p>
          <w:p w:rsidR="00DD2CE7" w:rsidRDefault="00DD2CE7">
            <w:pPr>
              <w:pStyle w:val="Tlotextu"/>
              <w:pBdr>
                <w:bottom w:val="single" w:sz="4" w:space="1" w:color="000000"/>
              </w:pBdr>
              <w:jc w:val="center"/>
              <w:rPr>
                <w:rFonts w:ascii="Times New Roman;serif" w:hAnsi="Times New Roman;serif"/>
              </w:rPr>
            </w:pPr>
          </w:p>
          <w:p w:rsidR="00DD2CE7" w:rsidRDefault="00DD2CE7">
            <w:pPr>
              <w:pStyle w:val="Tlotextu"/>
              <w:pBdr>
                <w:bottom w:val="single" w:sz="4" w:space="1" w:color="000000"/>
              </w:pBdr>
              <w:jc w:val="center"/>
            </w:pPr>
            <w:r>
              <w:t xml:space="preserve">sněmovní tisk 183  </w:t>
            </w:r>
          </w:p>
        </w:tc>
      </w:tr>
    </w:tbl>
    <w:p w:rsidR="00DD2CE7" w:rsidRDefault="00DD2CE7" w:rsidP="00DD2CE7">
      <w:pPr>
        <w:pStyle w:val="Tlotextu"/>
      </w:pPr>
      <w:r>
        <w:tab/>
        <w:t xml:space="preserve">Po úvodním slově zástupce předkladatelů </w:t>
      </w:r>
      <w:proofErr w:type="spellStart"/>
      <w:r>
        <w:t>posl</w:t>
      </w:r>
      <w:proofErr w:type="spellEnd"/>
      <w:r>
        <w:t xml:space="preserve">. J. Volného, zpravodajské zprávě </w:t>
      </w:r>
      <w:proofErr w:type="spellStart"/>
      <w:r>
        <w:t>posl</w:t>
      </w:r>
      <w:proofErr w:type="spellEnd"/>
      <w:r>
        <w:t xml:space="preserve">. </w:t>
      </w:r>
      <w:r>
        <w:br/>
        <w:t xml:space="preserve">I. </w:t>
      </w:r>
      <w:proofErr w:type="spellStart"/>
      <w:r>
        <w:t>Nevludové</w:t>
      </w:r>
      <w:proofErr w:type="spellEnd"/>
      <w:r>
        <w:t xml:space="preserve">  a po rozpravě rozpočtový výbor Poslanecké sněmovny Parlamentu   </w:t>
      </w:r>
    </w:p>
    <w:p w:rsidR="00DD2CE7" w:rsidRDefault="00DD2CE7" w:rsidP="00DD2CE7">
      <w:pPr>
        <w:pStyle w:val="Tlotextu"/>
      </w:pPr>
    </w:p>
    <w:p w:rsidR="00DD2CE7" w:rsidRDefault="00DD2CE7" w:rsidP="00DD2CE7">
      <w:pPr>
        <w:pStyle w:val="Tlotextu"/>
      </w:pPr>
    </w:p>
    <w:p w:rsidR="00DD2CE7" w:rsidRDefault="00DD2CE7" w:rsidP="00E1674B">
      <w:pPr>
        <w:pStyle w:val="Zkladntext3"/>
        <w:numPr>
          <w:ilvl w:val="0"/>
          <w:numId w:val="31"/>
        </w:numPr>
        <w:snapToGrid w:val="0"/>
        <w:ind w:left="720" w:hanging="742"/>
        <w:jc w:val="left"/>
      </w:pPr>
      <w:r w:rsidRPr="00790539">
        <w:rPr>
          <w:spacing w:val="60"/>
          <w:szCs w:val="24"/>
        </w:rPr>
        <w:t>doporučuje</w:t>
      </w:r>
      <w:r w:rsidRPr="00790539">
        <w:rPr>
          <w:szCs w:val="24"/>
        </w:rPr>
        <w:t xml:space="preserve"> Poslanecké sněmovně Parlamentu, aby </w:t>
      </w:r>
      <w:r>
        <w:t>návrh poslanců</w:t>
      </w:r>
      <w:r>
        <w:tab/>
        <w:t xml:space="preserve">k návrhu poslanců Pavla </w:t>
      </w:r>
      <w:proofErr w:type="spellStart"/>
      <w:r>
        <w:t>Kováčika</w:t>
      </w:r>
      <w:proofErr w:type="spellEnd"/>
      <w:r>
        <w:t>, Josefa Kotta, Karla Turečka a dalších</w:t>
      </w:r>
      <w:r w:rsidR="00790539">
        <w:t xml:space="preserve"> n</w:t>
      </w:r>
      <w:r>
        <w:t>a vydání zákona, kterým se mění zákon č. 353/2003 Sb., o spotřebních daních,</w:t>
      </w:r>
      <w:r w:rsidR="00790539">
        <w:t xml:space="preserve"> </w:t>
      </w:r>
      <w:bookmarkStart w:id="0" w:name="_GoBack"/>
      <w:bookmarkEnd w:id="0"/>
      <w:r w:rsidR="00790539">
        <w:t>v</w:t>
      </w:r>
      <w:r>
        <w:t>e znění pozdějších předpisů (sněmovní tisk 183)</w:t>
      </w:r>
    </w:p>
    <w:p w:rsidR="00DD2CE7" w:rsidRDefault="00DD2CE7" w:rsidP="00DD2CE7">
      <w:pPr>
        <w:pStyle w:val="Tlotextu"/>
        <w:ind w:left="720" w:hanging="742"/>
        <w:jc w:val="left"/>
      </w:pPr>
    </w:p>
    <w:p w:rsidR="00DD2CE7" w:rsidRDefault="00DD2CE7" w:rsidP="00DD2CE7">
      <w:pPr>
        <w:pStyle w:val="Zkladntext3"/>
        <w:snapToGrid w:val="0"/>
        <w:ind w:hanging="742"/>
        <w:jc w:val="both"/>
        <w:rPr>
          <w:spacing w:val="60"/>
          <w:szCs w:val="24"/>
        </w:rPr>
      </w:pPr>
    </w:p>
    <w:p w:rsidR="00DD2CE7" w:rsidRDefault="00DD2CE7" w:rsidP="00DD2CE7">
      <w:pPr>
        <w:tabs>
          <w:tab w:val="left" w:pos="0"/>
        </w:tabs>
        <w:jc w:val="center"/>
        <w:rPr>
          <w:rFonts w:ascii="Times New Roman" w:hAnsi="Times New Roman" w:cs="Times New Roman"/>
          <w:sz w:val="24"/>
          <w:szCs w:val="24"/>
        </w:rPr>
      </w:pPr>
      <w:r>
        <w:rPr>
          <w:rFonts w:ascii="Times New Roman" w:hAnsi="Times New Roman" w:cs="Times New Roman"/>
          <w:spacing w:val="60"/>
          <w:sz w:val="24"/>
          <w:szCs w:val="24"/>
        </w:rPr>
        <w:t>schválila</w:t>
      </w:r>
    </w:p>
    <w:p w:rsidR="00DD2CE7" w:rsidRDefault="00DD2CE7" w:rsidP="00DD2CE7">
      <w:pPr>
        <w:tabs>
          <w:tab w:val="left" w:pos="0"/>
        </w:tabs>
        <w:jc w:val="center"/>
        <w:rPr>
          <w:rFonts w:ascii="Times New Roman" w:hAnsi="Times New Roman" w:cs="Times New Roman"/>
          <w:sz w:val="24"/>
          <w:szCs w:val="24"/>
        </w:rPr>
      </w:pPr>
      <w:r>
        <w:rPr>
          <w:rFonts w:ascii="Times New Roman" w:hAnsi="Times New Roman" w:cs="Times New Roman"/>
          <w:sz w:val="24"/>
          <w:szCs w:val="24"/>
        </w:rPr>
        <w:t>ve znění tohoto komplexního pozměňovacího návrhu:</w:t>
      </w:r>
    </w:p>
    <w:p w:rsidR="0045353C" w:rsidRPr="00BF37C6" w:rsidRDefault="00DD2CE7" w:rsidP="00DD2CE7">
      <w:pPr>
        <w:autoSpaceDE w:val="0"/>
        <w:autoSpaceDN w:val="0"/>
        <w:adjustRightInd w:val="0"/>
        <w:spacing w:after="0" w:line="240" w:lineRule="auto"/>
        <w:jc w:val="center"/>
        <w:rPr>
          <w:rFonts w:ascii="Times New Roman" w:eastAsia="Times New Roman" w:hAnsi="Times New Roman" w:cs="Times New Roman"/>
          <w:b/>
          <w:bCs/>
          <w:sz w:val="24"/>
          <w:szCs w:val="24"/>
          <w:lang w:eastAsia="cs-CZ"/>
        </w:rPr>
      </w:pPr>
      <w:r w:rsidRPr="00BF37C6">
        <w:rPr>
          <w:rFonts w:ascii="Times New Roman" w:eastAsia="Times New Roman" w:hAnsi="Times New Roman" w:cs="Times New Roman"/>
          <w:b/>
          <w:bCs/>
          <w:sz w:val="24"/>
          <w:szCs w:val="24"/>
          <w:lang w:eastAsia="cs-CZ"/>
        </w:rPr>
        <w:t xml:space="preserve"> </w:t>
      </w:r>
      <w:r w:rsidR="0045353C" w:rsidRPr="00BF37C6">
        <w:rPr>
          <w:rFonts w:ascii="Times New Roman" w:eastAsia="Times New Roman" w:hAnsi="Times New Roman" w:cs="Times New Roman"/>
          <w:b/>
          <w:bCs/>
          <w:sz w:val="24"/>
          <w:szCs w:val="24"/>
          <w:lang w:eastAsia="cs-CZ"/>
        </w:rPr>
        <w:t>„ZÁKON</w:t>
      </w:r>
    </w:p>
    <w:p w:rsidR="0045353C" w:rsidRPr="00BF37C6" w:rsidRDefault="0045353C" w:rsidP="005D65C7">
      <w:pPr>
        <w:autoSpaceDE w:val="0"/>
        <w:autoSpaceDN w:val="0"/>
        <w:adjustRightInd w:val="0"/>
        <w:spacing w:after="0" w:line="240" w:lineRule="auto"/>
        <w:jc w:val="center"/>
        <w:rPr>
          <w:rFonts w:ascii="Times New Roman" w:eastAsia="Times New Roman" w:hAnsi="Times New Roman" w:cs="Times New Roman"/>
          <w:sz w:val="24"/>
          <w:szCs w:val="24"/>
          <w:lang w:eastAsia="cs-CZ"/>
        </w:rPr>
      </w:pPr>
      <w:r w:rsidRPr="00BF37C6">
        <w:rPr>
          <w:rFonts w:ascii="Times New Roman" w:eastAsia="Times New Roman" w:hAnsi="Times New Roman" w:cs="Times New Roman"/>
          <w:sz w:val="24"/>
          <w:szCs w:val="24"/>
          <w:lang w:eastAsia="cs-CZ"/>
        </w:rPr>
        <w:t>ze dne 2018,</w:t>
      </w:r>
    </w:p>
    <w:p w:rsidR="0045353C" w:rsidRPr="00BF37C6" w:rsidRDefault="0045353C" w:rsidP="005D65C7">
      <w:pPr>
        <w:autoSpaceDE w:val="0"/>
        <w:autoSpaceDN w:val="0"/>
        <w:adjustRightInd w:val="0"/>
        <w:spacing w:after="0" w:line="240" w:lineRule="auto"/>
        <w:jc w:val="center"/>
        <w:rPr>
          <w:rFonts w:ascii="Times New Roman" w:eastAsia="Times New Roman" w:hAnsi="Times New Roman" w:cs="Times New Roman"/>
          <w:b/>
          <w:bCs/>
          <w:sz w:val="24"/>
          <w:szCs w:val="24"/>
          <w:lang w:eastAsia="cs-CZ"/>
        </w:rPr>
      </w:pPr>
      <w:r w:rsidRPr="00BF37C6">
        <w:rPr>
          <w:rFonts w:ascii="Times New Roman" w:eastAsia="Times New Roman" w:hAnsi="Times New Roman" w:cs="Times New Roman"/>
          <w:b/>
          <w:bCs/>
          <w:sz w:val="24"/>
          <w:szCs w:val="24"/>
          <w:lang w:eastAsia="cs-CZ"/>
        </w:rPr>
        <w:t>kterým se mění zákon č. 353/2003 Sb., o spotřebních daních, ve znění pozdějších</w:t>
      </w:r>
    </w:p>
    <w:p w:rsidR="0045353C" w:rsidRPr="00BF37C6" w:rsidRDefault="0045353C" w:rsidP="005D65C7">
      <w:pPr>
        <w:autoSpaceDE w:val="0"/>
        <w:autoSpaceDN w:val="0"/>
        <w:adjustRightInd w:val="0"/>
        <w:spacing w:after="0" w:line="240" w:lineRule="auto"/>
        <w:jc w:val="center"/>
        <w:rPr>
          <w:rFonts w:ascii="Times New Roman" w:eastAsia="Times New Roman" w:hAnsi="Times New Roman" w:cs="Times New Roman"/>
          <w:b/>
          <w:bCs/>
          <w:sz w:val="24"/>
          <w:szCs w:val="24"/>
          <w:lang w:eastAsia="cs-CZ"/>
        </w:rPr>
      </w:pPr>
      <w:r w:rsidRPr="00BF37C6">
        <w:rPr>
          <w:rFonts w:ascii="Times New Roman" w:eastAsia="Times New Roman" w:hAnsi="Times New Roman" w:cs="Times New Roman"/>
          <w:b/>
          <w:bCs/>
          <w:sz w:val="24"/>
          <w:szCs w:val="24"/>
          <w:lang w:eastAsia="cs-CZ"/>
        </w:rPr>
        <w:t>předpisů</w:t>
      </w:r>
    </w:p>
    <w:p w:rsidR="0045353C" w:rsidRPr="00BF37C6" w:rsidRDefault="0045353C" w:rsidP="0045353C">
      <w:pPr>
        <w:jc w:val="both"/>
        <w:rPr>
          <w:rFonts w:ascii="Times New Roman" w:hAnsi="Times New Roman" w:cs="Times New Roman"/>
          <w:sz w:val="24"/>
          <w:szCs w:val="24"/>
        </w:rPr>
      </w:pPr>
    </w:p>
    <w:p w:rsidR="0045353C" w:rsidRPr="00BF37C6" w:rsidRDefault="0045353C" w:rsidP="005D65C7">
      <w:pPr>
        <w:spacing w:after="0" w:line="240" w:lineRule="auto"/>
        <w:rPr>
          <w:rFonts w:ascii="Times New Roman" w:eastAsia="Times New Roman" w:hAnsi="Times New Roman" w:cs="Times New Roman"/>
          <w:sz w:val="24"/>
          <w:szCs w:val="24"/>
          <w:lang w:eastAsia="cs-CZ"/>
        </w:rPr>
      </w:pPr>
      <w:r w:rsidRPr="00BF37C6">
        <w:rPr>
          <w:rFonts w:ascii="Times New Roman" w:eastAsia="Times New Roman" w:hAnsi="Times New Roman" w:cs="Times New Roman"/>
          <w:sz w:val="24"/>
          <w:szCs w:val="24"/>
          <w:lang w:eastAsia="cs-CZ"/>
        </w:rPr>
        <w:t>Parlament se usnesl na tomto zákoně České republiky:</w:t>
      </w:r>
    </w:p>
    <w:p w:rsidR="0045353C" w:rsidRPr="00BF37C6" w:rsidRDefault="0045353C" w:rsidP="0045353C">
      <w:pPr>
        <w:rPr>
          <w:rFonts w:ascii="Times New Roman" w:hAnsi="Times New Roman" w:cs="Times New Roman"/>
          <w:sz w:val="24"/>
          <w:szCs w:val="24"/>
        </w:rPr>
      </w:pPr>
    </w:p>
    <w:p w:rsidR="0045353C" w:rsidRPr="00BF37C6" w:rsidRDefault="0045353C" w:rsidP="005D65C7">
      <w:pPr>
        <w:keepNext/>
        <w:keepLines/>
        <w:spacing w:after="0" w:line="240" w:lineRule="auto"/>
        <w:jc w:val="center"/>
        <w:rPr>
          <w:rFonts w:ascii="Times New Roman" w:eastAsia="Times New Roman" w:hAnsi="Times New Roman" w:cs="Times New Roman"/>
          <w:sz w:val="24"/>
          <w:szCs w:val="24"/>
          <w:lang w:eastAsia="cs-CZ"/>
        </w:rPr>
      </w:pPr>
      <w:r w:rsidRPr="00BF37C6">
        <w:rPr>
          <w:rFonts w:ascii="Times New Roman" w:eastAsia="Times New Roman" w:hAnsi="Times New Roman" w:cs="Times New Roman"/>
          <w:sz w:val="24"/>
          <w:szCs w:val="24"/>
          <w:lang w:eastAsia="cs-CZ"/>
        </w:rPr>
        <w:t>Čl. I</w:t>
      </w:r>
    </w:p>
    <w:p w:rsidR="0045353C" w:rsidRPr="00BF37C6" w:rsidRDefault="0045353C" w:rsidP="005D65C7">
      <w:pPr>
        <w:keepNext/>
        <w:keepLines/>
        <w:spacing w:after="0" w:line="240" w:lineRule="auto"/>
        <w:jc w:val="center"/>
        <w:rPr>
          <w:rFonts w:ascii="Times New Roman" w:eastAsia="Times New Roman" w:hAnsi="Times New Roman" w:cs="Times New Roman"/>
          <w:b/>
          <w:sz w:val="24"/>
          <w:szCs w:val="24"/>
          <w:lang w:eastAsia="cs-CZ"/>
        </w:rPr>
      </w:pPr>
      <w:r w:rsidRPr="00BF37C6">
        <w:rPr>
          <w:rFonts w:ascii="Times New Roman" w:eastAsia="Times New Roman" w:hAnsi="Times New Roman" w:cs="Times New Roman"/>
          <w:b/>
          <w:sz w:val="24"/>
          <w:szCs w:val="24"/>
          <w:lang w:eastAsia="cs-CZ"/>
        </w:rPr>
        <w:t>Změna zákona o spotřebních daních</w:t>
      </w:r>
    </w:p>
    <w:p w:rsidR="0045353C" w:rsidRPr="00BF37C6" w:rsidRDefault="0045353C" w:rsidP="005D65C7">
      <w:pPr>
        <w:spacing w:after="0" w:line="240" w:lineRule="auto"/>
        <w:jc w:val="both"/>
        <w:rPr>
          <w:rFonts w:ascii="Times New Roman" w:hAnsi="Times New Roman" w:cs="Times New Roman"/>
          <w:sz w:val="24"/>
          <w:szCs w:val="24"/>
        </w:rPr>
      </w:pPr>
    </w:p>
    <w:p w:rsidR="0045353C" w:rsidRPr="00BF37C6" w:rsidRDefault="0045353C" w:rsidP="005D65C7">
      <w:pPr>
        <w:spacing w:after="0" w:line="240" w:lineRule="auto"/>
        <w:ind w:firstLine="426"/>
        <w:jc w:val="both"/>
        <w:rPr>
          <w:rFonts w:ascii="Times New Roman" w:eastAsia="Times New Roman" w:hAnsi="Times New Roman" w:cs="Times New Roman"/>
          <w:sz w:val="24"/>
          <w:szCs w:val="24"/>
          <w:lang w:eastAsia="cs-CZ"/>
        </w:rPr>
      </w:pPr>
      <w:r w:rsidRPr="00BF37C6">
        <w:rPr>
          <w:rFonts w:ascii="Times New Roman" w:eastAsia="Times New Roman" w:hAnsi="Times New Roman" w:cs="Times New Roman"/>
          <w:sz w:val="24"/>
          <w:szCs w:val="24"/>
          <w:lang w:eastAsia="cs-CZ"/>
        </w:rPr>
        <w:t>Zákon č. 353/2003 Sb., o spotřebních daních, ve znění zákona č. 479/2003 Sb., zákona</w:t>
      </w:r>
      <w:r w:rsidR="005D65C7" w:rsidRPr="00BF37C6">
        <w:rPr>
          <w:rFonts w:ascii="Times New Roman" w:eastAsia="Times New Roman" w:hAnsi="Times New Roman" w:cs="Times New Roman"/>
          <w:sz w:val="24"/>
          <w:szCs w:val="24"/>
          <w:lang w:eastAsia="cs-CZ"/>
        </w:rPr>
        <w:t xml:space="preserve"> </w:t>
      </w:r>
      <w:r w:rsidRPr="00BF37C6">
        <w:rPr>
          <w:rFonts w:ascii="Times New Roman" w:eastAsia="Times New Roman" w:hAnsi="Times New Roman" w:cs="Times New Roman"/>
          <w:sz w:val="24"/>
          <w:szCs w:val="24"/>
          <w:lang w:eastAsia="cs-CZ"/>
        </w:rPr>
        <w:t xml:space="preserve">č. 237/2004 Sb., zákona č. 313/2004 Sb., zákona č. 558/2004 Sb., zákona č. 693/2004 Sb., zákona č. 179/2005 Sb., zákona č. 217/2005 Sb., zákona č. 377/2005 Sb., zákona č. 379/2005 Sb., zákona č. 545/2005 Sb., zákona č. 310/2006 Sb., zákona č. 575/2006 Sb., zákona č. 261/2007 Sb., zákona č. 270/2007 Sb., zákona č. 296/2007 Sb., zákona č. 37/2008 Sb., zákona č. 124/2008 Sb., zákona č. 245/2008 Sb., zákona č. 309/2008 Sb., zákona č. 87/2009 </w:t>
      </w:r>
      <w:r w:rsidRPr="00BF37C6">
        <w:rPr>
          <w:rFonts w:ascii="Times New Roman" w:eastAsia="Times New Roman" w:hAnsi="Times New Roman" w:cs="Times New Roman"/>
          <w:sz w:val="24"/>
          <w:szCs w:val="24"/>
          <w:lang w:eastAsia="cs-CZ"/>
        </w:rPr>
        <w:lastRenderedPageBreak/>
        <w:t>Sb., zákona č. 281/2009 Sb., zákona č. 292/2009 Sb., zákona č. 362/2009 Sb., zákona č. 59/2010 Sb., zákona č. 95/2011 Sb., zákona č. 221/2011 Sb., zákona č. 420/2011 Sb., zákona č. 457/2011 Sb., zákona č. 458/2011 Sb., zákona č. 18/2012 Sb., zákona č. 407/2012 Sb., zákona č. 500/2012 Sb., zákona č. 308/2013 Sb., zákonného opatření Senátu č. 344/2013 Sb., zákona č. 201/2014 Sb., zákona č. 331/2014 Sb., zákona č. 157/2015 Sb., zákona č. 315/2015 Sb., zákona č. 382/2015 Sb., zákona č. 188/2016 Sb., zákona č. 243/2016 Sb., zákona č. 453/2016 Sb., zákona č. 65/2017 Sb. a zákona č. 183/2017 Sb., se mění takto:</w:t>
      </w:r>
    </w:p>
    <w:p w:rsidR="0045353C" w:rsidRPr="00BF37C6" w:rsidRDefault="0045353C" w:rsidP="005D65C7">
      <w:pPr>
        <w:spacing w:after="0" w:line="240" w:lineRule="auto"/>
        <w:ind w:firstLine="426"/>
        <w:jc w:val="both"/>
        <w:rPr>
          <w:rFonts w:ascii="Times New Roman" w:hAnsi="Times New Roman" w:cs="Times New Roman"/>
          <w:sz w:val="24"/>
          <w:szCs w:val="24"/>
        </w:rPr>
      </w:pPr>
    </w:p>
    <w:p w:rsidR="0045353C" w:rsidRPr="00BF37C6" w:rsidRDefault="0045353C" w:rsidP="005D65C7">
      <w:pPr>
        <w:spacing w:after="0" w:line="240" w:lineRule="auto"/>
        <w:rPr>
          <w:rFonts w:ascii="Times New Roman" w:eastAsia="Times New Roman" w:hAnsi="Times New Roman" w:cs="Times New Roman"/>
          <w:sz w:val="24"/>
          <w:szCs w:val="24"/>
          <w:lang w:eastAsia="cs-CZ"/>
        </w:rPr>
      </w:pPr>
      <w:r w:rsidRPr="00BF37C6">
        <w:rPr>
          <w:rFonts w:ascii="Times New Roman" w:eastAsia="Times New Roman" w:hAnsi="Times New Roman" w:cs="Times New Roman"/>
          <w:sz w:val="24"/>
          <w:szCs w:val="24"/>
          <w:lang w:eastAsia="cs-CZ"/>
        </w:rPr>
        <w:t>1. § 57 včetně nadpisu zní:</w:t>
      </w:r>
    </w:p>
    <w:p w:rsidR="0045353C" w:rsidRPr="00BF37C6" w:rsidRDefault="0045353C" w:rsidP="005D65C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cs-CZ"/>
        </w:rPr>
      </w:pPr>
      <w:r w:rsidRPr="00BF37C6">
        <w:rPr>
          <w:rFonts w:ascii="Times New Roman" w:eastAsia="Times New Roman" w:hAnsi="Times New Roman" w:cs="Times New Roman"/>
          <w:sz w:val="24"/>
          <w:szCs w:val="24"/>
          <w:lang w:eastAsia="cs-CZ"/>
        </w:rPr>
        <w:t xml:space="preserve">„§ 57 </w:t>
      </w:r>
    </w:p>
    <w:p w:rsidR="0045353C" w:rsidRPr="00BF37C6" w:rsidRDefault="0045353C" w:rsidP="0045353C">
      <w:pPr>
        <w:widowControl w:val="0"/>
        <w:autoSpaceDE w:val="0"/>
        <w:autoSpaceDN w:val="0"/>
        <w:adjustRightInd w:val="0"/>
        <w:jc w:val="center"/>
        <w:rPr>
          <w:rFonts w:ascii="Times New Roman" w:hAnsi="Times New Roman" w:cs="Times New Roman"/>
          <w:b/>
          <w:bCs/>
          <w:strike/>
          <w:sz w:val="24"/>
          <w:szCs w:val="24"/>
        </w:rPr>
      </w:pPr>
    </w:p>
    <w:p w:rsidR="0045353C" w:rsidRPr="00BF37C6" w:rsidRDefault="0045353C" w:rsidP="005D65C7">
      <w:pPr>
        <w:spacing w:after="0" w:line="240" w:lineRule="auto"/>
        <w:jc w:val="center"/>
        <w:rPr>
          <w:rFonts w:ascii="Times New Roman" w:eastAsia="Times New Roman" w:hAnsi="Times New Roman" w:cs="Times New Roman"/>
          <w:b/>
          <w:bCs/>
          <w:sz w:val="24"/>
          <w:szCs w:val="24"/>
          <w:lang w:eastAsia="cs-CZ"/>
        </w:rPr>
      </w:pPr>
      <w:r w:rsidRPr="00BF37C6">
        <w:rPr>
          <w:rFonts w:ascii="Times New Roman" w:eastAsia="Times New Roman" w:hAnsi="Times New Roman" w:cs="Times New Roman"/>
          <w:b/>
          <w:bCs/>
          <w:sz w:val="24"/>
          <w:szCs w:val="24"/>
          <w:lang w:eastAsia="cs-CZ"/>
        </w:rPr>
        <w:t>Vracení daně z minerálních olejů osobám užívajícím tyto oleje pro zemědělskou prvovýrobu nebo pro provádění hospodaření v lese</w:t>
      </w:r>
    </w:p>
    <w:p w:rsidR="0045353C" w:rsidRPr="00BF37C6" w:rsidRDefault="0045353C" w:rsidP="0045353C">
      <w:pPr>
        <w:jc w:val="center"/>
        <w:rPr>
          <w:rFonts w:ascii="Times New Roman" w:hAnsi="Times New Roman" w:cs="Times New Roman"/>
          <w:b/>
          <w:bCs/>
          <w:sz w:val="24"/>
          <w:szCs w:val="24"/>
        </w:rPr>
      </w:pP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 xml:space="preserve">(1) Nárok na vrácení daně vzniká osobě podnikající podle zákona upravujícího zemědělství, která provozuje zemědělskou prvovýrobu, nebo osobě, která provádí hospodaření v lese podle lesního zákona. Podmínkou nároku na vrácení daně je, že tato osoba nakoupila minerální oleje uvedené v § 45 odst. 1 písm. b) nebo § 45 odst. 2 písm. j) za cenu obsahující daň nebo tyto oleje vyrobila a tyto nakoupené nebo vyrobené minerální oleje použila pro zemědělskou prvovýrobu nebo pro provádění hospodaření v lese. </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 xml:space="preserve">(2) Nárok na vrácení daně se nevztahuje na toho, komu byla vrácena daň z uvedených minerálních olejů podle § 15 nebo 15a. Nárok na vrácení daně se rovněž nevztahuje na osobu, která je ke dni podání daňového přiznání v likvidaci, úpadku nebo která je povinna vrátit veřejnou podporu v návaznosti na rozhodnutí Evropské komise, jímž byla podpora poskytnutá této osobě prohlášena za protiprávní a neslučitelnou s vnitřním trhem.  </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(3) Zemědělskou prvovýrobou se pro účely spotřebních daní rozumí</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a)</w:t>
      </w:r>
      <w:r w:rsidRPr="00BF37C6">
        <w:rPr>
          <w:sz w:val="24"/>
          <w:szCs w:val="24"/>
          <w:lang w:val="cs-CZ" w:eastAsia="cs-CZ"/>
        </w:rPr>
        <w:tab/>
        <w:t>rostlinná výroba včetně chmelařství, ovocnářství, vinohradnictví, pěstování zeleniny, hub, okrasných květin, dřevin, léčivých a aromatických rostlin na pozemcích vlastních nebo propachtovaných, případně na pozemcích obhospodařovaných z jiného právního důvodu,</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b)</w:t>
      </w:r>
      <w:r w:rsidRPr="00BF37C6">
        <w:rPr>
          <w:sz w:val="24"/>
          <w:szCs w:val="24"/>
          <w:lang w:val="cs-CZ" w:eastAsia="cs-CZ"/>
        </w:rPr>
        <w:tab/>
        <w:t>chov hospodářských zvířat za účelem získávání, zpracování nebo výroby živočišných produktů včetně produkce těchto chovných nebo plemenných zvířat evidovaných podle plemenářského zákona; hospodářskými zvířaty se pro účely spotřebních daní rozumí skot, koně, prasata, drůbež, ovce nebo kozy, a</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c)</w:t>
      </w:r>
      <w:r w:rsidRPr="00BF37C6">
        <w:rPr>
          <w:sz w:val="24"/>
          <w:szCs w:val="24"/>
          <w:lang w:val="cs-CZ" w:eastAsia="cs-CZ"/>
        </w:rPr>
        <w:tab/>
        <w:t>rybníkářství podle zákona upravujícího rybářství.</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(4) Osoba, které vznikl nárok na vrácení daně, má pro tento účel postavení daňového subjektu bez povinnosti se registrovat.</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 xml:space="preserve">(5) Nárok na vrácení daně vzniká dnem spotřeby těchto minerálních olejů pro zemědělskou prvovýrobu nebo pro provádění hospodaření v lese. </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(6) Daň, která byla zahrnuta do ceny nakoupených minerálních olejů, nebo která byla u vyrobených minerálních olejů zaplacena na základě použití těchto minerálních olejů pro vlastní spotřebu, se vrací osobě</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a)</w:t>
      </w:r>
      <w:r w:rsidRPr="00BF37C6">
        <w:rPr>
          <w:sz w:val="24"/>
          <w:szCs w:val="24"/>
          <w:lang w:val="cs-CZ" w:eastAsia="cs-CZ"/>
        </w:rPr>
        <w:tab/>
        <w:t>provozující rostlinnou výrobu a neprovozující chov hospodářských zvířat ve výši 4 380 Kč/1 000 l minerálních olejů spotřebovaných při této činnosti,</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lastRenderedPageBreak/>
        <w:t>b)</w:t>
      </w:r>
      <w:r w:rsidRPr="00BF37C6">
        <w:rPr>
          <w:sz w:val="24"/>
          <w:szCs w:val="24"/>
          <w:lang w:val="cs-CZ" w:eastAsia="cs-CZ"/>
        </w:rPr>
        <w:tab/>
        <w:t>provozující rybníkářství ve výši 4 380 Kč/1 000 l minerálních olejů spotřebovaných při této činnosti,</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c)</w:t>
      </w:r>
      <w:r w:rsidRPr="00BF37C6">
        <w:rPr>
          <w:sz w:val="24"/>
          <w:szCs w:val="24"/>
          <w:lang w:val="cs-CZ" w:eastAsia="cs-CZ"/>
        </w:rPr>
        <w:tab/>
        <w:t>provádějící hospodaření v lese ve výši 4 380 Kč/1 000 l minerálních olejů spotřebovaných při této činnosti,</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d)</w:t>
      </w:r>
      <w:r w:rsidRPr="00BF37C6">
        <w:rPr>
          <w:sz w:val="24"/>
          <w:szCs w:val="24"/>
          <w:lang w:val="cs-CZ" w:eastAsia="cs-CZ"/>
        </w:rPr>
        <w:tab/>
        <w:t>provozující chov hospodářských zvířat a neprovozující rostlinnou výrobu ve výši 9 500 Kč/1 000 l minerálních olejů spotřebovaných při této činnosti nebo</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e)</w:t>
      </w:r>
      <w:r w:rsidRPr="00BF37C6">
        <w:rPr>
          <w:sz w:val="24"/>
          <w:szCs w:val="24"/>
          <w:lang w:val="cs-CZ" w:eastAsia="cs-CZ"/>
        </w:rPr>
        <w:tab/>
        <w:t xml:space="preserve">provozující rostlinnou výrobu a chov hospodářských zvířat s intenzitou chovu těchto zvířat  </w:t>
      </w:r>
    </w:p>
    <w:p w:rsidR="0045353C" w:rsidRPr="00BF37C6" w:rsidRDefault="0045353C" w:rsidP="007570C5">
      <w:pPr>
        <w:pStyle w:val="Textbodu"/>
        <w:tabs>
          <w:tab w:val="num" w:pos="709"/>
        </w:tabs>
        <w:suppressAutoHyphens w:val="0"/>
        <w:ind w:left="709" w:hanging="284"/>
        <w:outlineLvl w:val="8"/>
        <w:rPr>
          <w:szCs w:val="24"/>
          <w:lang w:eastAsia="cs-CZ"/>
        </w:rPr>
      </w:pPr>
      <w:r w:rsidRPr="00BF37C6">
        <w:rPr>
          <w:szCs w:val="24"/>
          <w:lang w:eastAsia="cs-CZ"/>
        </w:rPr>
        <w:t>1. do 0,3 ve výši 4 380 Kč/1 000 l minerálních olejů spotřebovaných při těchto činnostech, nebo</w:t>
      </w:r>
    </w:p>
    <w:p w:rsidR="0045353C" w:rsidRPr="00BF37C6" w:rsidRDefault="0045353C" w:rsidP="007570C5">
      <w:pPr>
        <w:pStyle w:val="Textbodu"/>
        <w:tabs>
          <w:tab w:val="num" w:pos="709"/>
        </w:tabs>
        <w:suppressAutoHyphens w:val="0"/>
        <w:ind w:left="709" w:hanging="284"/>
        <w:outlineLvl w:val="8"/>
        <w:rPr>
          <w:szCs w:val="24"/>
          <w:lang w:eastAsia="cs-CZ"/>
        </w:rPr>
      </w:pPr>
      <w:r w:rsidRPr="00BF37C6">
        <w:rPr>
          <w:szCs w:val="24"/>
          <w:lang w:eastAsia="cs-CZ"/>
        </w:rPr>
        <w:t>2. nad 0,3 ve výši 9 500 Kč/1 000 l minerálních olejů spotřebovaných při těchto činnostech.</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(7) Výše pevné částky vracené daně podle odstavce 6 je v případě směsí minerálních olejů uvedených v § 45 odst. 2 písm. j) vypočtena z výše daně, která byla zahrnuta do ceny těchto minerálních olejů, nebo která byla u vyrobených minerálních olejů zaplacena na základě použití těchto minerálních olejů pro vlastní spotřebu, snížené o výši daně odpovídající podílu biopaliva ve směsi.</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(8) Intenzitou chovu hospodářských zvířat se pro účely spotřebních daní rozumí podíl počtu hospodářských zvířat, která jsou chována osobou uvedenou v odstavci 1, přepočteného na velkou dobytčí jednotku, a výměry zemědělské půdy s druhem zemědělské kultury orná půda, trvalý travní porost nebo trvalá kultura vedené pro tuto osobu v evidenci využití půdy podle uživatelských vztahů vedené podle zákona upravujícího zemědělství.</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 xml:space="preserve">(9) Nákup minerálních olejů se pro účely prokázání vzniku nároku na vrácení daně prokazuje dokladem o prodeji minerálních olejů a jejich výroba interním dokladem. </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 xml:space="preserve">(10) Na dokladu o prodeji minerálních olejů musí být uvedeny tyto náležitosti: </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a)</w:t>
      </w:r>
      <w:r w:rsidRPr="00BF37C6">
        <w:rPr>
          <w:sz w:val="24"/>
          <w:szCs w:val="24"/>
          <w:lang w:val="cs-CZ" w:eastAsia="cs-CZ"/>
        </w:rPr>
        <w:tab/>
        <w:t xml:space="preserve">obchodní firma nebo jméno, sídlo a daňové identifikační číslo prodávajícího, </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b)</w:t>
      </w:r>
      <w:r w:rsidRPr="00BF37C6">
        <w:rPr>
          <w:sz w:val="24"/>
          <w:szCs w:val="24"/>
          <w:lang w:val="cs-CZ" w:eastAsia="cs-CZ"/>
        </w:rPr>
        <w:tab/>
        <w:t xml:space="preserve">obchodní firma nebo jméno, sídlo nebo místo pobytu a daňové identifikační číslo, bylo-li přiděleno, nebo datum narození kupujícího, </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c)</w:t>
      </w:r>
      <w:r w:rsidRPr="00BF37C6">
        <w:rPr>
          <w:sz w:val="24"/>
          <w:szCs w:val="24"/>
          <w:lang w:val="cs-CZ" w:eastAsia="cs-CZ"/>
        </w:rPr>
        <w:tab/>
        <w:t xml:space="preserve">množství minerálních olejů podle odstavce 1 v jednotkách podle § 47 odst. 1, jejich obchodní označení a kód nomenklatury, </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d)</w:t>
      </w:r>
      <w:r w:rsidRPr="00BF37C6">
        <w:rPr>
          <w:sz w:val="24"/>
          <w:szCs w:val="24"/>
          <w:lang w:val="cs-CZ" w:eastAsia="cs-CZ"/>
        </w:rPr>
        <w:tab/>
        <w:t xml:space="preserve">sazba spotřební daně platná v den uvedení minerálních olejů podle odstavce 1 do volného daňového oběhu, </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e)</w:t>
      </w:r>
      <w:r w:rsidRPr="00BF37C6">
        <w:rPr>
          <w:sz w:val="24"/>
          <w:szCs w:val="24"/>
          <w:lang w:val="cs-CZ" w:eastAsia="cs-CZ"/>
        </w:rPr>
        <w:tab/>
        <w:t xml:space="preserve">výše spotřební daně celkem, </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f)</w:t>
      </w:r>
      <w:r w:rsidRPr="00BF37C6">
        <w:rPr>
          <w:sz w:val="24"/>
          <w:szCs w:val="24"/>
          <w:lang w:val="cs-CZ" w:eastAsia="cs-CZ"/>
        </w:rPr>
        <w:tab/>
        <w:t xml:space="preserve">datum vystavení dokladu o prodeji, </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g)</w:t>
      </w:r>
      <w:r w:rsidRPr="00BF37C6">
        <w:rPr>
          <w:sz w:val="24"/>
          <w:szCs w:val="24"/>
          <w:lang w:val="cs-CZ" w:eastAsia="cs-CZ"/>
        </w:rPr>
        <w:tab/>
        <w:t xml:space="preserve">číslo dokladu o prodeji. </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(11) Na interním dokladu musí být uvedeny tyto náležitosti:</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a)</w:t>
      </w:r>
      <w:r w:rsidRPr="00BF37C6">
        <w:rPr>
          <w:sz w:val="24"/>
          <w:szCs w:val="24"/>
          <w:lang w:val="cs-CZ" w:eastAsia="cs-CZ"/>
        </w:rPr>
        <w:tab/>
        <w:t xml:space="preserve">obchodní firma nebo jméno, sídlo nebo místo pobytu a daňové identifikační číslo, bylo-li přiděleno, nebo datum narození výrobce, </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b)</w:t>
      </w:r>
      <w:r w:rsidRPr="00BF37C6">
        <w:rPr>
          <w:sz w:val="24"/>
          <w:szCs w:val="24"/>
          <w:lang w:val="cs-CZ" w:eastAsia="cs-CZ"/>
        </w:rPr>
        <w:tab/>
        <w:t xml:space="preserve">množství minerálních olejů uvedených v odstavci 1 v jednotkách podle § 47 odst. 1, obchodní označení a kód nomenklatury, </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c)</w:t>
      </w:r>
      <w:r w:rsidRPr="00BF37C6">
        <w:rPr>
          <w:sz w:val="24"/>
          <w:szCs w:val="24"/>
          <w:lang w:val="cs-CZ" w:eastAsia="cs-CZ"/>
        </w:rPr>
        <w:tab/>
        <w:t xml:space="preserve">sazba spotřební daně platná v den uvedení minerálních olejů uvedených v odstavci 1 do volného daňového oběhu, </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d)</w:t>
      </w:r>
      <w:r w:rsidRPr="00BF37C6">
        <w:rPr>
          <w:sz w:val="24"/>
          <w:szCs w:val="24"/>
          <w:lang w:val="cs-CZ" w:eastAsia="cs-CZ"/>
        </w:rPr>
        <w:tab/>
        <w:t xml:space="preserve">výše spotřební daně celkem, </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e)</w:t>
      </w:r>
      <w:r w:rsidRPr="00BF37C6">
        <w:rPr>
          <w:sz w:val="24"/>
          <w:szCs w:val="24"/>
          <w:lang w:val="cs-CZ" w:eastAsia="cs-CZ"/>
        </w:rPr>
        <w:tab/>
        <w:t>datum vystavení interního dokladu,</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f)</w:t>
      </w:r>
      <w:r w:rsidRPr="00BF37C6">
        <w:rPr>
          <w:sz w:val="24"/>
          <w:szCs w:val="24"/>
          <w:lang w:val="cs-CZ" w:eastAsia="cs-CZ"/>
        </w:rPr>
        <w:tab/>
        <w:t>číslo interního dokladu.</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(12) Doklady, kterými se prokazuje nákup nebo výroba minerálních olejů, se vedou v časové souslednosti.</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lastRenderedPageBreak/>
        <w:t>(13) Spotřeba minerálních olejů pro zemědělskou prvovýrobu nebo pro provádění hospodaření v lese se pro účely prokázání vzniku nároku na vrácení daně prokazuje evidencí o skutečné spotřebě. V případě rostlinné výroby nebo chovu hospodářských zvířat lze spotřebu prokázat evidencí využití půdy podle uživatelských vztahů vedenou podle zákona upravujícího zemědělství nebo ústřední evidencí hospodářských zvířat vedenou podle plemenářského zákona; spotřeba se má v tomto pří</w:t>
      </w:r>
      <w:r w:rsidR="007570C5" w:rsidRPr="00BF37C6">
        <w:rPr>
          <w:sz w:val="24"/>
          <w:szCs w:val="24"/>
          <w:lang w:val="cs-CZ" w:eastAsia="cs-CZ"/>
        </w:rPr>
        <w:t>padě za prokázanou, jsou-li pro </w:t>
      </w:r>
      <w:r w:rsidRPr="00BF37C6">
        <w:rPr>
          <w:sz w:val="24"/>
          <w:szCs w:val="24"/>
          <w:lang w:val="cs-CZ" w:eastAsia="cs-CZ"/>
        </w:rPr>
        <w:t>osobu uvedenou v odstavci 1 v příslušné evidenci evi</w:t>
      </w:r>
      <w:r w:rsidR="007570C5" w:rsidRPr="00BF37C6">
        <w:rPr>
          <w:sz w:val="24"/>
          <w:szCs w:val="24"/>
          <w:lang w:val="cs-CZ" w:eastAsia="cs-CZ"/>
        </w:rPr>
        <w:t>dovány hospodářská zvířata nebo </w:t>
      </w:r>
      <w:r w:rsidRPr="00BF37C6">
        <w:rPr>
          <w:sz w:val="24"/>
          <w:szCs w:val="24"/>
          <w:lang w:val="cs-CZ" w:eastAsia="cs-CZ"/>
        </w:rPr>
        <w:t xml:space="preserve">zemědělská půda s druhem zemědělské kultury orná </w:t>
      </w:r>
      <w:r w:rsidR="007570C5" w:rsidRPr="00BF37C6">
        <w:rPr>
          <w:sz w:val="24"/>
          <w:szCs w:val="24"/>
          <w:lang w:val="cs-CZ" w:eastAsia="cs-CZ"/>
        </w:rPr>
        <w:t>půda, trvalý travní porost nebo </w:t>
      </w:r>
      <w:r w:rsidRPr="00BF37C6">
        <w:rPr>
          <w:sz w:val="24"/>
          <w:szCs w:val="24"/>
          <w:lang w:val="cs-CZ" w:eastAsia="cs-CZ"/>
        </w:rPr>
        <w:t>trvalá kultura.</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(14) Volbu způsobu prokazování spotřeby pro daný kalendářní rok provede osoba uvedená v odstavci 1 prvním daňovým přiznáním poda</w:t>
      </w:r>
      <w:r w:rsidR="007570C5" w:rsidRPr="00BF37C6">
        <w:rPr>
          <w:sz w:val="24"/>
          <w:szCs w:val="24"/>
          <w:lang w:val="cs-CZ" w:eastAsia="cs-CZ"/>
        </w:rPr>
        <w:t>ným za tento kalendářní rok, ve </w:t>
      </w:r>
      <w:r w:rsidRPr="00BF37C6">
        <w:rPr>
          <w:sz w:val="24"/>
          <w:szCs w:val="24"/>
          <w:lang w:val="cs-CZ" w:eastAsia="cs-CZ"/>
        </w:rPr>
        <w:t>kterém uplatňuje nárok na vrácení daně za rostlinnou výrobu nebo chov hospodářských zvířat. Tuto volbu nelze změnit, a to ani podáním dodatečného daňového přiznání. Zvolený způsob prokazování se použije pro všechny činnosti rostlinné výroby nebo chovu hospodářských zvířat vykonávané touto osobou.</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(15) Evidence o skutečné spotřebě obsahuje tyto údaje:</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a)</w:t>
      </w:r>
      <w:r w:rsidRPr="00BF37C6">
        <w:rPr>
          <w:sz w:val="24"/>
          <w:szCs w:val="24"/>
          <w:lang w:val="cs-CZ" w:eastAsia="cs-CZ"/>
        </w:rPr>
        <w:tab/>
        <w:t>místo spotřeby minerálních olejů,</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b)</w:t>
      </w:r>
      <w:r w:rsidRPr="00BF37C6">
        <w:rPr>
          <w:sz w:val="24"/>
          <w:szCs w:val="24"/>
          <w:lang w:val="cs-CZ" w:eastAsia="cs-CZ"/>
        </w:rPr>
        <w:tab/>
        <w:t xml:space="preserve">druh vykonávané práce, při níž došlo k použití minerálních olejů pro zemědělskou prvovýrobu nebo pro provádění hospodaření v lese, </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c)</w:t>
      </w:r>
      <w:r w:rsidRPr="00BF37C6">
        <w:rPr>
          <w:sz w:val="24"/>
          <w:szCs w:val="24"/>
          <w:lang w:val="cs-CZ" w:eastAsia="cs-CZ"/>
        </w:rPr>
        <w:tab/>
        <w:t>celkové množství spotřebovaných minerálních olejů,</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d)</w:t>
      </w:r>
      <w:r w:rsidRPr="00BF37C6">
        <w:rPr>
          <w:sz w:val="24"/>
          <w:szCs w:val="24"/>
          <w:lang w:val="cs-CZ" w:eastAsia="cs-CZ"/>
        </w:rPr>
        <w:tab/>
        <w:t>jednoznačnou identifikaci právního důvodu, na jehož základě osoba provádí hospodaření v lese podle lesního zákona, pokud se jedná o tuto osobu.</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(16) Pokud osoba, které vznikl nárok na vrácení daně, prokazuje spotřebu minerálních olejů evidencí využití půdy podle uživatelských vztahů vedenou podle zákona upravujícího zemědělství nebo ústřední evidencí hospodářských zvířat vedenou podle plemenářského zákona, platí, že za jednotlivé kalendářní měsíce spotřebovala množství minerálních olejů odpovídající množství minerálních olejů stanovenému podílem z ročního normativu minimální spotřeby. Roční normativ minimální spotřeby se stanoví jako minimální spotřeba minerálních olejů na činnosti rostlinné výroby nebo chovu hospodářských zvířat za kalendářní rok.</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(17) Dojde-li ke změně skutečností, které jsou rozhodné pro určení výše nároku na vrácení daně, hledí se na tuto změnu tak, že nastala uplynutím posledního dne kalendářního měsíce předcházejícího kalendářnímu měsíci, ve kterém k ní došlo. Pro určení kategorie normativu minimální spotřeby u rostlinné výroby pro daný kalendářní rok je rozhodným dnem 15. květen tohoto roku; pokud k tomuto datu nebyla zemědělská půda, pro kterou se kategorie normativu určuje, pro osobu uvedenou v odstavci 1 v evidenci využití půdy podle uživatelských vztahů vedené podle zákona upravujícího zemědělství evidována, je rozhodným dnem pro určení kategorie normativu minimální spotřeby poslední den kalendářního měsíce, ve kterém nastaly účinky právního důvodu, na jehož základě došlo ke změně osoby, pro kterou je v této evidenci</w:t>
      </w:r>
      <w:r w:rsidRPr="00BF37C6" w:rsidDel="0042621B">
        <w:rPr>
          <w:sz w:val="24"/>
          <w:szCs w:val="24"/>
          <w:lang w:val="cs-CZ" w:eastAsia="cs-CZ"/>
        </w:rPr>
        <w:t xml:space="preserve"> </w:t>
      </w:r>
      <w:r w:rsidRPr="00BF37C6">
        <w:rPr>
          <w:sz w:val="24"/>
          <w:szCs w:val="24"/>
          <w:lang w:val="cs-CZ" w:eastAsia="cs-CZ"/>
        </w:rPr>
        <w:t>zemědělská půda evidována.</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(18) Zdaňovacím obdobím pro účely vracení daně z minerálních olejů osobám používajícím tyto oleje pro zemědělskou prvovýrobu nebo pro provádění hospodaření v lese je</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a)</w:t>
      </w:r>
      <w:r w:rsidRPr="00BF37C6">
        <w:rPr>
          <w:sz w:val="24"/>
          <w:szCs w:val="24"/>
          <w:lang w:val="cs-CZ" w:eastAsia="cs-CZ"/>
        </w:rPr>
        <w:tab/>
        <w:t>kalendářní čtvrtletí, pokud se spotřeba prokazuje evidencí o skutečné spotřebě, nebo</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b)</w:t>
      </w:r>
      <w:r w:rsidRPr="00BF37C6">
        <w:rPr>
          <w:sz w:val="24"/>
          <w:szCs w:val="24"/>
          <w:lang w:val="cs-CZ" w:eastAsia="cs-CZ"/>
        </w:rPr>
        <w:tab/>
        <w:t>kalendářní rok, pokud se spotřeba prokazuje evidencí využití půdy podle uživatelských vztahů vedenou podle zákona upravujícího zemědělství nebo ústřední evidencí hospodářských zvířat vedenou podle plemenářského zákona.</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 xml:space="preserve">(19) Nárok na vrácení daně se uplatňuje v daňovém přiznání ve lhůtě do konce třetího kalendářního měsíce následujícího po skončení zdaňovacího období, ve kterém nárok </w:t>
      </w:r>
      <w:r w:rsidRPr="00BF37C6">
        <w:rPr>
          <w:sz w:val="24"/>
          <w:szCs w:val="24"/>
          <w:lang w:val="cs-CZ" w:eastAsia="cs-CZ"/>
        </w:rPr>
        <w:lastRenderedPageBreak/>
        <w:t>na vrácení daně vznikl. Pokud v této lhůtě nebyl nárok na vrácení daně uplatněn, tento nárok zaniká; tuto lhůtu nelze prodloužit ani nelze povolit její navrácení v předešlý stav.</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(20) Dodatečné daňové přiznání na zvýšení nároku na vrácení daně lze podat nejpozději do konce pátého kalendářního měsíce následujícího po skončení zdaňovacího období, ve kterém nárok na vrácení daně vznikl. Pokud v této lhůtě nebylo dodatečné daňové přiznání podáno, nárok na vrácení daně zaniká; tuto lhůtu nelze prodloužit ani nelze povolit její navrácení v předešlý stav.</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(21) Vznikne-li vyměřením nebo doměřením nároku na vrácení daně vratitelný přeplatek, vrátí se bez žádosti do 30 kalendářních dní po vyměření nebo doměření nároku.</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(22) Daňové přiznání a dodatečné daňové přiznání, kterými se uplatňuje nárok na vrácení daně, podává osoba uvedená v odstavci 1 elektronicky s využitím dálkového přístupu ve formátu a struktuře zveřejněné správcem daně.</w:t>
      </w:r>
    </w:p>
    <w:p w:rsidR="0045353C" w:rsidRPr="00BF37C6" w:rsidRDefault="0045353C" w:rsidP="007570C5">
      <w:pPr>
        <w:pStyle w:val="Textodstavce"/>
        <w:tabs>
          <w:tab w:val="num" w:pos="782"/>
          <w:tab w:val="left" w:pos="851"/>
        </w:tabs>
        <w:suppressAutoHyphens w:val="0"/>
        <w:ind w:firstLine="425"/>
        <w:outlineLvl w:val="6"/>
        <w:rPr>
          <w:sz w:val="24"/>
          <w:szCs w:val="24"/>
          <w:lang w:val="cs-CZ" w:eastAsia="cs-CZ"/>
        </w:rPr>
      </w:pPr>
      <w:r w:rsidRPr="00BF37C6">
        <w:rPr>
          <w:sz w:val="24"/>
          <w:szCs w:val="24"/>
          <w:lang w:val="cs-CZ" w:eastAsia="cs-CZ"/>
        </w:rPr>
        <w:t xml:space="preserve">(23) Ministerstvo zemědělství společně s Ministerstvem financí stanoví vyhláškou </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a)</w:t>
      </w:r>
      <w:r w:rsidRPr="00BF37C6">
        <w:rPr>
          <w:sz w:val="24"/>
          <w:szCs w:val="24"/>
          <w:lang w:val="cs-CZ" w:eastAsia="cs-CZ"/>
        </w:rPr>
        <w:tab/>
        <w:t xml:space="preserve">způsob výpočtu výše nároku na vrácení daně z minerálních olejů spotřebovaných v zemědělské prvovýrobě a při provádění hospodaření v lese, </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b)</w:t>
      </w:r>
      <w:r w:rsidRPr="00BF37C6">
        <w:rPr>
          <w:sz w:val="24"/>
          <w:szCs w:val="24"/>
          <w:lang w:val="cs-CZ" w:eastAsia="cs-CZ"/>
        </w:rPr>
        <w:tab/>
        <w:t>výše ročních normativů minimální spotřeby a jejich kategorie a podílové rozdělení ročních normativů minimální spotřeby na jednotlivé kalendářní měsíce a </w:t>
      </w:r>
    </w:p>
    <w:p w:rsidR="0045353C" w:rsidRPr="00BF37C6" w:rsidRDefault="0045353C" w:rsidP="007570C5">
      <w:pPr>
        <w:pStyle w:val="Textpsmene"/>
        <w:tabs>
          <w:tab w:val="num" w:pos="425"/>
        </w:tabs>
        <w:suppressAutoHyphens w:val="0"/>
        <w:ind w:left="425" w:hanging="425"/>
        <w:outlineLvl w:val="7"/>
        <w:rPr>
          <w:sz w:val="24"/>
          <w:szCs w:val="24"/>
          <w:lang w:val="cs-CZ" w:eastAsia="cs-CZ"/>
        </w:rPr>
      </w:pPr>
      <w:r w:rsidRPr="00BF37C6">
        <w:rPr>
          <w:sz w:val="24"/>
          <w:szCs w:val="24"/>
          <w:lang w:val="cs-CZ" w:eastAsia="cs-CZ"/>
        </w:rPr>
        <w:t>c)</w:t>
      </w:r>
      <w:r w:rsidRPr="00BF37C6">
        <w:rPr>
          <w:sz w:val="24"/>
          <w:szCs w:val="24"/>
          <w:lang w:val="cs-CZ" w:eastAsia="cs-CZ"/>
        </w:rPr>
        <w:tab/>
        <w:t>způsob výpočtu intenzity chovu hospodářských zvířat včetně přepočtu hospodářských zvířat na velké dobytčí jednotky.“.</w:t>
      </w:r>
    </w:p>
    <w:p w:rsidR="0045353C" w:rsidRPr="00BF37C6" w:rsidRDefault="0045353C" w:rsidP="007570C5">
      <w:pPr>
        <w:pStyle w:val="Textpsmene"/>
        <w:tabs>
          <w:tab w:val="num" w:pos="425"/>
        </w:tabs>
        <w:suppressAutoHyphens w:val="0"/>
        <w:spacing w:before="360"/>
        <w:ind w:left="425" w:hanging="425"/>
        <w:outlineLvl w:val="7"/>
        <w:rPr>
          <w:sz w:val="24"/>
          <w:szCs w:val="24"/>
          <w:lang w:val="cs-CZ" w:eastAsia="cs-CZ"/>
        </w:rPr>
      </w:pPr>
      <w:r w:rsidRPr="00BF37C6">
        <w:rPr>
          <w:sz w:val="24"/>
          <w:szCs w:val="24"/>
          <w:lang w:val="cs-CZ" w:eastAsia="cs-CZ"/>
        </w:rPr>
        <w:t>2.</w:t>
      </w:r>
      <w:r w:rsidRPr="00BF37C6">
        <w:rPr>
          <w:sz w:val="24"/>
          <w:szCs w:val="24"/>
          <w:lang w:val="cs-CZ" w:eastAsia="cs-CZ"/>
        </w:rPr>
        <w:tab/>
        <w:t>V § 139 se odstavec 3 zrušuje.</w:t>
      </w:r>
    </w:p>
    <w:p w:rsidR="0045353C" w:rsidRPr="00BF37C6" w:rsidRDefault="0045353C" w:rsidP="007570C5">
      <w:pPr>
        <w:keepNext/>
        <w:keepLines/>
        <w:spacing w:before="360" w:after="0" w:line="240" w:lineRule="auto"/>
        <w:jc w:val="center"/>
        <w:rPr>
          <w:rFonts w:ascii="Times New Roman" w:eastAsia="Times New Roman" w:hAnsi="Times New Roman" w:cs="Times New Roman"/>
          <w:bCs/>
          <w:sz w:val="24"/>
          <w:szCs w:val="24"/>
          <w:lang w:eastAsia="cs-CZ"/>
        </w:rPr>
      </w:pPr>
      <w:r w:rsidRPr="00BF37C6">
        <w:rPr>
          <w:rFonts w:ascii="Times New Roman" w:eastAsia="Times New Roman" w:hAnsi="Times New Roman" w:cs="Times New Roman"/>
          <w:bCs/>
          <w:sz w:val="24"/>
          <w:szCs w:val="24"/>
          <w:lang w:eastAsia="cs-CZ"/>
        </w:rPr>
        <w:t>Čl. II</w:t>
      </w:r>
    </w:p>
    <w:p w:rsidR="0045353C" w:rsidRPr="00BF37C6" w:rsidRDefault="0045353C" w:rsidP="007570C5">
      <w:pPr>
        <w:keepNext/>
        <w:keepLines/>
        <w:spacing w:after="0" w:line="240" w:lineRule="auto"/>
        <w:jc w:val="center"/>
        <w:rPr>
          <w:rFonts w:ascii="Times New Roman" w:eastAsia="Times New Roman" w:hAnsi="Times New Roman" w:cs="Times New Roman"/>
          <w:b/>
          <w:bCs/>
          <w:sz w:val="24"/>
          <w:szCs w:val="24"/>
          <w:lang w:eastAsia="cs-CZ"/>
        </w:rPr>
      </w:pPr>
      <w:r w:rsidRPr="00BF37C6">
        <w:rPr>
          <w:rFonts w:ascii="Times New Roman" w:eastAsia="Times New Roman" w:hAnsi="Times New Roman" w:cs="Times New Roman"/>
          <w:b/>
          <w:bCs/>
          <w:sz w:val="24"/>
          <w:szCs w:val="24"/>
          <w:lang w:eastAsia="cs-CZ"/>
        </w:rPr>
        <w:t>Přechodná ustanovení</w:t>
      </w:r>
    </w:p>
    <w:p w:rsidR="0045353C" w:rsidRPr="00BF37C6" w:rsidRDefault="0045353C" w:rsidP="0045353C">
      <w:pPr>
        <w:pStyle w:val="Textodstavce"/>
        <w:numPr>
          <w:ilvl w:val="0"/>
          <w:numId w:val="30"/>
        </w:numPr>
        <w:tabs>
          <w:tab w:val="left" w:pos="284"/>
        </w:tabs>
        <w:suppressAutoHyphens w:val="0"/>
        <w:ind w:left="0" w:firstLine="284"/>
        <w:outlineLvl w:val="6"/>
        <w:rPr>
          <w:sz w:val="24"/>
          <w:szCs w:val="24"/>
          <w:lang w:val="cs-CZ" w:eastAsia="cs-CZ"/>
        </w:rPr>
      </w:pPr>
      <w:r w:rsidRPr="00BF37C6">
        <w:rPr>
          <w:sz w:val="24"/>
          <w:szCs w:val="24"/>
          <w:lang w:val="cs-CZ" w:eastAsia="cs-CZ"/>
        </w:rPr>
        <w:t>Pro nárok na vrácení daně z minerálních olejů osobám užívajícím tyto oleje pro zemědělskou prvovýrobu nebo pro provádění hospodaření v lese, který vznikl před 1. lednem 2019, se použije § 57 zákona č. 353/2003 Sb., ve znění účinném před 1. lednem 2019.</w:t>
      </w:r>
    </w:p>
    <w:p w:rsidR="0045353C" w:rsidRPr="00BF37C6" w:rsidRDefault="0045353C" w:rsidP="0045353C">
      <w:pPr>
        <w:pStyle w:val="Textodstavce"/>
        <w:numPr>
          <w:ilvl w:val="0"/>
          <w:numId w:val="30"/>
        </w:numPr>
        <w:tabs>
          <w:tab w:val="left" w:pos="284"/>
        </w:tabs>
        <w:suppressAutoHyphens w:val="0"/>
        <w:ind w:left="0" w:firstLine="284"/>
        <w:outlineLvl w:val="6"/>
        <w:rPr>
          <w:sz w:val="24"/>
          <w:szCs w:val="24"/>
          <w:lang w:val="cs-CZ" w:eastAsia="cs-CZ"/>
        </w:rPr>
      </w:pPr>
      <w:r w:rsidRPr="00BF37C6">
        <w:rPr>
          <w:sz w:val="24"/>
          <w:szCs w:val="24"/>
          <w:lang w:val="cs-CZ" w:eastAsia="cs-CZ"/>
        </w:rPr>
        <w:t>Pro nárok na vrácení daně z minerálních olejů osobám užívajícím tyto oleje pro zemědělskou prvovýrobu nebo pro provádění hospodaření v lese, který vznikl od 1. ledna 2019 do dne předcházejícího dni nabytí účinnosti tohoto zákona, se použije § 57 zákona č. 353/2003 Sb., ve znění účinném ode dne nabytí účinnosti tohoto zákona.</w:t>
      </w:r>
    </w:p>
    <w:p w:rsidR="0045353C" w:rsidRPr="00BF37C6" w:rsidRDefault="0045353C" w:rsidP="0045353C">
      <w:pPr>
        <w:pStyle w:val="Textodstavce"/>
        <w:numPr>
          <w:ilvl w:val="0"/>
          <w:numId w:val="30"/>
        </w:numPr>
        <w:tabs>
          <w:tab w:val="left" w:pos="284"/>
        </w:tabs>
        <w:suppressAutoHyphens w:val="0"/>
        <w:ind w:left="0" w:firstLine="284"/>
        <w:outlineLvl w:val="6"/>
        <w:rPr>
          <w:sz w:val="24"/>
          <w:szCs w:val="24"/>
          <w:lang w:val="cs-CZ" w:eastAsia="cs-CZ"/>
        </w:rPr>
      </w:pPr>
      <w:r w:rsidRPr="00BF37C6">
        <w:rPr>
          <w:sz w:val="24"/>
          <w:szCs w:val="24"/>
          <w:lang w:val="cs-CZ" w:eastAsia="cs-CZ"/>
        </w:rPr>
        <w:t>Ustanovení § 57 odst. 22 zákona č. 353/2003 Sb., ve znění účinném ode dne nabytí účinnosti tohoto zákona, se nepoužije pro daňové povinnosti fyzických osob za zdaňovací období před 1. lednem 2022.</w:t>
      </w:r>
    </w:p>
    <w:p w:rsidR="0045353C" w:rsidRPr="00BF37C6" w:rsidRDefault="0045353C" w:rsidP="007570C5">
      <w:pPr>
        <w:keepNext/>
        <w:keepLines/>
        <w:spacing w:before="360" w:after="0" w:line="240" w:lineRule="auto"/>
        <w:jc w:val="center"/>
        <w:rPr>
          <w:rFonts w:ascii="Times New Roman" w:eastAsia="Times New Roman" w:hAnsi="Times New Roman" w:cs="Times New Roman"/>
          <w:bCs/>
          <w:sz w:val="24"/>
          <w:szCs w:val="24"/>
          <w:lang w:eastAsia="cs-CZ"/>
        </w:rPr>
      </w:pPr>
      <w:r w:rsidRPr="00BF37C6">
        <w:rPr>
          <w:rFonts w:ascii="Times New Roman" w:eastAsia="Times New Roman" w:hAnsi="Times New Roman" w:cs="Times New Roman"/>
          <w:bCs/>
          <w:sz w:val="24"/>
          <w:szCs w:val="24"/>
          <w:lang w:eastAsia="cs-CZ"/>
        </w:rPr>
        <w:t>Čl. III</w:t>
      </w:r>
    </w:p>
    <w:p w:rsidR="0045353C" w:rsidRDefault="0045353C" w:rsidP="007570C5">
      <w:pPr>
        <w:keepNext/>
        <w:keepLines/>
        <w:spacing w:after="0" w:line="240" w:lineRule="auto"/>
        <w:jc w:val="center"/>
        <w:rPr>
          <w:rFonts w:ascii="Times New Roman" w:eastAsia="Times New Roman" w:hAnsi="Times New Roman" w:cs="Times New Roman"/>
          <w:b/>
          <w:bCs/>
          <w:sz w:val="24"/>
          <w:szCs w:val="24"/>
          <w:lang w:eastAsia="cs-CZ"/>
        </w:rPr>
      </w:pPr>
      <w:r w:rsidRPr="00BF37C6">
        <w:rPr>
          <w:rFonts w:ascii="Times New Roman" w:eastAsia="Times New Roman" w:hAnsi="Times New Roman" w:cs="Times New Roman"/>
          <w:b/>
          <w:bCs/>
          <w:sz w:val="24"/>
          <w:szCs w:val="24"/>
          <w:lang w:eastAsia="cs-CZ"/>
        </w:rPr>
        <w:t>Účinnost</w:t>
      </w:r>
    </w:p>
    <w:p w:rsidR="00BF37C6" w:rsidRPr="00BF37C6" w:rsidRDefault="00BF37C6" w:rsidP="007570C5">
      <w:pPr>
        <w:keepNext/>
        <w:keepLines/>
        <w:spacing w:after="0" w:line="240" w:lineRule="auto"/>
        <w:jc w:val="center"/>
        <w:rPr>
          <w:rFonts w:ascii="Times New Roman" w:eastAsia="Times New Roman" w:hAnsi="Times New Roman" w:cs="Times New Roman"/>
          <w:b/>
          <w:bCs/>
          <w:sz w:val="24"/>
          <w:szCs w:val="24"/>
          <w:lang w:eastAsia="cs-CZ"/>
        </w:rPr>
      </w:pPr>
    </w:p>
    <w:p w:rsidR="0045353C" w:rsidRPr="00BF37C6" w:rsidRDefault="0045353C" w:rsidP="009E0BA3">
      <w:pPr>
        <w:spacing w:after="0" w:line="240" w:lineRule="auto"/>
        <w:jc w:val="both"/>
        <w:rPr>
          <w:rFonts w:ascii="Times New Roman" w:eastAsia="Times New Roman" w:hAnsi="Times New Roman" w:cs="Times New Roman"/>
          <w:sz w:val="24"/>
          <w:szCs w:val="24"/>
          <w:lang w:eastAsia="cs-CZ"/>
        </w:rPr>
      </w:pPr>
      <w:r w:rsidRPr="00BF37C6">
        <w:rPr>
          <w:rFonts w:ascii="Times New Roman" w:eastAsia="Times New Roman" w:hAnsi="Times New Roman" w:cs="Times New Roman"/>
          <w:sz w:val="24"/>
          <w:szCs w:val="24"/>
          <w:lang w:eastAsia="cs-CZ"/>
        </w:rPr>
        <w:t>Tento zákon nabývá účinnosti prvním dnem kalendářního měsíce následujícího po dni jeho vyhlášení.</w:t>
      </w:r>
    </w:p>
    <w:p w:rsidR="0045353C" w:rsidRDefault="0045353C" w:rsidP="00622779">
      <w:pPr>
        <w:pStyle w:val="Zpat"/>
        <w:spacing w:after="120"/>
        <w:jc w:val="both"/>
        <w:rPr>
          <w:rFonts w:ascii="Times New Roman" w:hAnsi="Times New Roman" w:cs="Times New Roman"/>
          <w:color w:val="00000A"/>
          <w:sz w:val="24"/>
          <w:szCs w:val="24"/>
        </w:rPr>
      </w:pPr>
    </w:p>
    <w:p w:rsidR="00C87D7C" w:rsidRDefault="00C87D7C" w:rsidP="00622779">
      <w:pPr>
        <w:pStyle w:val="Zpat"/>
        <w:spacing w:after="120"/>
        <w:jc w:val="both"/>
        <w:rPr>
          <w:rFonts w:ascii="Times New Roman" w:hAnsi="Times New Roman" w:cs="Times New Roman"/>
          <w:color w:val="00000A"/>
          <w:sz w:val="24"/>
          <w:szCs w:val="24"/>
        </w:rPr>
      </w:pPr>
    </w:p>
    <w:p w:rsidR="00C87D7C" w:rsidRDefault="00C87D7C" w:rsidP="00622779">
      <w:pPr>
        <w:pStyle w:val="Zpat"/>
        <w:spacing w:after="120"/>
        <w:jc w:val="both"/>
        <w:rPr>
          <w:rFonts w:ascii="Times New Roman" w:hAnsi="Times New Roman" w:cs="Times New Roman"/>
          <w:color w:val="00000A"/>
          <w:sz w:val="24"/>
          <w:szCs w:val="24"/>
        </w:rPr>
      </w:pPr>
    </w:p>
    <w:p w:rsidR="00C87D7C" w:rsidRDefault="00C87D7C" w:rsidP="00622779">
      <w:pPr>
        <w:pStyle w:val="Zpat"/>
        <w:spacing w:after="120"/>
        <w:jc w:val="both"/>
        <w:rPr>
          <w:rFonts w:ascii="Times New Roman" w:hAnsi="Times New Roman" w:cs="Times New Roman"/>
          <w:color w:val="00000A"/>
          <w:sz w:val="24"/>
          <w:szCs w:val="24"/>
        </w:rPr>
      </w:pPr>
    </w:p>
    <w:p w:rsidR="00C87D7C" w:rsidRDefault="00C87D7C" w:rsidP="00622779">
      <w:pPr>
        <w:pStyle w:val="Zpat"/>
        <w:spacing w:after="120"/>
        <w:jc w:val="both"/>
        <w:rPr>
          <w:rFonts w:ascii="Times New Roman" w:hAnsi="Times New Roman" w:cs="Times New Roman"/>
          <w:color w:val="00000A"/>
          <w:sz w:val="24"/>
          <w:szCs w:val="24"/>
        </w:rPr>
      </w:pPr>
    </w:p>
    <w:p w:rsidR="00C87D7C" w:rsidRDefault="00C87D7C" w:rsidP="00C87D7C">
      <w:pPr>
        <w:pStyle w:val="Odstavecseseznamem"/>
        <w:numPr>
          <w:ilvl w:val="0"/>
          <w:numId w:val="31"/>
        </w:numPr>
        <w:tabs>
          <w:tab w:val="left" w:pos="709"/>
        </w:tabs>
        <w:spacing w:line="256" w:lineRule="auto"/>
        <w:ind w:left="709" w:hanging="709"/>
        <w:contextualSpacing w:val="0"/>
        <w:jc w:val="both"/>
        <w:rPr>
          <w:rFonts w:ascii="Times New Roman" w:hAnsi="Times New Roman" w:cs="Times New Roman"/>
          <w:sz w:val="24"/>
          <w:szCs w:val="24"/>
        </w:rPr>
      </w:pPr>
      <w:r>
        <w:rPr>
          <w:rFonts w:ascii="Times New Roman" w:hAnsi="Times New Roman" w:cs="Times New Roman"/>
          <w:spacing w:val="60"/>
          <w:sz w:val="24"/>
          <w:szCs w:val="24"/>
        </w:rPr>
        <w:t>zmocňuje</w:t>
      </w:r>
      <w:r>
        <w:rPr>
          <w:rFonts w:ascii="Times New Roman" w:hAnsi="Times New Roman" w:cs="Times New Roman"/>
          <w:sz w:val="24"/>
          <w:szCs w:val="24"/>
        </w:rPr>
        <w:t xml:space="preserve"> zpravodajku, aby s tímto usnesením seznámila Poslaneckou sněmovnu Parlamentu ČR.</w:t>
      </w:r>
    </w:p>
    <w:p w:rsidR="00C87D7C" w:rsidRDefault="00C87D7C" w:rsidP="00C87D7C">
      <w:pPr>
        <w:tabs>
          <w:tab w:val="left" w:pos="0"/>
        </w:tabs>
        <w:jc w:val="both"/>
        <w:rPr>
          <w:rFonts w:ascii="Times New Roman" w:hAnsi="Times New Roman" w:cs="Times New Roman"/>
          <w:spacing w:val="-3"/>
          <w:sz w:val="24"/>
          <w:szCs w:val="20"/>
        </w:rPr>
      </w:pPr>
    </w:p>
    <w:p w:rsidR="00C87D7C" w:rsidRDefault="00C87D7C" w:rsidP="00C87D7C">
      <w:pPr>
        <w:tabs>
          <w:tab w:val="left" w:pos="0"/>
        </w:tabs>
        <w:jc w:val="both"/>
        <w:rPr>
          <w:rFonts w:ascii="Times New Roman" w:hAnsi="Times New Roman" w:cs="Times New Roman"/>
          <w:spacing w:val="-3"/>
          <w:sz w:val="24"/>
        </w:rPr>
      </w:pPr>
    </w:p>
    <w:p w:rsidR="00C87D7C" w:rsidRDefault="00C87D7C" w:rsidP="00C87D7C">
      <w:pPr>
        <w:tabs>
          <w:tab w:val="left" w:pos="0"/>
        </w:tabs>
        <w:jc w:val="both"/>
        <w:rPr>
          <w:rFonts w:ascii="Times New Roman" w:hAnsi="Times New Roman" w:cs="Times New Roman"/>
          <w:spacing w:val="-3"/>
          <w:sz w:val="24"/>
        </w:rPr>
      </w:pPr>
    </w:p>
    <w:p w:rsidR="00C87D7C" w:rsidRDefault="00C87D7C" w:rsidP="00C87D7C">
      <w:pPr>
        <w:tabs>
          <w:tab w:val="left" w:pos="0"/>
        </w:tabs>
        <w:jc w:val="both"/>
        <w:rPr>
          <w:rFonts w:ascii="Times New Roman" w:hAnsi="Times New Roman" w:cs="Times New Roman"/>
          <w:spacing w:val="-3"/>
          <w:sz w:val="24"/>
        </w:rPr>
      </w:pPr>
    </w:p>
    <w:p w:rsidR="00C87D7C" w:rsidRDefault="00C87D7C" w:rsidP="00C87D7C">
      <w:pPr>
        <w:tabs>
          <w:tab w:val="left" w:pos="0"/>
        </w:tabs>
        <w:jc w:val="both"/>
        <w:rPr>
          <w:rFonts w:ascii="Times New Roman" w:hAnsi="Times New Roman" w:cs="Times New Roman"/>
          <w:spacing w:val="-3"/>
          <w:sz w:val="24"/>
        </w:rPr>
      </w:pPr>
    </w:p>
    <w:p w:rsidR="00C87D7C" w:rsidRDefault="00C87D7C" w:rsidP="00C87D7C">
      <w:pPr>
        <w:tabs>
          <w:tab w:val="left" w:pos="0"/>
        </w:tabs>
        <w:spacing w:after="0"/>
        <w:jc w:val="both"/>
        <w:rPr>
          <w:rFonts w:ascii="Times New Roman" w:hAnsi="Times New Roman" w:cs="Times New Roman"/>
          <w:spacing w:val="-3"/>
          <w:sz w:val="24"/>
        </w:rPr>
      </w:pPr>
    </w:p>
    <w:p w:rsidR="00C87D7C" w:rsidRDefault="00C87D7C" w:rsidP="00C87D7C">
      <w:pPr>
        <w:tabs>
          <w:tab w:val="left" w:pos="0"/>
        </w:tabs>
        <w:spacing w:after="0"/>
        <w:ind w:left="720" w:hanging="720"/>
        <w:jc w:val="both"/>
        <w:rPr>
          <w:rFonts w:ascii="Times New Roman" w:hAnsi="Times New Roman" w:cs="Times New Roman"/>
          <w:spacing w:val="-3"/>
          <w:sz w:val="24"/>
        </w:rPr>
      </w:pPr>
      <w:r>
        <w:rPr>
          <w:rFonts w:ascii="Times New Roman" w:hAnsi="Times New Roman" w:cs="Times New Roman"/>
          <w:spacing w:val="-3"/>
          <w:sz w:val="24"/>
        </w:rPr>
        <w:t xml:space="preserve">Jan  POŠVÁŘ  </w:t>
      </w:r>
      <w:proofErr w:type="gramStart"/>
      <w:r>
        <w:rPr>
          <w:rFonts w:ascii="Times New Roman" w:hAnsi="Times New Roman" w:cs="Times New Roman"/>
          <w:spacing w:val="-3"/>
          <w:sz w:val="24"/>
        </w:rPr>
        <w:t>v.r.</w:t>
      </w:r>
      <w:proofErr w:type="gramEnd"/>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 xml:space="preserve">      Ivana  NEVLUDOVÁ  </w:t>
      </w:r>
      <w:proofErr w:type="gramStart"/>
      <w:r>
        <w:rPr>
          <w:rFonts w:ascii="Times New Roman" w:hAnsi="Times New Roman" w:cs="Times New Roman"/>
          <w:spacing w:val="-3"/>
          <w:sz w:val="24"/>
        </w:rPr>
        <w:t>v.r.</w:t>
      </w:r>
      <w:proofErr w:type="gramEnd"/>
    </w:p>
    <w:p w:rsidR="00C87D7C" w:rsidRDefault="00C87D7C" w:rsidP="00C87D7C">
      <w:pPr>
        <w:tabs>
          <w:tab w:val="left" w:pos="0"/>
        </w:tabs>
        <w:spacing w:after="0"/>
        <w:ind w:left="720" w:hanging="720"/>
        <w:jc w:val="both"/>
        <w:rPr>
          <w:rFonts w:ascii="Times New Roman" w:hAnsi="Times New Roman" w:cs="Times New Roman"/>
          <w:spacing w:val="-3"/>
          <w:sz w:val="24"/>
        </w:rPr>
      </w:pPr>
      <w:r>
        <w:rPr>
          <w:rFonts w:ascii="Times New Roman" w:hAnsi="Times New Roman" w:cs="Times New Roman"/>
          <w:spacing w:val="-3"/>
          <w:sz w:val="24"/>
        </w:rPr>
        <w:t xml:space="preserve">     ověřovatel</w:t>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zpravodajka</w:t>
      </w:r>
      <w:r>
        <w:rPr>
          <w:rFonts w:ascii="Times New Roman" w:hAnsi="Times New Roman" w:cs="Times New Roman"/>
          <w:spacing w:val="-3"/>
          <w:sz w:val="24"/>
        </w:rPr>
        <w:tab/>
      </w:r>
    </w:p>
    <w:p w:rsidR="00C87D7C" w:rsidRDefault="00C87D7C" w:rsidP="00C87D7C">
      <w:pPr>
        <w:tabs>
          <w:tab w:val="left" w:pos="0"/>
        </w:tabs>
        <w:spacing w:after="0"/>
        <w:ind w:left="720" w:hanging="720"/>
        <w:jc w:val="both"/>
        <w:rPr>
          <w:rFonts w:ascii="Times New Roman" w:hAnsi="Times New Roman" w:cs="Times New Roman"/>
          <w:spacing w:val="-3"/>
          <w:sz w:val="24"/>
        </w:rPr>
      </w:pPr>
    </w:p>
    <w:p w:rsidR="00C87D7C" w:rsidRDefault="00C87D7C" w:rsidP="00C87D7C">
      <w:pPr>
        <w:spacing w:after="0"/>
        <w:rPr>
          <w:rFonts w:ascii="CG Omega;Arial" w:hAnsi="CG Omega;Arial" w:cs="CG Omega;Arial"/>
          <w:sz w:val="16"/>
        </w:rPr>
      </w:pPr>
    </w:p>
    <w:p w:rsidR="00C87D7C" w:rsidRDefault="00C87D7C" w:rsidP="00C87D7C">
      <w:pPr>
        <w:spacing w:after="0"/>
      </w:pPr>
    </w:p>
    <w:p w:rsidR="00C87D7C" w:rsidRDefault="00C87D7C" w:rsidP="00C87D7C">
      <w:pPr>
        <w:spacing w:after="0"/>
      </w:pPr>
    </w:p>
    <w:p w:rsidR="00C87D7C" w:rsidRDefault="00C87D7C" w:rsidP="00C87D7C">
      <w:pPr>
        <w:spacing w:after="0"/>
      </w:pPr>
    </w:p>
    <w:p w:rsidR="00C87D7C" w:rsidRDefault="00C87D7C" w:rsidP="00C87D7C">
      <w:pPr>
        <w:tabs>
          <w:tab w:val="left" w:pos="0"/>
        </w:tabs>
        <w:spacing w:after="0"/>
        <w:jc w:val="both"/>
        <w:rPr>
          <w:rFonts w:ascii="Times New Roman" w:hAnsi="Times New Roman" w:cs="Times New Roman"/>
          <w:spacing w:val="-3"/>
          <w:sz w:val="24"/>
        </w:rPr>
      </w:pP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 xml:space="preserve">Miloslava  VOSTRÁ  </w:t>
      </w:r>
      <w:proofErr w:type="gramStart"/>
      <w:r>
        <w:rPr>
          <w:rFonts w:ascii="Times New Roman" w:hAnsi="Times New Roman" w:cs="Times New Roman"/>
          <w:spacing w:val="-3"/>
          <w:sz w:val="24"/>
        </w:rPr>
        <w:t>v.r.</w:t>
      </w:r>
      <w:proofErr w:type="gramEnd"/>
    </w:p>
    <w:p w:rsidR="00C87D7C" w:rsidRDefault="00C87D7C" w:rsidP="00C87D7C">
      <w:pPr>
        <w:tabs>
          <w:tab w:val="left" w:pos="0"/>
        </w:tabs>
        <w:spacing w:after="0"/>
        <w:ind w:left="720" w:hanging="720"/>
        <w:jc w:val="both"/>
        <w:rPr>
          <w:rFonts w:ascii="Times New Roman" w:hAnsi="Times New Roman" w:cs="Times New Roman"/>
          <w:spacing w:val="-3"/>
          <w:sz w:val="24"/>
        </w:rPr>
      </w:pP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 xml:space="preserve">         předsedkyně</w:t>
      </w:r>
    </w:p>
    <w:p w:rsidR="00C87D7C" w:rsidRPr="00BF37C6" w:rsidRDefault="00C87D7C" w:rsidP="00622779">
      <w:pPr>
        <w:pStyle w:val="Zpat"/>
        <w:spacing w:after="120"/>
        <w:jc w:val="both"/>
        <w:rPr>
          <w:rFonts w:ascii="Times New Roman" w:hAnsi="Times New Roman" w:cs="Times New Roman"/>
          <w:color w:val="00000A"/>
          <w:sz w:val="24"/>
          <w:szCs w:val="24"/>
        </w:rPr>
      </w:pPr>
    </w:p>
    <w:sectPr w:rsidR="00C87D7C" w:rsidRPr="00BF37C6" w:rsidSect="00184419">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7F9" w:rsidRDefault="003567F9" w:rsidP="00450354">
      <w:pPr>
        <w:spacing w:after="0" w:line="240" w:lineRule="auto"/>
      </w:pPr>
      <w:r>
        <w:separator/>
      </w:r>
    </w:p>
  </w:endnote>
  <w:endnote w:type="continuationSeparator" w:id="0">
    <w:p w:rsidR="003567F9" w:rsidRDefault="003567F9" w:rsidP="00450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G Omega;Arial">
    <w:altName w:val="Times New Roman"/>
    <w:panose1 w:val="00000000000000000000"/>
    <w:charset w:val="00"/>
    <w:family w:val="roman"/>
    <w:notTrueType/>
    <w:pitch w:val="default"/>
  </w:font>
  <w:font w:name="Times New Roman;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54460557"/>
      <w:docPartObj>
        <w:docPartGallery w:val="Page Numbers (Bottom of Page)"/>
        <w:docPartUnique/>
      </w:docPartObj>
    </w:sdtPr>
    <w:sdtEndPr/>
    <w:sdtContent>
      <w:sdt>
        <w:sdtPr>
          <w:rPr>
            <w:rFonts w:ascii="Times New Roman" w:hAnsi="Times New Roman" w:cs="Times New Roman"/>
          </w:rPr>
          <w:id w:val="-1669238322"/>
          <w:docPartObj>
            <w:docPartGallery w:val="Page Numbers (Top of Page)"/>
            <w:docPartUnique/>
          </w:docPartObj>
        </w:sdtPr>
        <w:sdtEndPr/>
        <w:sdtContent>
          <w:p w:rsidR="00450354" w:rsidRPr="00450354" w:rsidRDefault="00450354">
            <w:pPr>
              <w:pStyle w:val="Zpat"/>
              <w:jc w:val="center"/>
              <w:rPr>
                <w:rFonts w:ascii="Times New Roman" w:hAnsi="Times New Roman" w:cs="Times New Roman"/>
              </w:rPr>
            </w:pPr>
            <w:r w:rsidRPr="00450354">
              <w:rPr>
                <w:rFonts w:ascii="Times New Roman" w:hAnsi="Times New Roman" w:cs="Times New Roman"/>
              </w:rPr>
              <w:t xml:space="preserve">Stránka </w:t>
            </w:r>
            <w:r w:rsidRPr="00450354">
              <w:rPr>
                <w:rFonts w:ascii="Times New Roman" w:hAnsi="Times New Roman" w:cs="Times New Roman"/>
                <w:b/>
                <w:bCs/>
                <w:sz w:val="24"/>
                <w:szCs w:val="24"/>
              </w:rPr>
              <w:fldChar w:fldCharType="begin"/>
            </w:r>
            <w:r w:rsidRPr="00450354">
              <w:rPr>
                <w:rFonts w:ascii="Times New Roman" w:hAnsi="Times New Roman" w:cs="Times New Roman"/>
                <w:b/>
                <w:bCs/>
              </w:rPr>
              <w:instrText>PAGE</w:instrText>
            </w:r>
            <w:r w:rsidRPr="00450354">
              <w:rPr>
                <w:rFonts w:ascii="Times New Roman" w:hAnsi="Times New Roman" w:cs="Times New Roman"/>
                <w:b/>
                <w:bCs/>
                <w:sz w:val="24"/>
                <w:szCs w:val="24"/>
              </w:rPr>
              <w:fldChar w:fldCharType="separate"/>
            </w:r>
            <w:r w:rsidR="00790539">
              <w:rPr>
                <w:rFonts w:ascii="Times New Roman" w:hAnsi="Times New Roman" w:cs="Times New Roman"/>
                <w:b/>
                <w:bCs/>
                <w:noProof/>
              </w:rPr>
              <w:t>6</w:t>
            </w:r>
            <w:r w:rsidRPr="00450354">
              <w:rPr>
                <w:rFonts w:ascii="Times New Roman" w:hAnsi="Times New Roman" w:cs="Times New Roman"/>
                <w:b/>
                <w:bCs/>
                <w:sz w:val="24"/>
                <w:szCs w:val="24"/>
              </w:rPr>
              <w:fldChar w:fldCharType="end"/>
            </w:r>
            <w:r w:rsidRPr="00450354">
              <w:rPr>
                <w:rFonts w:ascii="Times New Roman" w:hAnsi="Times New Roman" w:cs="Times New Roman"/>
              </w:rPr>
              <w:t xml:space="preserve"> z </w:t>
            </w:r>
            <w:r w:rsidRPr="00450354">
              <w:rPr>
                <w:rFonts w:ascii="Times New Roman" w:hAnsi="Times New Roman" w:cs="Times New Roman"/>
                <w:b/>
                <w:bCs/>
                <w:sz w:val="24"/>
                <w:szCs w:val="24"/>
              </w:rPr>
              <w:fldChar w:fldCharType="begin"/>
            </w:r>
            <w:r w:rsidRPr="00450354">
              <w:rPr>
                <w:rFonts w:ascii="Times New Roman" w:hAnsi="Times New Roman" w:cs="Times New Roman"/>
                <w:b/>
                <w:bCs/>
              </w:rPr>
              <w:instrText>NUMPAGES</w:instrText>
            </w:r>
            <w:r w:rsidRPr="00450354">
              <w:rPr>
                <w:rFonts w:ascii="Times New Roman" w:hAnsi="Times New Roman" w:cs="Times New Roman"/>
                <w:b/>
                <w:bCs/>
                <w:sz w:val="24"/>
                <w:szCs w:val="24"/>
              </w:rPr>
              <w:fldChar w:fldCharType="separate"/>
            </w:r>
            <w:r w:rsidR="00790539">
              <w:rPr>
                <w:rFonts w:ascii="Times New Roman" w:hAnsi="Times New Roman" w:cs="Times New Roman"/>
                <w:b/>
                <w:bCs/>
                <w:noProof/>
              </w:rPr>
              <w:t>6</w:t>
            </w:r>
            <w:r w:rsidRPr="00450354">
              <w:rPr>
                <w:rFonts w:ascii="Times New Roman" w:hAnsi="Times New Roman" w:cs="Times New Roman"/>
                <w:b/>
                <w:bCs/>
                <w:sz w:val="24"/>
                <w:szCs w:val="24"/>
              </w:rPr>
              <w:fldChar w:fldCharType="end"/>
            </w:r>
          </w:p>
        </w:sdtContent>
      </w:sdt>
    </w:sdtContent>
  </w:sdt>
  <w:p w:rsidR="00450354" w:rsidRPr="00450354" w:rsidRDefault="00450354">
    <w:pPr>
      <w:pStyle w:val="Zp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7F9" w:rsidRDefault="003567F9" w:rsidP="00450354">
      <w:pPr>
        <w:spacing w:after="0" w:line="240" w:lineRule="auto"/>
      </w:pPr>
      <w:r>
        <w:separator/>
      </w:r>
    </w:p>
  </w:footnote>
  <w:footnote w:type="continuationSeparator" w:id="0">
    <w:p w:rsidR="003567F9" w:rsidRDefault="003567F9" w:rsidP="004503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471A1546"/>
    <w:name w:val="WW8Num1"/>
    <w:lvl w:ilvl="0">
      <w:start w:val="1"/>
      <w:numFmt w:val="decimal"/>
      <w:lvlText w:val="%1."/>
      <w:lvlJc w:val="left"/>
      <w:pPr>
        <w:tabs>
          <w:tab w:val="num" w:pos="1135"/>
        </w:tabs>
        <w:ind w:left="1135" w:hanging="567"/>
      </w:pPr>
      <w:rPr>
        <w:rFonts w:cs="Times New Roman"/>
        <w:b/>
        <w:i w:val="0"/>
      </w:rPr>
    </w:lvl>
  </w:abstractNum>
  <w:abstractNum w:abstractNumId="1" w15:restartNumberingAfterBreak="0">
    <w:nsid w:val="00000003"/>
    <w:multiLevelType w:val="multilevel"/>
    <w:tmpl w:val="00000003"/>
    <w:name w:val="WW8Num4"/>
    <w:lvl w:ilvl="0">
      <w:start w:val="1"/>
      <w:numFmt w:val="decima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71"/>
      <w:numFmt w:val="decimal"/>
      <w:lvlText w:val="%3."/>
      <w:lvlJc w:val="left"/>
      <w:pPr>
        <w:tabs>
          <w:tab w:val="num" w:pos="708"/>
        </w:tabs>
        <w:ind w:left="851" w:hanging="425"/>
      </w:pPr>
      <w:rPr>
        <w:rFonts w:cs="Times New Roman"/>
        <w:b w:val="0"/>
        <w:sz w:val="24"/>
        <w:szCs w:val="24"/>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2" w15:restartNumberingAfterBreak="0">
    <w:nsid w:val="00000009"/>
    <w:multiLevelType w:val="multilevel"/>
    <w:tmpl w:val="00000009"/>
    <w:name w:val="WW8Num10"/>
    <w:lvl w:ilvl="0">
      <w:start w:val="1"/>
      <w:numFmt w:val="decimal"/>
      <w:lvlText w:val="(%1)"/>
      <w:lvlJc w:val="left"/>
      <w:pPr>
        <w:tabs>
          <w:tab w:val="num" w:pos="782"/>
        </w:tabs>
        <w:ind w:left="0" w:firstLine="425"/>
      </w:pPr>
      <w:rPr>
        <w:rFonts w:ascii="Times New Roman" w:hAnsi="Times New Roman" w:cs="Times New Roman"/>
      </w:rPr>
    </w:lvl>
    <w:lvl w:ilvl="1">
      <w:start w:val="1"/>
      <w:numFmt w:val="lowerLetter"/>
      <w:lvlText w:val="%2)"/>
      <w:lvlJc w:val="left"/>
      <w:pPr>
        <w:tabs>
          <w:tab w:val="num" w:pos="425"/>
        </w:tabs>
        <w:ind w:left="425" w:hanging="425"/>
      </w:pPr>
      <w:rPr>
        <w:rFonts w:ascii="Times New Roman" w:hAnsi="Times New Roman" w:cs="Times New Roman"/>
      </w:rPr>
    </w:lvl>
    <w:lvl w:ilvl="2">
      <w:start w:val="1"/>
      <w:numFmt w:val="decimal"/>
      <w:lvlText w:val="%3."/>
      <w:lvlJc w:val="left"/>
      <w:pPr>
        <w:tabs>
          <w:tab w:val="num" w:pos="851"/>
        </w:tabs>
        <w:ind w:left="851" w:hanging="425"/>
      </w:pPr>
      <w:rPr>
        <w:rFonts w:cs="Times New Roman"/>
        <w:b w:val="0"/>
        <w:sz w:val="24"/>
        <w:szCs w:val="24"/>
      </w:rPr>
    </w:lvl>
    <w:lvl w:ilvl="3">
      <w:start w:val="1"/>
      <w:numFmt w:val="none"/>
      <w:suff w:val="nothing"/>
      <w:lvlText w:val=""/>
      <w:lvlJc w:val="left"/>
      <w:pPr>
        <w:tabs>
          <w:tab w:val="num" w:pos="0"/>
        </w:tabs>
        <w:ind w:left="0" w:firstLine="0"/>
      </w:pPr>
      <w:rPr>
        <w:rFonts w:ascii="Times New Roman" w:hAnsi="Times New Roman" w:cs="Times New Roman"/>
      </w:rPr>
    </w:lvl>
    <w:lvl w:ilvl="4">
      <w:start w:val="1"/>
      <w:numFmt w:val="none"/>
      <w:suff w:val="nothing"/>
      <w:lvlText w:val=""/>
      <w:lvlJc w:val="left"/>
      <w:pPr>
        <w:tabs>
          <w:tab w:val="num" w:pos="0"/>
        </w:tabs>
        <w:ind w:left="0" w:firstLine="0"/>
      </w:pPr>
      <w:rPr>
        <w:rFonts w:ascii="Times New Roman" w:hAnsi="Times New Roman" w:cs="Times New Roman"/>
      </w:rPr>
    </w:lvl>
    <w:lvl w:ilvl="5">
      <w:start w:val="1"/>
      <w:numFmt w:val="none"/>
      <w:suff w:val="nothing"/>
      <w:lvlText w:val=""/>
      <w:lvlJc w:val="left"/>
      <w:pPr>
        <w:tabs>
          <w:tab w:val="num" w:pos="0"/>
        </w:tabs>
        <w:ind w:left="0" w:firstLine="0"/>
      </w:pPr>
      <w:rPr>
        <w:rFonts w:ascii="Times New Roman" w:hAnsi="Times New Roman" w:cs="Times New Roman"/>
      </w:rPr>
    </w:lvl>
    <w:lvl w:ilvl="6">
      <w:start w:val="1"/>
      <w:numFmt w:val="none"/>
      <w:suff w:val="nothing"/>
      <w:lvlText w:val=""/>
      <w:lvlJc w:val="left"/>
      <w:pPr>
        <w:tabs>
          <w:tab w:val="num" w:pos="0"/>
        </w:tabs>
        <w:ind w:left="0" w:firstLine="0"/>
      </w:pPr>
      <w:rPr>
        <w:rFonts w:ascii="Times New Roman" w:hAnsi="Times New Roman" w:cs="Times New Roman"/>
      </w:rPr>
    </w:lvl>
    <w:lvl w:ilvl="7">
      <w:start w:val="1"/>
      <w:numFmt w:val="none"/>
      <w:suff w:val="nothing"/>
      <w:lvlText w:val=""/>
      <w:lvlJc w:val="left"/>
      <w:pPr>
        <w:tabs>
          <w:tab w:val="num" w:pos="0"/>
        </w:tabs>
        <w:ind w:left="0" w:firstLine="0"/>
      </w:pPr>
      <w:rPr>
        <w:rFonts w:ascii="Times New Roman" w:hAnsi="Times New Roman" w:cs="Times New Roman"/>
      </w:rPr>
    </w:lvl>
    <w:lvl w:ilvl="8">
      <w:start w:val="1"/>
      <w:numFmt w:val="none"/>
      <w:suff w:val="nothing"/>
      <w:lvlText w:val=""/>
      <w:lvlJc w:val="left"/>
      <w:pPr>
        <w:tabs>
          <w:tab w:val="num" w:pos="0"/>
        </w:tabs>
        <w:ind w:left="0" w:firstLine="0"/>
      </w:pPr>
      <w:rPr>
        <w:rFonts w:ascii="Times New Roman" w:hAnsi="Times New Roman" w:cs="Times New Roman"/>
      </w:rPr>
    </w:lvl>
  </w:abstractNum>
  <w:abstractNum w:abstractNumId="3" w15:restartNumberingAfterBreak="0">
    <w:nsid w:val="0000000A"/>
    <w:multiLevelType w:val="multilevel"/>
    <w:tmpl w:val="0000000A"/>
    <w:name w:val="WW8Num11"/>
    <w:lvl w:ilvl="0">
      <w:start w:val="1"/>
      <w:numFmt w:val="decima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lvlText w:val="%3."/>
      <w:lvlJc w:val="left"/>
      <w:pPr>
        <w:tabs>
          <w:tab w:val="num" w:pos="851"/>
        </w:tabs>
        <w:ind w:left="851" w:hanging="425"/>
      </w:pPr>
      <w:rPr>
        <w:rFonts w:cs="Times New Roman"/>
        <w:b w:val="0"/>
        <w:sz w:val="24"/>
        <w:szCs w:val="24"/>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4" w15:restartNumberingAfterBreak="0">
    <w:nsid w:val="0000000B"/>
    <w:multiLevelType w:val="multilevel"/>
    <w:tmpl w:val="8C3C3CE0"/>
    <w:name w:val="WW8Num12"/>
    <w:lvl w:ilvl="0">
      <w:start w:val="1"/>
      <w:numFmt w:val="decimal"/>
      <w:lvlText w:val="(%1)"/>
      <w:lvlJc w:val="left"/>
      <w:pPr>
        <w:tabs>
          <w:tab w:val="num" w:pos="782"/>
        </w:tabs>
        <w:ind w:left="0" w:firstLine="425"/>
      </w:pPr>
      <w:rPr>
        <w:rFonts w:ascii="Times New Roman" w:hAnsi="Times New Roman" w:cs="Times New Roman"/>
        <w:b/>
      </w:rPr>
    </w:lvl>
    <w:lvl w:ilvl="1">
      <w:start w:val="1"/>
      <w:numFmt w:val="lowerLetter"/>
      <w:lvlText w:val="%2)"/>
      <w:lvlJc w:val="left"/>
      <w:pPr>
        <w:tabs>
          <w:tab w:val="num" w:pos="425"/>
        </w:tabs>
        <w:ind w:left="425" w:hanging="425"/>
      </w:pPr>
      <w:rPr>
        <w:rFonts w:ascii="Times New Roman" w:hAnsi="Times New Roman" w:cs="Times New Roman"/>
        <w:b/>
      </w:rPr>
    </w:lvl>
    <w:lvl w:ilvl="2">
      <w:start w:val="1"/>
      <w:numFmt w:val="decimal"/>
      <w:lvlText w:val="%3."/>
      <w:lvlJc w:val="left"/>
      <w:pPr>
        <w:tabs>
          <w:tab w:val="num" w:pos="851"/>
        </w:tabs>
        <w:ind w:left="851" w:hanging="425"/>
      </w:pPr>
      <w:rPr>
        <w:rFonts w:cs="Times New Roman"/>
        <w:b w:val="0"/>
        <w:sz w:val="24"/>
        <w:szCs w:val="24"/>
      </w:rPr>
    </w:lvl>
    <w:lvl w:ilvl="3">
      <w:start w:val="1"/>
      <w:numFmt w:val="none"/>
      <w:suff w:val="nothing"/>
      <w:lvlText w:val=""/>
      <w:lvlJc w:val="left"/>
      <w:pPr>
        <w:tabs>
          <w:tab w:val="num" w:pos="0"/>
        </w:tabs>
        <w:ind w:left="0" w:firstLine="0"/>
      </w:pPr>
      <w:rPr>
        <w:rFonts w:ascii="Times New Roman" w:hAnsi="Times New Roman" w:cs="Times New Roman"/>
        <w:b/>
      </w:rPr>
    </w:lvl>
    <w:lvl w:ilvl="4">
      <w:start w:val="1"/>
      <w:numFmt w:val="none"/>
      <w:suff w:val="nothing"/>
      <w:lvlText w:val=""/>
      <w:lvlJc w:val="left"/>
      <w:pPr>
        <w:tabs>
          <w:tab w:val="num" w:pos="0"/>
        </w:tabs>
        <w:ind w:left="0" w:firstLine="0"/>
      </w:pPr>
      <w:rPr>
        <w:rFonts w:ascii="Times New Roman" w:hAnsi="Times New Roman" w:cs="Times New Roman"/>
        <w:b/>
      </w:rPr>
    </w:lvl>
    <w:lvl w:ilvl="5">
      <w:start w:val="1"/>
      <w:numFmt w:val="none"/>
      <w:suff w:val="nothing"/>
      <w:lvlText w:val=""/>
      <w:lvlJc w:val="left"/>
      <w:pPr>
        <w:tabs>
          <w:tab w:val="num" w:pos="0"/>
        </w:tabs>
        <w:ind w:left="0" w:firstLine="0"/>
      </w:pPr>
      <w:rPr>
        <w:rFonts w:ascii="Times New Roman" w:hAnsi="Times New Roman" w:cs="Times New Roman"/>
        <w:b/>
      </w:rPr>
    </w:lvl>
    <w:lvl w:ilvl="6">
      <w:start w:val="1"/>
      <w:numFmt w:val="none"/>
      <w:suff w:val="nothing"/>
      <w:lvlText w:val=""/>
      <w:lvlJc w:val="left"/>
      <w:pPr>
        <w:tabs>
          <w:tab w:val="num" w:pos="0"/>
        </w:tabs>
        <w:ind w:left="0" w:firstLine="0"/>
      </w:pPr>
      <w:rPr>
        <w:rFonts w:ascii="Times New Roman" w:hAnsi="Times New Roman" w:cs="Times New Roman"/>
        <w:b/>
      </w:rPr>
    </w:lvl>
    <w:lvl w:ilvl="7">
      <w:start w:val="1"/>
      <w:numFmt w:val="none"/>
      <w:suff w:val="nothing"/>
      <w:lvlText w:val=""/>
      <w:lvlJc w:val="left"/>
      <w:pPr>
        <w:tabs>
          <w:tab w:val="num" w:pos="0"/>
        </w:tabs>
        <w:ind w:left="0" w:firstLine="0"/>
      </w:pPr>
      <w:rPr>
        <w:rFonts w:ascii="Times New Roman" w:hAnsi="Times New Roman" w:cs="Times New Roman"/>
        <w:b/>
      </w:rPr>
    </w:lvl>
    <w:lvl w:ilvl="8">
      <w:start w:val="1"/>
      <w:numFmt w:val="none"/>
      <w:suff w:val="nothing"/>
      <w:lvlText w:val=""/>
      <w:lvlJc w:val="left"/>
      <w:pPr>
        <w:tabs>
          <w:tab w:val="num" w:pos="0"/>
        </w:tabs>
        <w:ind w:left="0" w:firstLine="0"/>
      </w:pPr>
      <w:rPr>
        <w:rFonts w:ascii="Times New Roman" w:hAnsi="Times New Roman" w:cs="Times New Roman"/>
        <w:b/>
      </w:rPr>
    </w:lvl>
  </w:abstractNum>
  <w:abstractNum w:abstractNumId="5" w15:restartNumberingAfterBreak="0">
    <w:nsid w:val="07230B90"/>
    <w:multiLevelType w:val="multilevel"/>
    <w:tmpl w:val="94029620"/>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0A452241"/>
    <w:multiLevelType w:val="hybridMultilevel"/>
    <w:tmpl w:val="D982CC0A"/>
    <w:lvl w:ilvl="0" w:tplc="0405000F">
      <w:start w:val="1"/>
      <w:numFmt w:val="decimal"/>
      <w:lvlText w:val="%1."/>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E1365D"/>
    <w:multiLevelType w:val="singleLevel"/>
    <w:tmpl w:val="471A1546"/>
    <w:lvl w:ilvl="0">
      <w:start w:val="1"/>
      <w:numFmt w:val="decimal"/>
      <w:lvlText w:val="%1."/>
      <w:lvlJc w:val="left"/>
      <w:pPr>
        <w:tabs>
          <w:tab w:val="num" w:pos="1135"/>
        </w:tabs>
        <w:ind w:left="1135" w:hanging="567"/>
      </w:pPr>
      <w:rPr>
        <w:rFonts w:cs="Times New Roman"/>
        <w:b/>
        <w:i w:val="0"/>
      </w:rPr>
    </w:lvl>
  </w:abstractNum>
  <w:abstractNum w:abstractNumId="8" w15:restartNumberingAfterBreak="0">
    <w:nsid w:val="19371BD0"/>
    <w:multiLevelType w:val="singleLevel"/>
    <w:tmpl w:val="2A8CBE00"/>
    <w:lvl w:ilvl="0">
      <w:start w:val="1"/>
      <w:numFmt w:val="decimal"/>
      <w:lvlText w:val="%1."/>
      <w:lvlJc w:val="left"/>
      <w:pPr>
        <w:tabs>
          <w:tab w:val="num" w:pos="567"/>
        </w:tabs>
        <w:ind w:left="567" w:hanging="567"/>
      </w:pPr>
      <w:rPr>
        <w:b w:val="0"/>
        <w:i w:val="0"/>
      </w:rPr>
    </w:lvl>
  </w:abstractNum>
  <w:abstractNum w:abstractNumId="9" w15:restartNumberingAfterBreak="0">
    <w:nsid w:val="26F0041D"/>
    <w:multiLevelType w:val="multilevel"/>
    <w:tmpl w:val="0000000A"/>
    <w:lvl w:ilvl="0">
      <w:start w:val="1"/>
      <w:numFmt w:val="decima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lvlText w:val="%3."/>
      <w:lvlJc w:val="left"/>
      <w:pPr>
        <w:tabs>
          <w:tab w:val="num" w:pos="851"/>
        </w:tabs>
        <w:ind w:left="851" w:hanging="425"/>
      </w:pPr>
      <w:rPr>
        <w:rFonts w:cs="Times New Roman"/>
        <w:b w:val="0"/>
        <w:sz w:val="24"/>
        <w:szCs w:val="24"/>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0" w15:restartNumberingAfterBreak="0">
    <w:nsid w:val="357C09A8"/>
    <w:multiLevelType w:val="multilevel"/>
    <w:tmpl w:val="4F08362A"/>
    <w:lvl w:ilvl="0">
      <w:start w:val="1"/>
      <w:numFmt w:val="decimal"/>
      <w:lvlText w:val="%1."/>
      <w:lvlJc w:val="left"/>
      <w:pPr>
        <w:tabs>
          <w:tab w:val="num" w:pos="567"/>
        </w:tabs>
        <w:ind w:left="567" w:hanging="567"/>
      </w:pPr>
      <w:rPr>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8A67895"/>
    <w:multiLevelType w:val="multilevel"/>
    <w:tmpl w:val="6224682A"/>
    <w:styleLink w:val="WWNum3"/>
    <w:lvl w:ilvl="0">
      <w:numFmt w:val="bullet"/>
      <w:lvlText w:val="-"/>
      <w:lvlJc w:val="left"/>
      <w:rPr>
        <w:rFonts w:ascii="Times New Roman" w:hAnsi="Times New Roman"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3C235845"/>
    <w:multiLevelType w:val="singleLevel"/>
    <w:tmpl w:val="471A1546"/>
    <w:lvl w:ilvl="0">
      <w:start w:val="1"/>
      <w:numFmt w:val="decimal"/>
      <w:lvlText w:val="%1."/>
      <w:lvlJc w:val="left"/>
      <w:pPr>
        <w:tabs>
          <w:tab w:val="num" w:pos="1135"/>
        </w:tabs>
        <w:ind w:left="1135" w:hanging="567"/>
      </w:pPr>
      <w:rPr>
        <w:rFonts w:cs="Times New Roman"/>
        <w:b/>
        <w:i w:val="0"/>
      </w:rPr>
    </w:lvl>
  </w:abstractNum>
  <w:abstractNum w:abstractNumId="13" w15:restartNumberingAfterBreak="0">
    <w:nsid w:val="3C65387C"/>
    <w:multiLevelType w:val="hybridMultilevel"/>
    <w:tmpl w:val="57886C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09763D"/>
    <w:multiLevelType w:val="hybridMultilevel"/>
    <w:tmpl w:val="CCEAE300"/>
    <w:lvl w:ilvl="0" w:tplc="5DE8EFEC">
      <w:start w:val="812"/>
      <w:numFmt w:val="bullet"/>
      <w:lvlText w:val="-"/>
      <w:lvlJc w:val="left"/>
      <w:pPr>
        <w:ind w:left="717" w:hanging="360"/>
      </w:pPr>
      <w:rPr>
        <w:rFonts w:ascii="Times New Roman" w:eastAsia="Times New Roman" w:hAnsi="Times New Roman" w:cs="Times New Roman"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5" w15:restartNumberingAfterBreak="0">
    <w:nsid w:val="4A7C2EB0"/>
    <w:multiLevelType w:val="singleLevel"/>
    <w:tmpl w:val="471A1546"/>
    <w:lvl w:ilvl="0">
      <w:start w:val="1"/>
      <w:numFmt w:val="decimal"/>
      <w:lvlText w:val="%1."/>
      <w:lvlJc w:val="left"/>
      <w:pPr>
        <w:tabs>
          <w:tab w:val="num" w:pos="1135"/>
        </w:tabs>
        <w:ind w:left="1135" w:hanging="567"/>
      </w:pPr>
      <w:rPr>
        <w:rFonts w:cs="Times New Roman"/>
        <w:b/>
        <w:i w:val="0"/>
      </w:rPr>
    </w:lvl>
  </w:abstractNum>
  <w:abstractNum w:abstractNumId="16" w15:restartNumberingAfterBreak="0">
    <w:nsid w:val="4B857232"/>
    <w:multiLevelType w:val="hybridMultilevel"/>
    <w:tmpl w:val="87EA8B0A"/>
    <w:lvl w:ilvl="0" w:tplc="04050017">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15:restartNumberingAfterBreak="0">
    <w:nsid w:val="4C440278"/>
    <w:multiLevelType w:val="multilevel"/>
    <w:tmpl w:val="B28C329E"/>
    <w:lvl w:ilvl="0">
      <w:start w:val="1"/>
      <w:numFmt w:val="decimal"/>
      <w:lvlText w:val="%1."/>
      <w:lvlJc w:val="left"/>
      <w:pPr>
        <w:tabs>
          <w:tab w:val="num" w:pos="567"/>
        </w:tabs>
        <w:ind w:left="567" w:hanging="567"/>
      </w:pPr>
      <w:rPr>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CE10A79"/>
    <w:multiLevelType w:val="hybridMultilevel"/>
    <w:tmpl w:val="50065266"/>
    <w:lvl w:ilvl="0" w:tplc="53A659A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15:restartNumberingAfterBreak="0">
    <w:nsid w:val="52B11567"/>
    <w:multiLevelType w:val="multilevel"/>
    <w:tmpl w:val="0BB6AD50"/>
    <w:lvl w:ilvl="0">
      <w:start w:val="1"/>
      <w:numFmt w:val="decimal"/>
      <w:lvlText w:val="%1."/>
      <w:lvlJc w:val="left"/>
      <w:pPr>
        <w:tabs>
          <w:tab w:val="num" w:pos="567"/>
        </w:tabs>
        <w:ind w:left="567" w:hanging="567"/>
      </w:pPr>
      <w:rPr>
        <w:b w:val="0"/>
        <w:i w:val="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4C55789"/>
    <w:multiLevelType w:val="singleLevel"/>
    <w:tmpl w:val="471A1546"/>
    <w:lvl w:ilvl="0">
      <w:start w:val="1"/>
      <w:numFmt w:val="decimal"/>
      <w:lvlText w:val="%1."/>
      <w:lvlJc w:val="left"/>
      <w:pPr>
        <w:tabs>
          <w:tab w:val="num" w:pos="1135"/>
        </w:tabs>
        <w:ind w:left="1135" w:hanging="567"/>
      </w:pPr>
      <w:rPr>
        <w:rFonts w:cs="Times New Roman"/>
        <w:b/>
        <w:i w:val="0"/>
      </w:rPr>
    </w:lvl>
  </w:abstractNum>
  <w:abstractNum w:abstractNumId="21" w15:restartNumberingAfterBreak="0">
    <w:nsid w:val="575C2E0B"/>
    <w:multiLevelType w:val="hybridMultilevel"/>
    <w:tmpl w:val="50065266"/>
    <w:lvl w:ilvl="0" w:tplc="53A659A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58196E79"/>
    <w:multiLevelType w:val="hybridMultilevel"/>
    <w:tmpl w:val="4362798C"/>
    <w:lvl w:ilvl="0" w:tplc="02B665E6">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3" w15:restartNumberingAfterBreak="0">
    <w:nsid w:val="5F8C54AB"/>
    <w:multiLevelType w:val="hybridMultilevel"/>
    <w:tmpl w:val="8F2C2258"/>
    <w:lvl w:ilvl="0" w:tplc="80A48B10">
      <w:start w:val="1"/>
      <w:numFmt w:val="upperRoman"/>
      <w:lvlText w:val="%1."/>
      <w:lvlJc w:val="left"/>
      <w:pPr>
        <w:ind w:left="1440" w:hanging="72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4" w15:restartNumberingAfterBreak="0">
    <w:nsid w:val="72947352"/>
    <w:multiLevelType w:val="hybridMultilevel"/>
    <w:tmpl w:val="999A306A"/>
    <w:lvl w:ilvl="0" w:tplc="49C4381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15:restartNumberingAfterBreak="0">
    <w:nsid w:val="7B7168E7"/>
    <w:multiLevelType w:val="hybridMultilevel"/>
    <w:tmpl w:val="CBE6BC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BBE6BF9"/>
    <w:multiLevelType w:val="multilevel"/>
    <w:tmpl w:val="10F4B5BE"/>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EDC202E"/>
    <w:multiLevelType w:val="hybridMultilevel"/>
    <w:tmpl w:val="A5ECD110"/>
    <w:styleLink w:val="Styl11"/>
    <w:lvl w:ilvl="0" w:tplc="DDDCE39E">
      <w:start w:val="1"/>
      <w:numFmt w:val="upperLetter"/>
      <w:lvlText w:val="%1."/>
      <w:lvlJc w:val="left"/>
      <w:pPr>
        <w:tabs>
          <w:tab w:val="num" w:pos="720"/>
        </w:tabs>
        <w:ind w:left="720" w:hanging="360"/>
      </w:pPr>
      <w:rPr>
        <w:rFonts w:ascii="Times New Roman" w:hAnsi="Times New Roman" w:cs="Times New Roman" w:hint="default"/>
        <w:sz w:val="28"/>
      </w:rPr>
    </w:lvl>
    <w:lvl w:ilvl="1" w:tplc="6F56AA96">
      <w:start w:val="1"/>
      <w:numFmt w:val="decimal"/>
      <w:lvlText w:val="A.%2."/>
      <w:lvlJc w:val="left"/>
      <w:pPr>
        <w:tabs>
          <w:tab w:val="num" w:pos="1440"/>
        </w:tabs>
        <w:ind w:left="1440" w:hanging="360"/>
      </w:pPr>
      <w:rPr>
        <w:rFonts w:ascii="Times New Roman" w:hAnsi="Times New Roman" w:cs="Times New Roman" w:hint="default"/>
        <w:sz w:val="26"/>
        <w:szCs w:val="26"/>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F0B0E2D"/>
    <w:multiLevelType w:val="hybridMultilevel"/>
    <w:tmpl w:val="197884B6"/>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num w:numId="1">
    <w:abstractNumId w:val="27"/>
    <w:lvlOverride w:ilvl="0">
      <w:lvl w:ilvl="0" w:tplc="DDDCE39E">
        <w:start w:val="1"/>
        <w:numFmt w:val="upperLetter"/>
        <w:lvlText w:val="%1."/>
        <w:lvlJc w:val="left"/>
        <w:pPr>
          <w:tabs>
            <w:tab w:val="num" w:pos="720"/>
          </w:tabs>
          <w:ind w:left="720" w:hanging="360"/>
        </w:pPr>
        <w:rPr>
          <w:rFonts w:ascii="Arial" w:hAnsi="Arial" w:cs="Arial" w:hint="default"/>
          <w:sz w:val="22"/>
        </w:rPr>
      </w:lvl>
    </w:lvlOverride>
  </w:num>
  <w:num w:numId="2">
    <w:abstractNumId w:val="0"/>
  </w:num>
  <w:num w:numId="3">
    <w:abstractNumId w:val="15"/>
  </w:num>
  <w:num w:numId="4">
    <w:abstractNumId w:val="2"/>
  </w:num>
  <w:num w:numId="5">
    <w:abstractNumId w:val="3"/>
  </w:num>
  <w:num w:numId="6">
    <w:abstractNumId w:val="4"/>
  </w:num>
  <w:num w:numId="7">
    <w:abstractNumId w:val="9"/>
  </w:num>
  <w:num w:numId="8">
    <w:abstractNumId w:val="7"/>
  </w:num>
  <w:num w:numId="9">
    <w:abstractNumId w:val="20"/>
  </w:num>
  <w:num w:numId="10">
    <w:abstractNumId w:val="12"/>
  </w:num>
  <w:num w:numId="11">
    <w:abstractNumId w:val="8"/>
  </w:num>
  <w:num w:numId="12">
    <w:abstractNumId w:val="14"/>
  </w:num>
  <w:num w:numId="13">
    <w:abstractNumId w:val="1"/>
  </w:num>
  <w:num w:numId="14">
    <w:abstractNumId w:val="6"/>
  </w:num>
  <w:num w:numId="15">
    <w:abstractNumId w:val="8"/>
  </w:num>
  <w:num w:numId="16">
    <w:abstractNumId w:val="13"/>
  </w:num>
  <w:num w:numId="17">
    <w:abstractNumId w:val="21"/>
  </w:num>
  <w:num w:numId="18">
    <w:abstractNumId w:val="18"/>
  </w:num>
  <w:num w:numId="19">
    <w:abstractNumId w:val="27"/>
  </w:num>
  <w:num w:numId="20">
    <w:abstractNumId w:val="17"/>
  </w:num>
  <w:num w:numId="21">
    <w:abstractNumId w:val="11"/>
  </w:num>
  <w:num w:numId="22">
    <w:abstractNumId w:val="19"/>
  </w:num>
  <w:num w:numId="23">
    <w:abstractNumId w:val="10"/>
  </w:num>
  <w:num w:numId="24">
    <w:abstractNumId w:val="24"/>
  </w:num>
  <w:num w:numId="25">
    <w:abstractNumId w:val="28"/>
  </w:num>
  <w:num w:numId="26">
    <w:abstractNumId w:val="16"/>
  </w:num>
  <w:num w:numId="27">
    <w:abstractNumId w:val="5"/>
  </w:num>
  <w:num w:numId="28">
    <w:abstractNumId w:val="26"/>
  </w:num>
  <w:num w:numId="29">
    <w:abstractNumId w:val="25"/>
  </w:num>
  <w:num w:numId="30">
    <w:abstractNumId w:val="22"/>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27F"/>
    <w:rsid w:val="0000095A"/>
    <w:rsid w:val="0000316B"/>
    <w:rsid w:val="000038D8"/>
    <w:rsid w:val="00006EA7"/>
    <w:rsid w:val="00016BA5"/>
    <w:rsid w:val="00022561"/>
    <w:rsid w:val="000305EE"/>
    <w:rsid w:val="00044F46"/>
    <w:rsid w:val="00062FD2"/>
    <w:rsid w:val="000659D6"/>
    <w:rsid w:val="000B4305"/>
    <w:rsid w:val="000B60A0"/>
    <w:rsid w:val="000C34A6"/>
    <w:rsid w:val="000D37D8"/>
    <w:rsid w:val="000D5A4C"/>
    <w:rsid w:val="00106586"/>
    <w:rsid w:val="0012041C"/>
    <w:rsid w:val="00130C76"/>
    <w:rsid w:val="00146EE1"/>
    <w:rsid w:val="00184419"/>
    <w:rsid w:val="0018651E"/>
    <w:rsid w:val="00191B17"/>
    <w:rsid w:val="001929B6"/>
    <w:rsid w:val="001A7BF1"/>
    <w:rsid w:val="001D4399"/>
    <w:rsid w:val="001D6157"/>
    <w:rsid w:val="001D74BD"/>
    <w:rsid w:val="001E162C"/>
    <w:rsid w:val="001E2AC6"/>
    <w:rsid w:val="001F293C"/>
    <w:rsid w:val="001F67F1"/>
    <w:rsid w:val="001F7374"/>
    <w:rsid w:val="00211409"/>
    <w:rsid w:val="00221DAA"/>
    <w:rsid w:val="00231BBE"/>
    <w:rsid w:val="00242D16"/>
    <w:rsid w:val="00256D23"/>
    <w:rsid w:val="00262E78"/>
    <w:rsid w:val="0028262B"/>
    <w:rsid w:val="00284AC1"/>
    <w:rsid w:val="002B7D19"/>
    <w:rsid w:val="002D33EE"/>
    <w:rsid w:val="002E2EE4"/>
    <w:rsid w:val="002E668A"/>
    <w:rsid w:val="002E6A79"/>
    <w:rsid w:val="002F09E5"/>
    <w:rsid w:val="002F6DCB"/>
    <w:rsid w:val="00300338"/>
    <w:rsid w:val="003027B9"/>
    <w:rsid w:val="00305A4A"/>
    <w:rsid w:val="00311640"/>
    <w:rsid w:val="00311850"/>
    <w:rsid w:val="00327522"/>
    <w:rsid w:val="003311BD"/>
    <w:rsid w:val="00347C24"/>
    <w:rsid w:val="00351789"/>
    <w:rsid w:val="003567F9"/>
    <w:rsid w:val="0036196A"/>
    <w:rsid w:val="0036550F"/>
    <w:rsid w:val="00370B43"/>
    <w:rsid w:val="003726FB"/>
    <w:rsid w:val="00374DE7"/>
    <w:rsid w:val="003B0A4C"/>
    <w:rsid w:val="003B2530"/>
    <w:rsid w:val="003C07A4"/>
    <w:rsid w:val="003C6CDE"/>
    <w:rsid w:val="003D3A85"/>
    <w:rsid w:val="003E078A"/>
    <w:rsid w:val="003E3C6F"/>
    <w:rsid w:val="003E574C"/>
    <w:rsid w:val="00402BA1"/>
    <w:rsid w:val="004103BE"/>
    <w:rsid w:val="00421FF3"/>
    <w:rsid w:val="00424246"/>
    <w:rsid w:val="00446E85"/>
    <w:rsid w:val="00450354"/>
    <w:rsid w:val="0045353C"/>
    <w:rsid w:val="00462A1D"/>
    <w:rsid w:val="00484CF9"/>
    <w:rsid w:val="00486C8E"/>
    <w:rsid w:val="004A05AE"/>
    <w:rsid w:val="004A6D4D"/>
    <w:rsid w:val="004A7465"/>
    <w:rsid w:val="004B4D1C"/>
    <w:rsid w:val="004E068D"/>
    <w:rsid w:val="00502948"/>
    <w:rsid w:val="00507A0F"/>
    <w:rsid w:val="00523E2C"/>
    <w:rsid w:val="00530D00"/>
    <w:rsid w:val="00530F5C"/>
    <w:rsid w:val="00532C95"/>
    <w:rsid w:val="00532F83"/>
    <w:rsid w:val="0056154B"/>
    <w:rsid w:val="005963D3"/>
    <w:rsid w:val="005A0D48"/>
    <w:rsid w:val="005A5B21"/>
    <w:rsid w:val="005B4916"/>
    <w:rsid w:val="005C2174"/>
    <w:rsid w:val="005C4BAE"/>
    <w:rsid w:val="005D23C5"/>
    <w:rsid w:val="005D3586"/>
    <w:rsid w:val="005D61CE"/>
    <w:rsid w:val="005D65C7"/>
    <w:rsid w:val="005E5E42"/>
    <w:rsid w:val="005F2B4B"/>
    <w:rsid w:val="00606334"/>
    <w:rsid w:val="00612823"/>
    <w:rsid w:val="00621422"/>
    <w:rsid w:val="00622779"/>
    <w:rsid w:val="0062328C"/>
    <w:rsid w:val="006501C8"/>
    <w:rsid w:val="0065588C"/>
    <w:rsid w:val="006568E6"/>
    <w:rsid w:val="006622D5"/>
    <w:rsid w:val="00663F52"/>
    <w:rsid w:val="00664686"/>
    <w:rsid w:val="00676706"/>
    <w:rsid w:val="00680ED4"/>
    <w:rsid w:val="00686624"/>
    <w:rsid w:val="006A6B3D"/>
    <w:rsid w:val="006B5274"/>
    <w:rsid w:val="006C2AB7"/>
    <w:rsid w:val="006C352A"/>
    <w:rsid w:val="006C46DE"/>
    <w:rsid w:val="006E7B92"/>
    <w:rsid w:val="006F11EC"/>
    <w:rsid w:val="006F40DF"/>
    <w:rsid w:val="006F749D"/>
    <w:rsid w:val="00700161"/>
    <w:rsid w:val="0070271D"/>
    <w:rsid w:val="0070327D"/>
    <w:rsid w:val="00703EC5"/>
    <w:rsid w:val="00706292"/>
    <w:rsid w:val="00706DED"/>
    <w:rsid w:val="0072224A"/>
    <w:rsid w:val="007244D5"/>
    <w:rsid w:val="0073017F"/>
    <w:rsid w:val="00756780"/>
    <w:rsid w:val="007570C5"/>
    <w:rsid w:val="00767A12"/>
    <w:rsid w:val="007747C9"/>
    <w:rsid w:val="00784B73"/>
    <w:rsid w:val="00786258"/>
    <w:rsid w:val="00786DB6"/>
    <w:rsid w:val="00790539"/>
    <w:rsid w:val="00795D18"/>
    <w:rsid w:val="007C2232"/>
    <w:rsid w:val="007E0BBE"/>
    <w:rsid w:val="007E4160"/>
    <w:rsid w:val="007E5D7C"/>
    <w:rsid w:val="007F0C8F"/>
    <w:rsid w:val="007F441F"/>
    <w:rsid w:val="0080079D"/>
    <w:rsid w:val="00802DFE"/>
    <w:rsid w:val="008242B8"/>
    <w:rsid w:val="0082527F"/>
    <w:rsid w:val="008419F9"/>
    <w:rsid w:val="00867664"/>
    <w:rsid w:val="0087761E"/>
    <w:rsid w:val="00882BF4"/>
    <w:rsid w:val="00891DC9"/>
    <w:rsid w:val="008B3B52"/>
    <w:rsid w:val="008B5269"/>
    <w:rsid w:val="008D7EA2"/>
    <w:rsid w:val="008E0C7E"/>
    <w:rsid w:val="008F14E8"/>
    <w:rsid w:val="00900CD6"/>
    <w:rsid w:val="00914F39"/>
    <w:rsid w:val="0091510A"/>
    <w:rsid w:val="00937BE5"/>
    <w:rsid w:val="00940591"/>
    <w:rsid w:val="00943141"/>
    <w:rsid w:val="00954065"/>
    <w:rsid w:val="00974C07"/>
    <w:rsid w:val="00977C92"/>
    <w:rsid w:val="00983568"/>
    <w:rsid w:val="00994F7D"/>
    <w:rsid w:val="00996003"/>
    <w:rsid w:val="009A24F8"/>
    <w:rsid w:val="009A376D"/>
    <w:rsid w:val="009D7AE8"/>
    <w:rsid w:val="009E0BA3"/>
    <w:rsid w:val="009E36BB"/>
    <w:rsid w:val="009F5C4D"/>
    <w:rsid w:val="009F72AB"/>
    <w:rsid w:val="00A00E82"/>
    <w:rsid w:val="00A02EF3"/>
    <w:rsid w:val="00A1388E"/>
    <w:rsid w:val="00A2700C"/>
    <w:rsid w:val="00A3003C"/>
    <w:rsid w:val="00A56237"/>
    <w:rsid w:val="00A5626D"/>
    <w:rsid w:val="00A658C1"/>
    <w:rsid w:val="00A70AB6"/>
    <w:rsid w:val="00A72516"/>
    <w:rsid w:val="00AA6230"/>
    <w:rsid w:val="00AB5391"/>
    <w:rsid w:val="00AC2827"/>
    <w:rsid w:val="00AD023B"/>
    <w:rsid w:val="00AD5ACE"/>
    <w:rsid w:val="00AE072F"/>
    <w:rsid w:val="00AF33DB"/>
    <w:rsid w:val="00B0410D"/>
    <w:rsid w:val="00B1116D"/>
    <w:rsid w:val="00B16E61"/>
    <w:rsid w:val="00B329EC"/>
    <w:rsid w:val="00B404CF"/>
    <w:rsid w:val="00B62B13"/>
    <w:rsid w:val="00B74604"/>
    <w:rsid w:val="00B82036"/>
    <w:rsid w:val="00B96021"/>
    <w:rsid w:val="00BA1700"/>
    <w:rsid w:val="00BA5913"/>
    <w:rsid w:val="00BB3684"/>
    <w:rsid w:val="00BC27D7"/>
    <w:rsid w:val="00BD410D"/>
    <w:rsid w:val="00BF37C6"/>
    <w:rsid w:val="00C0617D"/>
    <w:rsid w:val="00C13418"/>
    <w:rsid w:val="00C16CAD"/>
    <w:rsid w:val="00C438C8"/>
    <w:rsid w:val="00C557A8"/>
    <w:rsid w:val="00C55F66"/>
    <w:rsid w:val="00C630F1"/>
    <w:rsid w:val="00C6389E"/>
    <w:rsid w:val="00C87D7C"/>
    <w:rsid w:val="00C9289B"/>
    <w:rsid w:val="00C92F32"/>
    <w:rsid w:val="00CA16C8"/>
    <w:rsid w:val="00CA43EA"/>
    <w:rsid w:val="00CA4961"/>
    <w:rsid w:val="00CB2125"/>
    <w:rsid w:val="00CB2AEE"/>
    <w:rsid w:val="00CB4179"/>
    <w:rsid w:val="00CD58BB"/>
    <w:rsid w:val="00CD5CB1"/>
    <w:rsid w:val="00CE3B4D"/>
    <w:rsid w:val="00CE64C5"/>
    <w:rsid w:val="00CF12FE"/>
    <w:rsid w:val="00CF1AC3"/>
    <w:rsid w:val="00CF6D3E"/>
    <w:rsid w:val="00D034B9"/>
    <w:rsid w:val="00D236C3"/>
    <w:rsid w:val="00D264B8"/>
    <w:rsid w:val="00D44F09"/>
    <w:rsid w:val="00D6054E"/>
    <w:rsid w:val="00D61F9D"/>
    <w:rsid w:val="00D65737"/>
    <w:rsid w:val="00D669C6"/>
    <w:rsid w:val="00D745A2"/>
    <w:rsid w:val="00D93095"/>
    <w:rsid w:val="00DB4971"/>
    <w:rsid w:val="00DB5387"/>
    <w:rsid w:val="00DD2CE7"/>
    <w:rsid w:val="00DD470A"/>
    <w:rsid w:val="00E00277"/>
    <w:rsid w:val="00E14CFD"/>
    <w:rsid w:val="00E27B0B"/>
    <w:rsid w:val="00E42247"/>
    <w:rsid w:val="00E43275"/>
    <w:rsid w:val="00E46FF7"/>
    <w:rsid w:val="00E75570"/>
    <w:rsid w:val="00E77FBE"/>
    <w:rsid w:val="00ED7E19"/>
    <w:rsid w:val="00EE281C"/>
    <w:rsid w:val="00EF6370"/>
    <w:rsid w:val="00EF777E"/>
    <w:rsid w:val="00F23032"/>
    <w:rsid w:val="00F30AE0"/>
    <w:rsid w:val="00F31620"/>
    <w:rsid w:val="00F35AC3"/>
    <w:rsid w:val="00F64993"/>
    <w:rsid w:val="00F73D92"/>
    <w:rsid w:val="00F778A4"/>
    <w:rsid w:val="00F81D4F"/>
    <w:rsid w:val="00F85DD6"/>
    <w:rsid w:val="00F8684E"/>
    <w:rsid w:val="00FB1CBC"/>
    <w:rsid w:val="00FB64B6"/>
    <w:rsid w:val="00FD4996"/>
    <w:rsid w:val="00FD6D96"/>
    <w:rsid w:val="00FE476D"/>
    <w:rsid w:val="00FF0B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F045"/>
  <w15:docId w15:val="{C6E623CA-1B6D-4E45-94EF-8845D8AEE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747C9"/>
  </w:style>
  <w:style w:type="paragraph" w:styleId="Nadpis3">
    <w:name w:val="heading 3"/>
    <w:basedOn w:val="Normln"/>
    <w:next w:val="Normln"/>
    <w:link w:val="Nadpis3Char"/>
    <w:semiHidden/>
    <w:unhideWhenUsed/>
    <w:qFormat/>
    <w:rsid w:val="00DD2CE7"/>
    <w:pPr>
      <w:keepNext/>
      <w:suppressAutoHyphens/>
      <w:spacing w:after="0" w:line="240" w:lineRule="auto"/>
      <w:outlineLvl w:val="2"/>
    </w:pPr>
    <w:rPr>
      <w:rFonts w:ascii="Times New Roman" w:eastAsia="Times New Roman" w:hAnsi="Times New Roman" w:cs="Times New Roman"/>
      <w:b/>
      <w:i/>
      <w:caps/>
      <w:sz w:val="28"/>
      <w:szCs w:val="20"/>
      <w:u w:val="single"/>
      <w:lang w:eastAsia="zh-CN" w:bidi="hi-IN"/>
    </w:rPr>
  </w:style>
  <w:style w:type="paragraph" w:styleId="Nadpis4">
    <w:name w:val="heading 4"/>
    <w:basedOn w:val="Normln"/>
    <w:next w:val="Normln"/>
    <w:link w:val="Nadpis4Char"/>
    <w:semiHidden/>
    <w:unhideWhenUsed/>
    <w:qFormat/>
    <w:rsid w:val="00DD2CE7"/>
    <w:pPr>
      <w:keepNext/>
      <w:suppressAutoHyphens/>
      <w:spacing w:after="0" w:line="240" w:lineRule="auto"/>
      <w:jc w:val="center"/>
      <w:outlineLvl w:val="3"/>
    </w:pPr>
    <w:rPr>
      <w:rFonts w:ascii="Times New Roman" w:eastAsia="Times New Roman" w:hAnsi="Times New Roman" w:cs="Times New Roman"/>
      <w:b/>
      <w:i/>
      <w:sz w:val="32"/>
      <w:szCs w:val="20"/>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11">
    <w:name w:val="Styl11"/>
    <w:rsid w:val="0082527F"/>
    <w:pPr>
      <w:numPr>
        <w:numId w:val="19"/>
      </w:numPr>
    </w:pPr>
  </w:style>
  <w:style w:type="paragraph" w:customStyle="1" w:styleId="Novelizanbod">
    <w:name w:val="Novelizační bod"/>
    <w:basedOn w:val="Normln"/>
    <w:next w:val="Normln"/>
    <w:link w:val="NovelizanbodChar"/>
    <w:qFormat/>
    <w:rsid w:val="0082527F"/>
    <w:pPr>
      <w:keepNext/>
      <w:keepLines/>
      <w:tabs>
        <w:tab w:val="left" w:pos="851"/>
        <w:tab w:val="left" w:pos="1135"/>
      </w:tabs>
      <w:suppressAutoHyphens/>
      <w:spacing w:before="480" w:after="120" w:line="240" w:lineRule="auto"/>
      <w:jc w:val="both"/>
    </w:pPr>
    <w:rPr>
      <w:rFonts w:ascii="Times New Roman" w:eastAsia="Calibri" w:hAnsi="Times New Roman" w:cs="Times New Roman"/>
      <w:sz w:val="24"/>
      <w:szCs w:val="20"/>
      <w:lang w:eastAsia="zh-CN"/>
    </w:rPr>
  </w:style>
  <w:style w:type="paragraph" w:customStyle="1" w:styleId="Textlnku">
    <w:name w:val="Text článku"/>
    <w:basedOn w:val="Normln"/>
    <w:link w:val="TextlnkuChar"/>
    <w:rsid w:val="0082527F"/>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TextlnkuChar">
    <w:name w:val="Text článku Char"/>
    <w:link w:val="Textlnku"/>
    <w:rsid w:val="0082527F"/>
    <w:rPr>
      <w:rFonts w:ascii="Times New Roman" w:eastAsia="Times New Roman" w:hAnsi="Times New Roman" w:cs="Times New Roman"/>
      <w:sz w:val="24"/>
      <w:szCs w:val="20"/>
      <w:lang w:eastAsia="cs-CZ"/>
    </w:rPr>
  </w:style>
  <w:style w:type="character" w:customStyle="1" w:styleId="NovelizanbodChar">
    <w:name w:val="Novelizační bod Char"/>
    <w:link w:val="Novelizanbod"/>
    <w:rsid w:val="0082527F"/>
    <w:rPr>
      <w:rFonts w:ascii="Times New Roman" w:eastAsia="Calibri" w:hAnsi="Times New Roman" w:cs="Times New Roman"/>
      <w:sz w:val="24"/>
      <w:szCs w:val="20"/>
      <w:lang w:eastAsia="zh-CN"/>
    </w:rPr>
  </w:style>
  <w:style w:type="paragraph" w:customStyle="1" w:styleId="Textbodu">
    <w:name w:val="Text bodu"/>
    <w:basedOn w:val="Normln"/>
    <w:rsid w:val="00706292"/>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Textpsmene">
    <w:name w:val="Text písmene"/>
    <w:basedOn w:val="Normln"/>
    <w:link w:val="TextpsmeneChar"/>
    <w:rsid w:val="00706292"/>
    <w:pPr>
      <w:suppressAutoHyphens/>
      <w:spacing w:after="0" w:line="240" w:lineRule="auto"/>
      <w:jc w:val="both"/>
    </w:pPr>
    <w:rPr>
      <w:rFonts w:ascii="Times New Roman" w:eastAsia="Times New Roman" w:hAnsi="Times New Roman" w:cs="Times New Roman"/>
      <w:sz w:val="20"/>
      <w:szCs w:val="20"/>
      <w:lang w:val="x-none" w:eastAsia="zh-CN"/>
    </w:rPr>
  </w:style>
  <w:style w:type="paragraph" w:customStyle="1" w:styleId="Textodstavce">
    <w:name w:val="Text odstavce"/>
    <w:basedOn w:val="Normln"/>
    <w:link w:val="TextodstavceChar"/>
    <w:rsid w:val="00706292"/>
    <w:pPr>
      <w:suppressAutoHyphens/>
      <w:spacing w:before="120" w:after="120" w:line="240" w:lineRule="auto"/>
      <w:jc w:val="both"/>
    </w:pPr>
    <w:rPr>
      <w:rFonts w:ascii="Times New Roman" w:eastAsia="Times New Roman" w:hAnsi="Times New Roman" w:cs="Times New Roman"/>
      <w:sz w:val="20"/>
      <w:szCs w:val="20"/>
      <w:lang w:val="x-none" w:eastAsia="zh-CN"/>
    </w:rPr>
  </w:style>
  <w:style w:type="paragraph" w:customStyle="1" w:styleId="Paragraf">
    <w:name w:val="Paragraf"/>
    <w:basedOn w:val="Normln"/>
    <w:next w:val="Textodstavce"/>
    <w:rsid w:val="00706292"/>
    <w:pPr>
      <w:keepNext/>
      <w:keepLines/>
      <w:suppressAutoHyphens/>
      <w:spacing w:before="240" w:after="0" w:line="240" w:lineRule="auto"/>
      <w:jc w:val="center"/>
    </w:pPr>
    <w:rPr>
      <w:rFonts w:ascii="Times New Roman" w:eastAsia="Times New Roman" w:hAnsi="Times New Roman" w:cs="Times New Roman"/>
      <w:sz w:val="24"/>
      <w:szCs w:val="20"/>
      <w:lang w:val="x-none" w:eastAsia="zh-CN"/>
    </w:rPr>
  </w:style>
  <w:style w:type="paragraph" w:customStyle="1" w:styleId="Nadpisoddlu">
    <w:name w:val="Nadpis oddílu"/>
    <w:basedOn w:val="Normln"/>
    <w:next w:val="Paragraf"/>
    <w:rsid w:val="00706292"/>
    <w:pPr>
      <w:keepNext/>
      <w:keepLines/>
      <w:suppressAutoHyphens/>
      <w:spacing w:after="0" w:line="240" w:lineRule="auto"/>
      <w:jc w:val="center"/>
    </w:pPr>
    <w:rPr>
      <w:rFonts w:ascii="Times New Roman" w:eastAsia="Times New Roman" w:hAnsi="Times New Roman" w:cs="Times New Roman"/>
      <w:b/>
      <w:sz w:val="24"/>
      <w:szCs w:val="20"/>
      <w:lang w:eastAsia="zh-CN"/>
    </w:rPr>
  </w:style>
  <w:style w:type="paragraph" w:styleId="Odstavecseseznamem">
    <w:name w:val="List Paragraph"/>
    <w:basedOn w:val="Normln"/>
    <w:qFormat/>
    <w:rsid w:val="00BD410D"/>
    <w:pPr>
      <w:ind w:left="720"/>
      <w:contextualSpacing/>
    </w:pPr>
  </w:style>
  <w:style w:type="character" w:styleId="Odkaznakoment">
    <w:name w:val="annotation reference"/>
    <w:basedOn w:val="Standardnpsmoodstavce"/>
    <w:uiPriority w:val="99"/>
    <w:semiHidden/>
    <w:unhideWhenUsed/>
    <w:rsid w:val="00507A0F"/>
    <w:rPr>
      <w:sz w:val="16"/>
      <w:szCs w:val="16"/>
    </w:rPr>
  </w:style>
  <w:style w:type="paragraph" w:styleId="Textkomente">
    <w:name w:val="annotation text"/>
    <w:basedOn w:val="Normln"/>
    <w:link w:val="TextkomenteChar"/>
    <w:uiPriority w:val="99"/>
    <w:semiHidden/>
    <w:unhideWhenUsed/>
    <w:rsid w:val="00507A0F"/>
    <w:pPr>
      <w:spacing w:line="240" w:lineRule="auto"/>
    </w:pPr>
    <w:rPr>
      <w:sz w:val="20"/>
      <w:szCs w:val="20"/>
    </w:rPr>
  </w:style>
  <w:style w:type="character" w:customStyle="1" w:styleId="TextkomenteChar">
    <w:name w:val="Text komentáře Char"/>
    <w:basedOn w:val="Standardnpsmoodstavce"/>
    <w:link w:val="Textkomente"/>
    <w:uiPriority w:val="99"/>
    <w:semiHidden/>
    <w:rsid w:val="00507A0F"/>
    <w:rPr>
      <w:sz w:val="20"/>
      <w:szCs w:val="20"/>
    </w:rPr>
  </w:style>
  <w:style w:type="paragraph" w:styleId="Pedmtkomente">
    <w:name w:val="annotation subject"/>
    <w:basedOn w:val="Textkomente"/>
    <w:next w:val="Textkomente"/>
    <w:link w:val="PedmtkomenteChar"/>
    <w:uiPriority w:val="99"/>
    <w:semiHidden/>
    <w:unhideWhenUsed/>
    <w:rsid w:val="00507A0F"/>
    <w:rPr>
      <w:b/>
      <w:bCs/>
    </w:rPr>
  </w:style>
  <w:style w:type="character" w:customStyle="1" w:styleId="PedmtkomenteChar">
    <w:name w:val="Předmět komentáře Char"/>
    <w:basedOn w:val="TextkomenteChar"/>
    <w:link w:val="Pedmtkomente"/>
    <w:uiPriority w:val="99"/>
    <w:semiHidden/>
    <w:rsid w:val="00507A0F"/>
    <w:rPr>
      <w:b/>
      <w:bCs/>
      <w:sz w:val="20"/>
      <w:szCs w:val="20"/>
    </w:rPr>
  </w:style>
  <w:style w:type="paragraph" w:styleId="Textbubliny">
    <w:name w:val="Balloon Text"/>
    <w:basedOn w:val="Normln"/>
    <w:link w:val="TextbublinyChar"/>
    <w:uiPriority w:val="99"/>
    <w:semiHidden/>
    <w:unhideWhenUsed/>
    <w:rsid w:val="00507A0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7A0F"/>
    <w:rPr>
      <w:rFonts w:ascii="Tahoma" w:hAnsi="Tahoma" w:cs="Tahoma"/>
      <w:sz w:val="16"/>
      <w:szCs w:val="16"/>
    </w:rPr>
  </w:style>
  <w:style w:type="paragraph" w:styleId="Bezmezer">
    <w:name w:val="No Spacing"/>
    <w:basedOn w:val="Normln"/>
    <w:uiPriority w:val="1"/>
    <w:qFormat/>
    <w:rsid w:val="00621422"/>
    <w:pPr>
      <w:spacing w:after="0" w:line="240" w:lineRule="auto"/>
    </w:pPr>
    <w:rPr>
      <w:rFonts w:ascii="Calibri" w:eastAsia="Calibri" w:hAnsi="Calibri" w:cs="Times New Roman"/>
      <w:lang w:eastAsia="cs-CZ"/>
    </w:rPr>
  </w:style>
  <w:style w:type="paragraph" w:styleId="Zhlav">
    <w:name w:val="header"/>
    <w:basedOn w:val="Normln"/>
    <w:link w:val="ZhlavChar"/>
    <w:uiPriority w:val="99"/>
    <w:unhideWhenUsed/>
    <w:rsid w:val="004503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50354"/>
  </w:style>
  <w:style w:type="paragraph" w:styleId="Zpat">
    <w:name w:val="footer"/>
    <w:basedOn w:val="Normln"/>
    <w:link w:val="ZpatChar"/>
    <w:unhideWhenUsed/>
    <w:rsid w:val="00450354"/>
    <w:pPr>
      <w:tabs>
        <w:tab w:val="center" w:pos="4536"/>
        <w:tab w:val="right" w:pos="9072"/>
      </w:tabs>
      <w:spacing w:after="0" w:line="240" w:lineRule="auto"/>
    </w:pPr>
  </w:style>
  <w:style w:type="character" w:customStyle="1" w:styleId="ZpatChar">
    <w:name w:val="Zápatí Char"/>
    <w:basedOn w:val="Standardnpsmoodstavce"/>
    <w:link w:val="Zpat"/>
    <w:rsid w:val="00450354"/>
  </w:style>
  <w:style w:type="character" w:styleId="Hypertextovodkaz">
    <w:name w:val="Hyperlink"/>
    <w:basedOn w:val="Standardnpsmoodstavce"/>
    <w:uiPriority w:val="99"/>
    <w:unhideWhenUsed/>
    <w:rsid w:val="00FD4996"/>
    <w:rPr>
      <w:color w:val="0000FF" w:themeColor="hyperlink"/>
      <w:u w:val="single"/>
    </w:rPr>
  </w:style>
  <w:style w:type="character" w:customStyle="1" w:styleId="WW8Num7z3">
    <w:name w:val="WW8Num7z3"/>
    <w:rsid w:val="00882BF4"/>
  </w:style>
  <w:style w:type="character" w:customStyle="1" w:styleId="WW8Num2z4">
    <w:name w:val="WW8Num2z4"/>
    <w:rsid w:val="009E36BB"/>
  </w:style>
  <w:style w:type="paragraph" w:customStyle="1" w:styleId="Standard">
    <w:name w:val="Standard"/>
    <w:rsid w:val="0091510A"/>
    <w:pPr>
      <w:widowControl w:val="0"/>
      <w:suppressAutoHyphens/>
      <w:autoSpaceDN w:val="0"/>
      <w:spacing w:after="0" w:line="240" w:lineRule="auto"/>
      <w:jc w:val="both"/>
      <w:textAlignment w:val="baseline"/>
    </w:pPr>
    <w:rPr>
      <w:rFonts w:ascii="Times New Roman" w:eastAsia="Arial Unicode MS" w:hAnsi="Times New Roman" w:cs="Mangal"/>
      <w:kern w:val="3"/>
      <w:sz w:val="24"/>
      <w:szCs w:val="24"/>
      <w:lang w:eastAsia="zh-CN" w:bidi="hi-IN"/>
    </w:rPr>
  </w:style>
  <w:style w:type="numbering" w:customStyle="1" w:styleId="WWNum3">
    <w:name w:val="WWNum3"/>
    <w:basedOn w:val="Bezseznamu"/>
    <w:rsid w:val="00F30AE0"/>
    <w:pPr>
      <w:numPr>
        <w:numId w:val="21"/>
      </w:numPr>
    </w:pPr>
  </w:style>
  <w:style w:type="paragraph" w:customStyle="1" w:styleId="Dvodovzprvakbodu">
    <w:name w:val="Důvodová zpráva k bodu"/>
    <w:basedOn w:val="Normln"/>
    <w:rsid w:val="0000316B"/>
    <w:pPr>
      <w:keepNext/>
      <w:tabs>
        <w:tab w:val="left" w:pos="1134"/>
      </w:tabs>
      <w:suppressAutoHyphens/>
      <w:spacing w:before="120" w:after="0"/>
      <w:jc w:val="both"/>
    </w:pPr>
    <w:rPr>
      <w:rFonts w:ascii="Arial" w:eastAsia="Times New Roman" w:hAnsi="Arial" w:cs="Times New Roman"/>
      <w:b/>
      <w:bCs/>
      <w:color w:val="0000FF"/>
      <w:szCs w:val="24"/>
      <w:lang w:eastAsia="cs-CZ"/>
    </w:rPr>
  </w:style>
  <w:style w:type="character" w:customStyle="1" w:styleId="TextodstavceChar">
    <w:name w:val="Text odstavce Char"/>
    <w:link w:val="Textodstavce"/>
    <w:locked/>
    <w:rsid w:val="0045353C"/>
    <w:rPr>
      <w:rFonts w:ascii="Times New Roman" w:eastAsia="Times New Roman" w:hAnsi="Times New Roman" w:cs="Times New Roman"/>
      <w:sz w:val="20"/>
      <w:szCs w:val="20"/>
      <w:lang w:val="x-none" w:eastAsia="zh-CN"/>
    </w:rPr>
  </w:style>
  <w:style w:type="character" w:customStyle="1" w:styleId="TextpsmeneChar">
    <w:name w:val="Text písmene Char"/>
    <w:link w:val="Textpsmene"/>
    <w:rsid w:val="0045353C"/>
    <w:rPr>
      <w:rFonts w:ascii="Times New Roman" w:eastAsia="Times New Roman" w:hAnsi="Times New Roman" w:cs="Times New Roman"/>
      <w:sz w:val="20"/>
      <w:szCs w:val="20"/>
      <w:lang w:val="x-none" w:eastAsia="zh-CN"/>
    </w:rPr>
  </w:style>
  <w:style w:type="character" w:customStyle="1" w:styleId="Nadpis3Char">
    <w:name w:val="Nadpis 3 Char"/>
    <w:basedOn w:val="Standardnpsmoodstavce"/>
    <w:link w:val="Nadpis3"/>
    <w:semiHidden/>
    <w:rsid w:val="00DD2CE7"/>
    <w:rPr>
      <w:rFonts w:ascii="Times New Roman" w:eastAsia="Times New Roman" w:hAnsi="Times New Roman" w:cs="Times New Roman"/>
      <w:b/>
      <w:i/>
      <w:caps/>
      <w:sz w:val="28"/>
      <w:szCs w:val="20"/>
      <w:u w:val="single"/>
      <w:lang w:eastAsia="zh-CN" w:bidi="hi-IN"/>
    </w:rPr>
  </w:style>
  <w:style w:type="character" w:customStyle="1" w:styleId="Nadpis4Char">
    <w:name w:val="Nadpis 4 Char"/>
    <w:basedOn w:val="Standardnpsmoodstavce"/>
    <w:link w:val="Nadpis4"/>
    <w:semiHidden/>
    <w:rsid w:val="00DD2CE7"/>
    <w:rPr>
      <w:rFonts w:ascii="Times New Roman" w:eastAsia="Times New Roman" w:hAnsi="Times New Roman" w:cs="Times New Roman"/>
      <w:b/>
      <w:i/>
      <w:sz w:val="32"/>
      <w:szCs w:val="20"/>
      <w:lang w:eastAsia="zh-CN" w:bidi="hi-IN"/>
    </w:rPr>
  </w:style>
  <w:style w:type="paragraph" w:styleId="Zkladntext3">
    <w:name w:val="Body Text 3"/>
    <w:basedOn w:val="Normln"/>
    <w:link w:val="Zkladntext3Char"/>
    <w:unhideWhenUsed/>
    <w:rsid w:val="00DD2CE7"/>
    <w:pPr>
      <w:suppressAutoHyphens/>
      <w:spacing w:after="0" w:line="240" w:lineRule="auto"/>
      <w:jc w:val="center"/>
    </w:pPr>
    <w:rPr>
      <w:rFonts w:ascii="Times New Roman" w:eastAsia="Times New Roman" w:hAnsi="Times New Roman" w:cs="Times New Roman"/>
      <w:sz w:val="24"/>
      <w:szCs w:val="20"/>
      <w:lang w:eastAsia="zh-CN" w:bidi="hi-IN"/>
    </w:rPr>
  </w:style>
  <w:style w:type="character" w:customStyle="1" w:styleId="Zkladntext3Char">
    <w:name w:val="Základní text 3 Char"/>
    <w:basedOn w:val="Standardnpsmoodstavce"/>
    <w:link w:val="Zkladntext3"/>
    <w:rsid w:val="00DD2CE7"/>
    <w:rPr>
      <w:rFonts w:ascii="Times New Roman" w:eastAsia="Times New Roman" w:hAnsi="Times New Roman" w:cs="Times New Roman"/>
      <w:sz w:val="24"/>
      <w:szCs w:val="20"/>
      <w:lang w:eastAsia="zh-CN" w:bidi="hi-IN"/>
    </w:rPr>
  </w:style>
  <w:style w:type="paragraph" w:customStyle="1" w:styleId="Tlotextu">
    <w:name w:val="Tělo textu"/>
    <w:basedOn w:val="Normln"/>
    <w:rsid w:val="00DD2CE7"/>
    <w:pPr>
      <w:tabs>
        <w:tab w:val="left" w:pos="0"/>
      </w:tabs>
      <w:suppressAutoHyphens/>
      <w:spacing w:after="0" w:line="240" w:lineRule="auto"/>
      <w:jc w:val="both"/>
    </w:pPr>
    <w:rPr>
      <w:rFonts w:ascii="Times New Roman" w:eastAsia="Times New Roman" w:hAnsi="Times New Roman" w:cs="Times New Roman"/>
      <w:spacing w:val="-3"/>
      <w:sz w:val="24"/>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549123">
      <w:bodyDiv w:val="1"/>
      <w:marLeft w:val="0"/>
      <w:marRight w:val="0"/>
      <w:marTop w:val="0"/>
      <w:marBottom w:val="0"/>
      <w:divBdr>
        <w:top w:val="none" w:sz="0" w:space="0" w:color="auto"/>
        <w:left w:val="none" w:sz="0" w:space="0" w:color="auto"/>
        <w:bottom w:val="none" w:sz="0" w:space="0" w:color="auto"/>
        <w:right w:val="none" w:sz="0" w:space="0" w:color="auto"/>
      </w:divBdr>
    </w:div>
    <w:div w:id="436758581">
      <w:bodyDiv w:val="1"/>
      <w:marLeft w:val="0"/>
      <w:marRight w:val="0"/>
      <w:marTop w:val="0"/>
      <w:marBottom w:val="0"/>
      <w:divBdr>
        <w:top w:val="none" w:sz="0" w:space="0" w:color="auto"/>
        <w:left w:val="none" w:sz="0" w:space="0" w:color="auto"/>
        <w:bottom w:val="none" w:sz="0" w:space="0" w:color="auto"/>
        <w:right w:val="none" w:sz="0" w:space="0" w:color="auto"/>
      </w:divBdr>
    </w:div>
    <w:div w:id="711736693">
      <w:bodyDiv w:val="1"/>
      <w:marLeft w:val="0"/>
      <w:marRight w:val="0"/>
      <w:marTop w:val="0"/>
      <w:marBottom w:val="0"/>
      <w:divBdr>
        <w:top w:val="none" w:sz="0" w:space="0" w:color="auto"/>
        <w:left w:val="none" w:sz="0" w:space="0" w:color="auto"/>
        <w:bottom w:val="none" w:sz="0" w:space="0" w:color="auto"/>
        <w:right w:val="none" w:sz="0" w:space="0" w:color="auto"/>
      </w:divBdr>
      <w:divsChild>
        <w:div w:id="919407324">
          <w:marLeft w:val="0"/>
          <w:marRight w:val="0"/>
          <w:marTop w:val="0"/>
          <w:marBottom w:val="0"/>
          <w:divBdr>
            <w:top w:val="none" w:sz="0" w:space="0" w:color="auto"/>
            <w:left w:val="none" w:sz="0" w:space="0" w:color="auto"/>
            <w:bottom w:val="none" w:sz="0" w:space="0" w:color="auto"/>
            <w:right w:val="none" w:sz="0" w:space="0" w:color="auto"/>
          </w:divBdr>
          <w:divsChild>
            <w:div w:id="432213311">
              <w:marLeft w:val="0"/>
              <w:marRight w:val="0"/>
              <w:marTop w:val="0"/>
              <w:marBottom w:val="0"/>
              <w:divBdr>
                <w:top w:val="none" w:sz="0" w:space="0" w:color="auto"/>
                <w:left w:val="none" w:sz="0" w:space="0" w:color="auto"/>
                <w:bottom w:val="none" w:sz="0" w:space="0" w:color="auto"/>
                <w:right w:val="none" w:sz="0" w:space="0" w:color="auto"/>
              </w:divBdr>
              <w:divsChild>
                <w:div w:id="202620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27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7E683-FB5E-420A-8384-C6D24A025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1999</Words>
  <Characters>11800</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13772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Křivánek Vít, Mgr. Bc.</dc:creator>
  <cp:lastModifiedBy>Kysilkova Michaela</cp:lastModifiedBy>
  <cp:revision>8</cp:revision>
  <cp:lastPrinted>2018-10-10T11:03:00Z</cp:lastPrinted>
  <dcterms:created xsi:type="dcterms:W3CDTF">2018-10-08T11:32:00Z</dcterms:created>
  <dcterms:modified xsi:type="dcterms:W3CDTF">2018-10-10T11:05:00Z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269915297</vt:i4>
  </property>
  <property fmtid="{D5CDD505-2E9C-101B-9397-08002B2CF9AE}" pid="3" name="_NewReviewCycle">
    <vt:lpwstr/>
  </property>
  <property fmtid="{D5CDD505-2E9C-101B-9397-08002B2CF9AE}" pid="4" name="_EmailSubject">
    <vt:lpwstr>pozvánka na 13. schůzi RV a PN k tiskům 167, 183 a 188</vt:lpwstr>
  </property>
  <property fmtid="{D5CDD505-2E9C-101B-9397-08002B2CF9AE}" pid="5" name="_AuthorEmail">
    <vt:lpwstr>Tereza.Cejpova@mfcr.cz</vt:lpwstr>
  </property>
  <property fmtid="{D5CDD505-2E9C-101B-9397-08002B2CF9AE}" pid="6" name="_AuthorEmailDisplayName">
    <vt:lpwstr>Cejpová Tereza Mgr.</vt:lpwstr>
  </property>
  <property fmtid="{D5CDD505-2E9C-101B-9397-08002B2CF9AE}" pid="7" name="_ReviewingToolsShownOnce">
    <vt:lpwstr/>
  </property>
</Properties>
</file>