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EF0C30" w:rsidP="000E730C">
      <w:pPr>
        <w:pStyle w:val="PS-hlavika2"/>
      </w:pPr>
      <w:r>
        <w:t>2018</w:t>
      </w:r>
    </w:p>
    <w:p w:rsidR="00DC29E4" w:rsidRDefault="00EF0C30" w:rsidP="00377253">
      <w:pPr>
        <w:pStyle w:val="PS-hlavika1"/>
      </w:pPr>
      <w:r>
        <w:t>8</w:t>
      </w:r>
      <w:r w:rsidR="00DC29E4">
        <w:t>. volební období</w:t>
      </w:r>
    </w:p>
    <w:p w:rsidR="00DC29E4" w:rsidRDefault="00B85709" w:rsidP="000E730C">
      <w:pPr>
        <w:pStyle w:val="PS-slousnesen"/>
      </w:pPr>
      <w:r>
        <w:t>110</w:t>
      </w:r>
      <w:r w:rsidR="00656C37">
        <w:t>.</w:t>
      </w:r>
    </w:p>
    <w:p w:rsidR="00DC29E4" w:rsidRDefault="00DC29E4" w:rsidP="00903269">
      <w:pPr>
        <w:pStyle w:val="PS-hlavika3"/>
      </w:pPr>
      <w:r>
        <w:t>USNESENÍ</w:t>
      </w:r>
    </w:p>
    <w:p w:rsidR="00DC29E4" w:rsidRDefault="005C30D7" w:rsidP="00377253">
      <w:pPr>
        <w:pStyle w:val="PS-hlavika1"/>
      </w:pPr>
      <w:r>
        <w:t>výboru</w:t>
      </w:r>
      <w:r w:rsidR="00136646">
        <w:t xml:space="preserve"> pro evropské záležitosti</w:t>
      </w:r>
    </w:p>
    <w:p w:rsidR="00DC29E4" w:rsidRDefault="00DC29E4" w:rsidP="00377253">
      <w:pPr>
        <w:pStyle w:val="PS-hlavika1"/>
      </w:pPr>
      <w:r>
        <w:t xml:space="preserve">z </w:t>
      </w:r>
      <w:r w:rsidR="00C42100">
        <w:t>14</w:t>
      </w:r>
      <w:r>
        <w:t>. schůze</w:t>
      </w:r>
    </w:p>
    <w:p w:rsidR="00DC29E4" w:rsidRDefault="00DC29E4" w:rsidP="00377253">
      <w:pPr>
        <w:pStyle w:val="PS-hlavika1"/>
      </w:pPr>
      <w:r>
        <w:t xml:space="preserve">ze dne </w:t>
      </w:r>
      <w:r w:rsidR="00C42100">
        <w:t>20</w:t>
      </w:r>
      <w:r>
        <w:t xml:space="preserve">. </w:t>
      </w:r>
      <w:r w:rsidR="00C42100">
        <w:t>června</w:t>
      </w:r>
      <w:r w:rsidR="00EF0C30">
        <w:t xml:space="preserve"> 2018</w:t>
      </w:r>
    </w:p>
    <w:p w:rsidR="00136646" w:rsidRDefault="00136646" w:rsidP="00136646">
      <w:pPr>
        <w:pStyle w:val="Bezmezer"/>
      </w:pPr>
    </w:p>
    <w:p w:rsidR="00136646" w:rsidRDefault="00136646" w:rsidP="00136646">
      <w:pPr>
        <w:pStyle w:val="Bezmezer"/>
      </w:pPr>
    </w:p>
    <w:p w:rsidR="00136646" w:rsidRPr="00136646" w:rsidRDefault="00136646" w:rsidP="00136646">
      <w:pPr>
        <w:pStyle w:val="Bezmezer"/>
      </w:pPr>
    </w:p>
    <w:p w:rsidR="00BA00F3" w:rsidRDefault="00BA00F3" w:rsidP="00A46CDA">
      <w:pPr>
        <w:pStyle w:val="PS-uvodnodstavec"/>
      </w:pPr>
    </w:p>
    <w:p w:rsidR="00EB1EFC" w:rsidRPr="00AB58FF" w:rsidRDefault="00EB1EFC" w:rsidP="00EB1EFC">
      <w:pPr>
        <w:widowControl w:val="0"/>
        <w:suppressAutoHyphens/>
        <w:autoSpaceDN w:val="0"/>
        <w:spacing w:after="0" w:line="240" w:lineRule="auto"/>
        <w:contextualSpacing/>
        <w:jc w:val="center"/>
        <w:rPr>
          <w:rFonts w:ascii="Times New Roman" w:eastAsia="Times New Roman" w:hAnsi="Times New Roman"/>
          <w:sz w:val="24"/>
          <w:szCs w:val="20"/>
          <w:lang w:eastAsia="zh-CN" w:bidi="hi-IN"/>
        </w:rPr>
      </w:pPr>
      <w:r>
        <w:rPr>
          <w:rFonts w:ascii="Times New Roman" w:eastAsia="Times New Roman" w:hAnsi="Times New Roman"/>
          <w:sz w:val="24"/>
          <w:szCs w:val="20"/>
          <w:lang w:eastAsia="zh-CN" w:bidi="hi-IN"/>
        </w:rPr>
        <w:t>ke s</w:t>
      </w:r>
      <w:r w:rsidRPr="00AB58FF">
        <w:rPr>
          <w:rFonts w:ascii="Times New Roman" w:eastAsia="Times New Roman" w:hAnsi="Times New Roman"/>
          <w:sz w:val="24"/>
          <w:szCs w:val="20"/>
          <w:lang w:eastAsia="zh-CN" w:bidi="hi-IN"/>
        </w:rPr>
        <w:t>dělení Komise – Moderní rozpočet pro Unii, která chrání, posiluje a brání: víceletý finanční rámec na období 2021 – 2027 /kód Rady 8353/18, KOM(2018) 321 v konečném znění/</w:t>
      </w:r>
    </w:p>
    <w:p w:rsidR="00EB1EFC" w:rsidRPr="00AB58FF" w:rsidRDefault="00EB1EFC" w:rsidP="00EB1EFC">
      <w:pPr>
        <w:suppressAutoHyphens/>
        <w:autoSpaceDN w:val="0"/>
        <w:spacing w:after="0" w:line="240" w:lineRule="auto"/>
        <w:jc w:val="center"/>
        <w:rPr>
          <w:rFonts w:ascii="Times New Roman" w:eastAsia="Times New Roman" w:hAnsi="Times New Roman"/>
          <w:b/>
          <w:sz w:val="24"/>
          <w:szCs w:val="20"/>
          <w:lang w:eastAsia="zh-CN" w:bidi="hi-IN"/>
        </w:rPr>
      </w:pPr>
    </w:p>
    <w:p w:rsidR="00EB1EFC" w:rsidRPr="00AB58FF" w:rsidRDefault="00EB1EFC" w:rsidP="00EB1EFC">
      <w:pPr>
        <w:widowControl w:val="0"/>
        <w:suppressAutoHyphens/>
        <w:autoSpaceDN w:val="0"/>
        <w:spacing w:after="0" w:line="240" w:lineRule="auto"/>
        <w:contextualSpacing/>
        <w:jc w:val="center"/>
        <w:rPr>
          <w:rFonts w:ascii="Times New Roman" w:eastAsia="Times New Roman" w:hAnsi="Times New Roman"/>
          <w:sz w:val="24"/>
          <w:szCs w:val="20"/>
          <w:lang w:eastAsia="zh-CN" w:bidi="hi-IN"/>
        </w:rPr>
      </w:pPr>
      <w:r>
        <w:rPr>
          <w:rFonts w:ascii="Times New Roman" w:eastAsia="Times New Roman" w:hAnsi="Times New Roman"/>
          <w:sz w:val="24"/>
          <w:szCs w:val="20"/>
          <w:lang w:eastAsia="zh-CN" w:bidi="hi-IN"/>
        </w:rPr>
        <w:t>k n</w:t>
      </w:r>
      <w:r w:rsidRPr="00AB58FF">
        <w:rPr>
          <w:rFonts w:ascii="Times New Roman" w:eastAsia="Times New Roman" w:hAnsi="Times New Roman"/>
          <w:sz w:val="24"/>
          <w:szCs w:val="20"/>
          <w:lang w:eastAsia="zh-CN" w:bidi="hi-IN"/>
        </w:rPr>
        <w:t>ávrh</w:t>
      </w:r>
      <w:r>
        <w:rPr>
          <w:rFonts w:ascii="Times New Roman" w:eastAsia="Times New Roman" w:hAnsi="Times New Roman"/>
          <w:sz w:val="24"/>
          <w:szCs w:val="20"/>
          <w:lang w:eastAsia="zh-CN" w:bidi="hi-IN"/>
        </w:rPr>
        <w:t>u</w:t>
      </w:r>
      <w:r w:rsidRPr="00AB58FF">
        <w:rPr>
          <w:rFonts w:ascii="Times New Roman" w:eastAsia="Times New Roman" w:hAnsi="Times New Roman"/>
          <w:sz w:val="24"/>
          <w:szCs w:val="20"/>
          <w:lang w:eastAsia="zh-CN" w:bidi="hi-IN"/>
        </w:rPr>
        <w:t xml:space="preserve"> nařízení Rady, kterým se stanoví víceletý finanční rámec na období 2021 – 2027 /kód Rady 8354/18, KOM(2018) 322 v konečném znění/</w:t>
      </w:r>
    </w:p>
    <w:p w:rsidR="00EB1EFC" w:rsidRPr="00AB58FF" w:rsidRDefault="00EB1EFC" w:rsidP="00EB1EFC">
      <w:pPr>
        <w:suppressAutoHyphens/>
        <w:autoSpaceDN w:val="0"/>
        <w:spacing w:after="0" w:line="240" w:lineRule="auto"/>
        <w:ind w:left="1104" w:hanging="360"/>
        <w:jc w:val="center"/>
        <w:rPr>
          <w:rFonts w:ascii="Times New Roman" w:eastAsia="Times New Roman" w:hAnsi="Times New Roman"/>
          <w:sz w:val="24"/>
          <w:szCs w:val="20"/>
          <w:lang w:eastAsia="zh-CN" w:bidi="hi-IN"/>
        </w:rPr>
      </w:pPr>
    </w:p>
    <w:p w:rsidR="00EB1EFC" w:rsidRPr="00AB58FF" w:rsidRDefault="00EB1EFC" w:rsidP="00EB1EFC">
      <w:pPr>
        <w:widowControl w:val="0"/>
        <w:suppressAutoHyphens/>
        <w:autoSpaceDN w:val="0"/>
        <w:spacing w:after="0" w:line="240" w:lineRule="auto"/>
        <w:contextualSpacing/>
        <w:jc w:val="center"/>
        <w:rPr>
          <w:rFonts w:ascii="Times New Roman" w:eastAsia="Times New Roman" w:hAnsi="Times New Roman"/>
          <w:sz w:val="24"/>
          <w:szCs w:val="20"/>
          <w:lang w:eastAsia="zh-CN" w:bidi="hi-IN"/>
        </w:rPr>
      </w:pPr>
      <w:r>
        <w:rPr>
          <w:rFonts w:ascii="Times New Roman" w:eastAsia="Times New Roman" w:hAnsi="Times New Roman"/>
          <w:sz w:val="24"/>
          <w:szCs w:val="20"/>
          <w:lang w:eastAsia="zh-CN" w:bidi="hi-IN"/>
        </w:rPr>
        <w:t>k n</w:t>
      </w:r>
      <w:r w:rsidRPr="00AB58FF">
        <w:rPr>
          <w:rFonts w:ascii="Times New Roman" w:eastAsia="Times New Roman" w:hAnsi="Times New Roman"/>
          <w:sz w:val="24"/>
          <w:szCs w:val="20"/>
          <w:lang w:eastAsia="zh-CN" w:bidi="hi-IN"/>
        </w:rPr>
        <w:t>ávrh</w:t>
      </w:r>
      <w:r>
        <w:rPr>
          <w:rFonts w:ascii="Times New Roman" w:eastAsia="Times New Roman" w:hAnsi="Times New Roman"/>
          <w:sz w:val="24"/>
          <w:szCs w:val="20"/>
          <w:lang w:eastAsia="zh-CN" w:bidi="hi-IN"/>
        </w:rPr>
        <w:t>u</w:t>
      </w:r>
      <w:r w:rsidRPr="00AB58FF">
        <w:rPr>
          <w:rFonts w:ascii="Times New Roman" w:eastAsia="Times New Roman" w:hAnsi="Times New Roman"/>
          <w:sz w:val="24"/>
          <w:szCs w:val="20"/>
          <w:lang w:eastAsia="zh-CN" w:bidi="hi-IN"/>
        </w:rPr>
        <w:t xml:space="preserve"> nařízení Evropského parlamentu a Rady o ochraně rozpočtu Unie v případě všeobecných nedostatků týkajících se právního státu v členských státech /Kód Rady 8356/18, KOM(2018) 324 v konečném znění/</w:t>
      </w:r>
    </w:p>
    <w:p w:rsidR="00EB1EFC" w:rsidRDefault="00EB1EFC" w:rsidP="00EB1EFC">
      <w:pPr>
        <w:pStyle w:val="Bezmezer"/>
        <w:jc w:val="center"/>
      </w:pPr>
    </w:p>
    <w:p w:rsidR="00EB1EFC" w:rsidRDefault="00EB1EFC" w:rsidP="00EB1EFC">
      <w:pPr>
        <w:widowControl w:val="0"/>
        <w:suppressAutoHyphens/>
        <w:autoSpaceDN w:val="0"/>
        <w:spacing w:after="60" w:line="240" w:lineRule="auto"/>
        <w:jc w:val="center"/>
        <w:rPr>
          <w:rFonts w:ascii="Times New Roman" w:eastAsia="Times New Roman" w:hAnsi="Times New Roman"/>
          <w:sz w:val="24"/>
          <w:szCs w:val="20"/>
          <w:lang w:eastAsia="zh-CN" w:bidi="hi-IN"/>
        </w:rPr>
      </w:pPr>
      <w:r w:rsidRPr="00227843">
        <w:rPr>
          <w:rFonts w:ascii="Times New Roman" w:eastAsia="Times New Roman" w:hAnsi="Times New Roman"/>
          <w:sz w:val="24"/>
          <w:szCs w:val="20"/>
          <w:lang w:eastAsia="zh-CN" w:bidi="hi-IN"/>
        </w:rPr>
        <w:t>k</w:t>
      </w:r>
      <w:r w:rsidRPr="00227843">
        <w:rPr>
          <w:rFonts w:ascii="Times New Roman" w:hAnsi="Times New Roman"/>
        </w:rPr>
        <w:t xml:space="preserve"> </w:t>
      </w:r>
      <w:r w:rsidRPr="00640C9C">
        <w:rPr>
          <w:rFonts w:ascii="Times New Roman" w:hAnsi="Times New Roman"/>
          <w:sz w:val="24"/>
          <w:szCs w:val="24"/>
        </w:rPr>
        <w:t>n</w:t>
      </w:r>
      <w:r w:rsidRPr="00640C9C">
        <w:rPr>
          <w:rFonts w:ascii="Times New Roman" w:eastAsia="Times New Roman" w:hAnsi="Times New Roman"/>
          <w:sz w:val="24"/>
          <w:szCs w:val="24"/>
          <w:lang w:eastAsia="zh-CN" w:bidi="hi-IN"/>
        </w:rPr>
        <w:t>ávrh</w:t>
      </w:r>
      <w:r>
        <w:rPr>
          <w:rFonts w:ascii="Times New Roman" w:eastAsia="Times New Roman" w:hAnsi="Times New Roman"/>
          <w:sz w:val="24"/>
          <w:szCs w:val="24"/>
          <w:lang w:eastAsia="zh-CN" w:bidi="hi-IN"/>
        </w:rPr>
        <w:t>u</w:t>
      </w:r>
      <w:r w:rsidRPr="00640C9C">
        <w:rPr>
          <w:rFonts w:ascii="Times New Roman" w:eastAsia="Times New Roman" w:hAnsi="Times New Roman"/>
          <w:sz w:val="24"/>
          <w:szCs w:val="20"/>
          <w:lang w:eastAsia="zh-CN" w:bidi="hi-IN"/>
        </w:rPr>
        <w:t xml:space="preserve"> </w:t>
      </w:r>
      <w:r w:rsidRPr="002754B0">
        <w:rPr>
          <w:rFonts w:ascii="Times New Roman" w:eastAsia="Times New Roman" w:hAnsi="Times New Roman"/>
          <w:sz w:val="24"/>
          <w:szCs w:val="20"/>
          <w:lang w:eastAsia="zh-CN" w:bidi="hi-IN"/>
        </w:rPr>
        <w:t>rozhodnutí Rady o systému vlastních zdrojů Evropské unie</w:t>
      </w:r>
      <w:r>
        <w:rPr>
          <w:rFonts w:ascii="Times New Roman" w:eastAsia="Times New Roman" w:hAnsi="Times New Roman"/>
          <w:sz w:val="24"/>
          <w:szCs w:val="20"/>
          <w:lang w:eastAsia="zh-CN" w:bidi="hi-IN"/>
        </w:rPr>
        <w:t xml:space="preserve"> /</w:t>
      </w:r>
      <w:r w:rsidRPr="00227843">
        <w:rPr>
          <w:rFonts w:ascii="Times New Roman" w:eastAsia="Times New Roman" w:hAnsi="Times New Roman"/>
          <w:sz w:val="24"/>
          <w:szCs w:val="20"/>
          <w:lang w:eastAsia="zh-CN" w:bidi="hi-IN"/>
        </w:rPr>
        <w:t>kód Rady 835</w:t>
      </w:r>
      <w:r>
        <w:rPr>
          <w:rFonts w:ascii="Times New Roman" w:eastAsia="Times New Roman" w:hAnsi="Times New Roman"/>
          <w:sz w:val="24"/>
          <w:szCs w:val="20"/>
          <w:lang w:eastAsia="zh-CN" w:bidi="hi-IN"/>
        </w:rPr>
        <w:t>7/</w:t>
      </w:r>
      <w:r w:rsidRPr="00227843">
        <w:rPr>
          <w:rFonts w:ascii="Times New Roman" w:eastAsia="Times New Roman" w:hAnsi="Times New Roman"/>
          <w:sz w:val="24"/>
          <w:szCs w:val="20"/>
          <w:lang w:eastAsia="zh-CN" w:bidi="hi-IN"/>
        </w:rPr>
        <w:t>18</w:t>
      </w:r>
      <w:r>
        <w:rPr>
          <w:rFonts w:ascii="Times New Roman" w:eastAsia="Times New Roman" w:hAnsi="Times New Roman"/>
          <w:sz w:val="24"/>
          <w:szCs w:val="20"/>
          <w:lang w:eastAsia="zh-CN" w:bidi="hi-IN"/>
        </w:rPr>
        <w:t>, KOM(2018) 325 v </w:t>
      </w:r>
      <w:r w:rsidRPr="00227843">
        <w:rPr>
          <w:rFonts w:ascii="Times New Roman" w:eastAsia="Times New Roman" w:hAnsi="Times New Roman"/>
          <w:sz w:val="24"/>
          <w:szCs w:val="20"/>
          <w:lang w:eastAsia="zh-CN" w:bidi="hi-IN"/>
        </w:rPr>
        <w:t xml:space="preserve">konečném </w:t>
      </w:r>
      <w:r>
        <w:rPr>
          <w:rFonts w:ascii="Times New Roman" w:eastAsia="Times New Roman" w:hAnsi="Times New Roman"/>
          <w:sz w:val="24"/>
          <w:szCs w:val="20"/>
          <w:lang w:eastAsia="zh-CN" w:bidi="hi-IN"/>
        </w:rPr>
        <w:t>znění/</w:t>
      </w:r>
    </w:p>
    <w:p w:rsidR="00EB1EFC" w:rsidRDefault="00EB1EFC" w:rsidP="00EB1EFC">
      <w:pPr>
        <w:widowControl w:val="0"/>
        <w:suppressAutoHyphens/>
        <w:autoSpaceDN w:val="0"/>
        <w:spacing w:after="60" w:line="240" w:lineRule="auto"/>
        <w:jc w:val="center"/>
        <w:rPr>
          <w:rFonts w:ascii="Times New Roman" w:eastAsia="Times New Roman" w:hAnsi="Times New Roman"/>
          <w:sz w:val="24"/>
          <w:szCs w:val="20"/>
          <w:lang w:eastAsia="zh-CN" w:bidi="hi-IN"/>
        </w:rPr>
      </w:pPr>
    </w:p>
    <w:p w:rsidR="00EB1EFC" w:rsidRDefault="00EB1EFC" w:rsidP="00EB1EFC">
      <w:pPr>
        <w:widowControl w:val="0"/>
        <w:suppressAutoHyphens/>
        <w:autoSpaceDN w:val="0"/>
        <w:spacing w:after="60" w:line="240" w:lineRule="auto"/>
        <w:jc w:val="center"/>
        <w:rPr>
          <w:rFonts w:ascii="Times New Roman" w:eastAsia="Times New Roman" w:hAnsi="Times New Roman"/>
          <w:sz w:val="24"/>
          <w:szCs w:val="20"/>
          <w:lang w:eastAsia="zh-CN" w:bidi="hi-IN"/>
        </w:rPr>
      </w:pPr>
      <w:r>
        <w:rPr>
          <w:rFonts w:ascii="Times New Roman" w:eastAsia="Times New Roman" w:hAnsi="Times New Roman"/>
          <w:sz w:val="24"/>
          <w:szCs w:val="20"/>
          <w:lang w:eastAsia="zh-CN" w:bidi="hi-IN"/>
        </w:rPr>
        <w:t>k n</w:t>
      </w:r>
      <w:r w:rsidRPr="002754B0">
        <w:rPr>
          <w:rFonts w:ascii="Times New Roman" w:eastAsia="Times New Roman" w:hAnsi="Times New Roman"/>
          <w:sz w:val="24"/>
          <w:szCs w:val="20"/>
          <w:lang w:eastAsia="zh-CN" w:bidi="hi-IN"/>
        </w:rPr>
        <w:t>ávrh</w:t>
      </w:r>
      <w:r>
        <w:rPr>
          <w:rFonts w:ascii="Times New Roman" w:eastAsia="Times New Roman" w:hAnsi="Times New Roman"/>
          <w:sz w:val="24"/>
          <w:szCs w:val="20"/>
          <w:lang w:eastAsia="zh-CN" w:bidi="hi-IN"/>
        </w:rPr>
        <w:t>u</w:t>
      </w:r>
      <w:r w:rsidRPr="002754B0">
        <w:rPr>
          <w:rFonts w:ascii="Times New Roman" w:eastAsia="Times New Roman" w:hAnsi="Times New Roman"/>
          <w:sz w:val="24"/>
          <w:szCs w:val="20"/>
          <w:lang w:eastAsia="zh-CN" w:bidi="hi-IN"/>
        </w:rPr>
        <w:t xml:space="preserve"> nařízení Rady o metodách a postupu pro poskytování vlastních zdrojů ze společného konsolidovaného základu daně z příjmů právnických osob, ze systému Evropské unie pro obchodování s emisemi a z plastových obalových odpadů</w:t>
      </w:r>
      <w:r>
        <w:rPr>
          <w:rFonts w:ascii="Times New Roman" w:eastAsia="Times New Roman" w:hAnsi="Times New Roman"/>
          <w:sz w:val="24"/>
          <w:szCs w:val="20"/>
          <w:lang w:eastAsia="zh-CN" w:bidi="hi-IN"/>
        </w:rPr>
        <w:t>, které nejsou recyklovány, a o </w:t>
      </w:r>
      <w:r w:rsidRPr="002754B0">
        <w:rPr>
          <w:rFonts w:ascii="Times New Roman" w:eastAsia="Times New Roman" w:hAnsi="Times New Roman"/>
          <w:sz w:val="24"/>
          <w:szCs w:val="20"/>
          <w:lang w:eastAsia="zh-CN" w:bidi="hi-IN"/>
        </w:rPr>
        <w:t xml:space="preserve">opatřeních ke krytí hotovostních nároků </w:t>
      </w:r>
      <w:r>
        <w:rPr>
          <w:rFonts w:ascii="Times New Roman" w:eastAsia="Times New Roman" w:hAnsi="Times New Roman"/>
          <w:sz w:val="24"/>
          <w:szCs w:val="20"/>
          <w:lang w:eastAsia="zh-CN" w:bidi="hi-IN"/>
        </w:rPr>
        <w:t>/</w:t>
      </w:r>
      <w:r w:rsidRPr="002754B0">
        <w:rPr>
          <w:rFonts w:ascii="Times New Roman" w:eastAsia="Times New Roman" w:hAnsi="Times New Roman"/>
          <w:sz w:val="24"/>
          <w:szCs w:val="20"/>
          <w:lang w:eastAsia="zh-CN" w:bidi="hi-IN"/>
        </w:rPr>
        <w:t>kód Rady 835</w:t>
      </w:r>
      <w:r>
        <w:rPr>
          <w:rFonts w:ascii="Times New Roman" w:eastAsia="Times New Roman" w:hAnsi="Times New Roman"/>
          <w:sz w:val="24"/>
          <w:szCs w:val="20"/>
          <w:lang w:eastAsia="zh-CN" w:bidi="hi-IN"/>
        </w:rPr>
        <w:t>8</w:t>
      </w:r>
      <w:r w:rsidRPr="002754B0">
        <w:rPr>
          <w:rFonts w:ascii="Times New Roman" w:eastAsia="Times New Roman" w:hAnsi="Times New Roman"/>
          <w:sz w:val="24"/>
          <w:szCs w:val="20"/>
          <w:lang w:eastAsia="zh-CN" w:bidi="hi-IN"/>
        </w:rPr>
        <w:t>/18</w:t>
      </w:r>
      <w:r>
        <w:rPr>
          <w:rFonts w:ascii="Times New Roman" w:eastAsia="Times New Roman" w:hAnsi="Times New Roman"/>
          <w:sz w:val="24"/>
          <w:szCs w:val="20"/>
          <w:lang w:eastAsia="zh-CN" w:bidi="hi-IN"/>
        </w:rPr>
        <w:t>,</w:t>
      </w:r>
      <w:r w:rsidRPr="00AB58FF">
        <w:rPr>
          <w:rFonts w:ascii="Times New Roman" w:eastAsia="Times New Roman" w:hAnsi="Times New Roman"/>
          <w:sz w:val="24"/>
          <w:szCs w:val="20"/>
          <w:lang w:eastAsia="zh-CN" w:bidi="hi-IN"/>
        </w:rPr>
        <w:t xml:space="preserve"> </w:t>
      </w:r>
      <w:r w:rsidRPr="002754B0">
        <w:rPr>
          <w:rFonts w:ascii="Times New Roman" w:eastAsia="Times New Roman" w:hAnsi="Times New Roman"/>
          <w:sz w:val="24"/>
          <w:szCs w:val="20"/>
          <w:lang w:eastAsia="zh-CN" w:bidi="hi-IN"/>
        </w:rPr>
        <w:t>KOM(2018) 32</w:t>
      </w:r>
      <w:r>
        <w:rPr>
          <w:rFonts w:ascii="Times New Roman" w:eastAsia="Times New Roman" w:hAnsi="Times New Roman"/>
          <w:sz w:val="24"/>
          <w:szCs w:val="20"/>
          <w:lang w:eastAsia="zh-CN" w:bidi="hi-IN"/>
        </w:rPr>
        <w:t>6</w:t>
      </w:r>
      <w:r w:rsidRPr="002754B0">
        <w:rPr>
          <w:rFonts w:ascii="Times New Roman" w:eastAsia="Times New Roman" w:hAnsi="Times New Roman"/>
          <w:sz w:val="24"/>
          <w:szCs w:val="20"/>
          <w:lang w:eastAsia="zh-CN" w:bidi="hi-IN"/>
        </w:rPr>
        <w:t xml:space="preserve"> v konečném znění</w:t>
      </w:r>
      <w:r>
        <w:rPr>
          <w:rFonts w:ascii="Times New Roman" w:eastAsia="Times New Roman" w:hAnsi="Times New Roman"/>
          <w:sz w:val="24"/>
          <w:szCs w:val="20"/>
          <w:lang w:eastAsia="zh-CN" w:bidi="hi-IN"/>
        </w:rPr>
        <w:t>/</w:t>
      </w:r>
    </w:p>
    <w:p w:rsidR="00EB1EFC" w:rsidRDefault="00EB1EFC" w:rsidP="00EB1EFC">
      <w:pPr>
        <w:widowControl w:val="0"/>
        <w:suppressAutoHyphens/>
        <w:autoSpaceDN w:val="0"/>
        <w:spacing w:after="0" w:line="240" w:lineRule="auto"/>
        <w:jc w:val="center"/>
        <w:rPr>
          <w:rFonts w:ascii="Times New Roman" w:eastAsia="Times New Roman" w:hAnsi="Times New Roman"/>
          <w:sz w:val="24"/>
          <w:szCs w:val="20"/>
          <w:lang w:eastAsia="zh-CN" w:bidi="hi-IN"/>
        </w:rPr>
      </w:pPr>
    </w:p>
    <w:p w:rsidR="00EB1EFC" w:rsidRDefault="00EB1EFC" w:rsidP="00EB1EFC">
      <w:pPr>
        <w:widowControl w:val="0"/>
        <w:suppressAutoHyphens/>
        <w:autoSpaceDN w:val="0"/>
        <w:spacing w:after="60" w:line="240" w:lineRule="auto"/>
        <w:jc w:val="center"/>
        <w:rPr>
          <w:rFonts w:ascii="Times New Roman" w:eastAsia="Times New Roman" w:hAnsi="Times New Roman"/>
          <w:sz w:val="24"/>
          <w:szCs w:val="20"/>
          <w:lang w:eastAsia="zh-CN" w:bidi="hi-IN"/>
        </w:rPr>
      </w:pPr>
      <w:r>
        <w:rPr>
          <w:rFonts w:ascii="Times New Roman" w:eastAsia="Times New Roman" w:hAnsi="Times New Roman"/>
          <w:sz w:val="24"/>
          <w:szCs w:val="20"/>
          <w:lang w:eastAsia="zh-CN" w:bidi="hi-IN"/>
        </w:rPr>
        <w:t>k n</w:t>
      </w:r>
      <w:r w:rsidRPr="002754B0">
        <w:rPr>
          <w:rFonts w:ascii="Times New Roman" w:eastAsia="Times New Roman" w:hAnsi="Times New Roman"/>
          <w:sz w:val="24"/>
          <w:szCs w:val="20"/>
          <w:lang w:eastAsia="zh-CN" w:bidi="hi-IN"/>
        </w:rPr>
        <w:t>ávrh</w:t>
      </w:r>
      <w:r>
        <w:rPr>
          <w:rFonts w:ascii="Times New Roman" w:eastAsia="Times New Roman" w:hAnsi="Times New Roman"/>
          <w:sz w:val="24"/>
          <w:szCs w:val="20"/>
          <w:lang w:eastAsia="zh-CN" w:bidi="hi-IN"/>
        </w:rPr>
        <w:t>u</w:t>
      </w:r>
      <w:r w:rsidRPr="002754B0">
        <w:rPr>
          <w:rFonts w:ascii="Times New Roman" w:eastAsia="Times New Roman" w:hAnsi="Times New Roman"/>
          <w:sz w:val="24"/>
          <w:szCs w:val="20"/>
          <w:lang w:eastAsia="zh-CN" w:bidi="hi-IN"/>
        </w:rPr>
        <w:t xml:space="preserve"> nařízení Rady, kterým se stanoví prováděcí opatření pro systém vlastních zdrojů Evropské unie</w:t>
      </w:r>
      <w:r>
        <w:rPr>
          <w:rFonts w:ascii="Times New Roman" w:eastAsia="Times New Roman" w:hAnsi="Times New Roman"/>
          <w:sz w:val="24"/>
          <w:szCs w:val="20"/>
          <w:lang w:eastAsia="zh-CN" w:bidi="hi-IN"/>
        </w:rPr>
        <w:t xml:space="preserve"> /</w:t>
      </w:r>
      <w:r w:rsidRPr="002754B0">
        <w:rPr>
          <w:rFonts w:ascii="Times New Roman" w:eastAsia="Times New Roman" w:hAnsi="Times New Roman"/>
          <w:sz w:val="24"/>
          <w:szCs w:val="20"/>
          <w:lang w:eastAsia="zh-CN" w:bidi="hi-IN"/>
        </w:rPr>
        <w:t>kód Rady 835</w:t>
      </w:r>
      <w:r>
        <w:rPr>
          <w:rFonts w:ascii="Times New Roman" w:eastAsia="Times New Roman" w:hAnsi="Times New Roman"/>
          <w:sz w:val="24"/>
          <w:szCs w:val="20"/>
          <w:lang w:eastAsia="zh-CN" w:bidi="hi-IN"/>
        </w:rPr>
        <w:t>9</w:t>
      </w:r>
      <w:r w:rsidRPr="002754B0">
        <w:rPr>
          <w:rFonts w:ascii="Times New Roman" w:eastAsia="Times New Roman" w:hAnsi="Times New Roman"/>
          <w:sz w:val="24"/>
          <w:szCs w:val="20"/>
          <w:lang w:eastAsia="zh-CN" w:bidi="hi-IN"/>
        </w:rPr>
        <w:t>/18</w:t>
      </w:r>
      <w:r>
        <w:rPr>
          <w:rFonts w:ascii="Times New Roman" w:eastAsia="Times New Roman" w:hAnsi="Times New Roman"/>
          <w:sz w:val="24"/>
          <w:szCs w:val="20"/>
          <w:lang w:eastAsia="zh-CN" w:bidi="hi-IN"/>
        </w:rPr>
        <w:t>,</w:t>
      </w:r>
      <w:r w:rsidRPr="00AB58FF">
        <w:rPr>
          <w:rFonts w:ascii="Times New Roman" w:eastAsia="Times New Roman" w:hAnsi="Times New Roman"/>
          <w:sz w:val="24"/>
          <w:szCs w:val="20"/>
          <w:lang w:eastAsia="zh-CN" w:bidi="hi-IN"/>
        </w:rPr>
        <w:t xml:space="preserve"> </w:t>
      </w:r>
      <w:r w:rsidRPr="002754B0">
        <w:rPr>
          <w:rFonts w:ascii="Times New Roman" w:eastAsia="Times New Roman" w:hAnsi="Times New Roman"/>
          <w:sz w:val="24"/>
          <w:szCs w:val="20"/>
          <w:lang w:eastAsia="zh-CN" w:bidi="hi-IN"/>
        </w:rPr>
        <w:t>KOM(2018) 32</w:t>
      </w:r>
      <w:r>
        <w:rPr>
          <w:rFonts w:ascii="Times New Roman" w:eastAsia="Times New Roman" w:hAnsi="Times New Roman"/>
          <w:sz w:val="24"/>
          <w:szCs w:val="20"/>
          <w:lang w:eastAsia="zh-CN" w:bidi="hi-IN"/>
        </w:rPr>
        <w:t>7</w:t>
      </w:r>
      <w:r w:rsidRPr="002754B0">
        <w:rPr>
          <w:rFonts w:ascii="Times New Roman" w:eastAsia="Times New Roman" w:hAnsi="Times New Roman"/>
          <w:sz w:val="24"/>
          <w:szCs w:val="20"/>
          <w:lang w:eastAsia="zh-CN" w:bidi="hi-IN"/>
        </w:rPr>
        <w:t xml:space="preserve"> v konečném znění</w:t>
      </w:r>
      <w:r>
        <w:rPr>
          <w:rFonts w:ascii="Times New Roman" w:eastAsia="Times New Roman" w:hAnsi="Times New Roman"/>
          <w:sz w:val="24"/>
          <w:szCs w:val="20"/>
          <w:lang w:eastAsia="zh-CN" w:bidi="hi-IN"/>
        </w:rPr>
        <w:t>/</w:t>
      </w:r>
    </w:p>
    <w:p w:rsidR="00EB1EFC" w:rsidRDefault="00EB1EFC" w:rsidP="00EB1EFC">
      <w:pPr>
        <w:widowControl w:val="0"/>
        <w:suppressAutoHyphens/>
        <w:autoSpaceDN w:val="0"/>
        <w:spacing w:after="60" w:line="240" w:lineRule="auto"/>
        <w:jc w:val="center"/>
        <w:rPr>
          <w:rFonts w:ascii="Times New Roman" w:eastAsia="Times New Roman" w:hAnsi="Times New Roman"/>
          <w:sz w:val="24"/>
          <w:szCs w:val="20"/>
          <w:lang w:eastAsia="zh-CN" w:bidi="hi-IN"/>
        </w:rPr>
      </w:pPr>
    </w:p>
    <w:p w:rsidR="00EB1EFC" w:rsidRDefault="00EB1EFC" w:rsidP="00EB1EFC">
      <w:pPr>
        <w:widowControl w:val="0"/>
        <w:suppressAutoHyphens/>
        <w:autoSpaceDN w:val="0"/>
        <w:spacing w:after="0" w:line="240" w:lineRule="auto"/>
        <w:jc w:val="center"/>
        <w:rPr>
          <w:rFonts w:ascii="Times New Roman" w:eastAsia="Times New Roman" w:hAnsi="Times New Roman"/>
          <w:sz w:val="24"/>
          <w:szCs w:val="20"/>
          <w:lang w:eastAsia="zh-CN" w:bidi="hi-IN"/>
        </w:rPr>
      </w:pPr>
      <w:r>
        <w:rPr>
          <w:rFonts w:ascii="Times New Roman" w:eastAsia="Times New Roman" w:hAnsi="Times New Roman"/>
          <w:sz w:val="24"/>
          <w:szCs w:val="20"/>
          <w:lang w:eastAsia="zh-CN" w:bidi="hi-IN"/>
        </w:rPr>
        <w:t>k n</w:t>
      </w:r>
      <w:r w:rsidRPr="002754B0">
        <w:rPr>
          <w:rFonts w:ascii="Times New Roman" w:eastAsia="Times New Roman" w:hAnsi="Times New Roman"/>
          <w:sz w:val="24"/>
          <w:szCs w:val="20"/>
          <w:lang w:eastAsia="zh-CN" w:bidi="hi-IN"/>
        </w:rPr>
        <w:t>ávrh</w:t>
      </w:r>
      <w:r>
        <w:rPr>
          <w:rFonts w:ascii="Times New Roman" w:eastAsia="Times New Roman" w:hAnsi="Times New Roman"/>
          <w:sz w:val="24"/>
          <w:szCs w:val="20"/>
          <w:lang w:eastAsia="zh-CN" w:bidi="hi-IN"/>
        </w:rPr>
        <w:t>u</w:t>
      </w:r>
      <w:r w:rsidRPr="002754B0">
        <w:rPr>
          <w:rFonts w:ascii="Times New Roman" w:eastAsia="Times New Roman" w:hAnsi="Times New Roman"/>
          <w:sz w:val="24"/>
          <w:szCs w:val="20"/>
          <w:lang w:eastAsia="zh-CN" w:bidi="hi-IN"/>
        </w:rPr>
        <w:t xml:space="preserve"> nařízení Rady, kterým se mění nařízení (EHS, Euratom) č. 1553/89 o konečné jednotné úpravě vybírání vlastních zdrojů vycházejících z daně z přidané hodnoty</w:t>
      </w:r>
      <w:r>
        <w:rPr>
          <w:rFonts w:ascii="Times New Roman" w:eastAsia="Times New Roman" w:hAnsi="Times New Roman"/>
          <w:sz w:val="24"/>
          <w:szCs w:val="20"/>
          <w:lang w:eastAsia="zh-CN" w:bidi="hi-IN"/>
        </w:rPr>
        <w:t xml:space="preserve"> /</w:t>
      </w:r>
      <w:r w:rsidRPr="002754B0">
        <w:rPr>
          <w:rFonts w:ascii="Times New Roman" w:eastAsia="Times New Roman" w:hAnsi="Times New Roman"/>
          <w:sz w:val="24"/>
          <w:szCs w:val="20"/>
          <w:lang w:eastAsia="zh-CN" w:bidi="hi-IN"/>
        </w:rPr>
        <w:t>kód Rady 83</w:t>
      </w:r>
      <w:r>
        <w:rPr>
          <w:rFonts w:ascii="Times New Roman" w:eastAsia="Times New Roman" w:hAnsi="Times New Roman"/>
          <w:sz w:val="24"/>
          <w:szCs w:val="20"/>
          <w:lang w:eastAsia="zh-CN" w:bidi="hi-IN"/>
        </w:rPr>
        <w:t>60/18,</w:t>
      </w:r>
      <w:r w:rsidRPr="00AB58FF">
        <w:rPr>
          <w:rFonts w:ascii="Times New Roman" w:eastAsia="Times New Roman" w:hAnsi="Times New Roman"/>
          <w:sz w:val="24"/>
          <w:szCs w:val="20"/>
          <w:lang w:eastAsia="zh-CN" w:bidi="hi-IN"/>
        </w:rPr>
        <w:t xml:space="preserve"> </w:t>
      </w:r>
      <w:r w:rsidRPr="002754B0">
        <w:rPr>
          <w:rFonts w:ascii="Times New Roman" w:eastAsia="Times New Roman" w:hAnsi="Times New Roman"/>
          <w:sz w:val="24"/>
          <w:szCs w:val="20"/>
          <w:lang w:eastAsia="zh-CN" w:bidi="hi-IN"/>
        </w:rPr>
        <w:t>KOM(2018) 32</w:t>
      </w:r>
      <w:r>
        <w:rPr>
          <w:rFonts w:ascii="Times New Roman" w:eastAsia="Times New Roman" w:hAnsi="Times New Roman"/>
          <w:sz w:val="24"/>
          <w:szCs w:val="20"/>
          <w:lang w:eastAsia="zh-CN" w:bidi="hi-IN"/>
        </w:rPr>
        <w:t>8</w:t>
      </w:r>
      <w:r w:rsidRPr="002754B0">
        <w:rPr>
          <w:rFonts w:ascii="Times New Roman" w:eastAsia="Times New Roman" w:hAnsi="Times New Roman"/>
          <w:sz w:val="24"/>
          <w:szCs w:val="20"/>
          <w:lang w:eastAsia="zh-CN" w:bidi="hi-IN"/>
        </w:rPr>
        <w:t xml:space="preserve"> v konečném znění</w:t>
      </w:r>
      <w:r>
        <w:rPr>
          <w:rFonts w:ascii="Times New Roman" w:eastAsia="Times New Roman" w:hAnsi="Times New Roman"/>
          <w:sz w:val="24"/>
          <w:szCs w:val="20"/>
          <w:lang w:eastAsia="zh-CN" w:bidi="hi-IN"/>
        </w:rPr>
        <w:t>/</w:t>
      </w:r>
    </w:p>
    <w:p w:rsidR="00BA00F3" w:rsidRDefault="00BA00F3" w:rsidP="00BA00F3">
      <w:pPr>
        <w:pStyle w:val="PS-uvodnodstavec"/>
        <w:pBdr>
          <w:bottom w:val="single" w:sz="4" w:space="1" w:color="auto"/>
        </w:pBdr>
        <w:jc w:val="center"/>
      </w:pPr>
    </w:p>
    <w:p w:rsidR="00B85709" w:rsidRPr="00B85709" w:rsidRDefault="00B85709" w:rsidP="00B85709">
      <w:pPr>
        <w:suppressAutoHyphens/>
        <w:spacing w:after="0" w:line="240" w:lineRule="auto"/>
        <w:ind w:left="77"/>
        <w:jc w:val="both"/>
        <w:rPr>
          <w:rFonts w:ascii="Times New Roman" w:eastAsia="Times New Roman" w:hAnsi="Times New Roman"/>
          <w:b/>
          <w:i/>
          <w:sz w:val="24"/>
          <w:szCs w:val="20"/>
          <w:lang w:eastAsia="zh-CN" w:bidi="hi-IN"/>
        </w:rPr>
      </w:pPr>
      <w:r>
        <w:rPr>
          <w:rFonts w:ascii="Times New Roman" w:hAnsi="Times New Roman"/>
          <w:sz w:val="24"/>
        </w:rPr>
        <w:tab/>
      </w:r>
      <w:r w:rsidRPr="00B85709">
        <w:rPr>
          <w:rFonts w:ascii="Times New Roman" w:hAnsi="Times New Roman"/>
          <w:sz w:val="24"/>
        </w:rPr>
        <w:t xml:space="preserve">Výbor pro evropské záležitosti Poslanecké sněmovny Parlamentu ČR po vyslechnutí informace </w:t>
      </w:r>
      <w:r w:rsidR="00EB1EFC">
        <w:rPr>
          <w:rFonts w:ascii="Times New Roman" w:hAnsi="Times New Roman"/>
          <w:sz w:val="24"/>
        </w:rPr>
        <w:t xml:space="preserve">vedoucího oddělení Rozpočet EU Ministerstva </w:t>
      </w:r>
      <w:r w:rsidRPr="00B85709">
        <w:rPr>
          <w:rFonts w:ascii="Times New Roman" w:hAnsi="Times New Roman"/>
          <w:sz w:val="24"/>
        </w:rPr>
        <w:t>financí</w:t>
      </w:r>
      <w:r w:rsidR="00EB1EFC">
        <w:rPr>
          <w:rFonts w:ascii="Times New Roman" w:hAnsi="Times New Roman"/>
          <w:sz w:val="24"/>
        </w:rPr>
        <w:t xml:space="preserve"> Ing. Michala Částka, Ph.D.</w:t>
      </w:r>
      <w:r w:rsidRPr="00B85709">
        <w:rPr>
          <w:rFonts w:ascii="Times New Roman" w:hAnsi="Times New Roman"/>
          <w:sz w:val="24"/>
        </w:rPr>
        <w:t xml:space="preserve"> </w:t>
      </w:r>
      <w:r w:rsidRPr="00B85709">
        <w:rPr>
          <w:rFonts w:ascii="Times New Roman" w:hAnsi="Times New Roman"/>
          <w:sz w:val="24"/>
        </w:rPr>
        <w:lastRenderedPageBreak/>
        <w:t xml:space="preserve">a vedoucího Oddělení sektorových politik COREPER II </w:t>
      </w:r>
      <w:r w:rsidR="00AE5D86">
        <w:rPr>
          <w:rFonts w:ascii="Times New Roman" w:hAnsi="Times New Roman"/>
          <w:sz w:val="24"/>
        </w:rPr>
        <w:t xml:space="preserve">Úřadu vlády </w:t>
      </w:r>
      <w:r w:rsidRPr="00B85709">
        <w:rPr>
          <w:rFonts w:ascii="Times New Roman" w:hAnsi="Times New Roman"/>
          <w:sz w:val="24"/>
        </w:rPr>
        <w:t>Marka Součka, po vyslechnutí zpravodajské zprávy posl. Adama Kalouse a po rozpravě</w:t>
      </w:r>
    </w:p>
    <w:p w:rsidR="00D46ACA" w:rsidRDefault="00D46ACA" w:rsidP="00A46CDA">
      <w:pPr>
        <w:pStyle w:val="PS-uvodnodstavec"/>
      </w:pPr>
    </w:p>
    <w:p w:rsidR="002B60B3" w:rsidRDefault="00A93982" w:rsidP="00A93982">
      <w:pPr>
        <w:pStyle w:val="PS-slovanseznam"/>
        <w:numPr>
          <w:ilvl w:val="0"/>
          <w:numId w:val="0"/>
        </w:numPr>
      </w:pPr>
      <w:r>
        <w:rPr>
          <w:rStyle w:val="proloenChar"/>
        </w:rPr>
        <w:tab/>
      </w:r>
      <w:r w:rsidRPr="00A93982">
        <w:rPr>
          <w:rStyle w:val="proloenChar"/>
          <w:b/>
        </w:rPr>
        <w:t>schvaluje</w:t>
      </w:r>
      <w:r w:rsidR="002B60B3">
        <w:t xml:space="preserve"> </w:t>
      </w:r>
      <w:r>
        <w:t>stanovisko, které je přílohou tohoto usnesení.</w:t>
      </w:r>
    </w:p>
    <w:p w:rsidR="00A93982" w:rsidRDefault="00A93982" w:rsidP="00893C29">
      <w:pPr>
        <w:keepNext/>
        <w:tabs>
          <w:tab w:val="center" w:pos="1701"/>
          <w:tab w:val="center" w:pos="4536"/>
          <w:tab w:val="center" w:pos="7371"/>
        </w:tabs>
        <w:spacing w:before="1000" w:after="0" w:line="240" w:lineRule="auto"/>
        <w:rPr>
          <w:rFonts w:ascii="Times New Roman" w:hAnsi="Times New Roman"/>
          <w:sz w:val="24"/>
        </w:rPr>
      </w:pPr>
    </w:p>
    <w:p w:rsidR="00EB1EFC" w:rsidRDefault="00EB1EFC" w:rsidP="00893C29">
      <w:pPr>
        <w:keepNext/>
        <w:tabs>
          <w:tab w:val="center" w:pos="1701"/>
          <w:tab w:val="center" w:pos="4536"/>
          <w:tab w:val="center" w:pos="7371"/>
        </w:tabs>
        <w:spacing w:before="1000" w:after="0" w:line="240" w:lineRule="auto"/>
        <w:rPr>
          <w:rFonts w:ascii="Times New Roman" w:hAnsi="Times New Roman"/>
          <w:sz w:val="24"/>
        </w:rPr>
      </w:pPr>
    </w:p>
    <w:p w:rsidR="00EB1EFC" w:rsidRDefault="00EB1EFC" w:rsidP="00893C29">
      <w:pPr>
        <w:keepNext/>
        <w:tabs>
          <w:tab w:val="center" w:pos="1701"/>
          <w:tab w:val="center" w:pos="4536"/>
          <w:tab w:val="center" w:pos="7371"/>
        </w:tabs>
        <w:spacing w:before="1000" w:after="0" w:line="240" w:lineRule="auto"/>
        <w:rPr>
          <w:rFonts w:ascii="Times New Roman" w:hAnsi="Times New Roman"/>
          <w:sz w:val="24"/>
        </w:rPr>
      </w:pPr>
    </w:p>
    <w:p w:rsidR="00EB1EFC" w:rsidRDefault="00EB1EFC" w:rsidP="00893C29">
      <w:pPr>
        <w:keepNext/>
        <w:tabs>
          <w:tab w:val="center" w:pos="1701"/>
          <w:tab w:val="center" w:pos="4536"/>
          <w:tab w:val="center" w:pos="7371"/>
        </w:tabs>
        <w:spacing w:before="1000" w:after="0" w:line="240" w:lineRule="auto"/>
        <w:rPr>
          <w:rFonts w:ascii="Times New Roman" w:hAnsi="Times New Roman"/>
          <w:sz w:val="24"/>
        </w:rPr>
      </w:pPr>
    </w:p>
    <w:p w:rsidR="00EB1EFC" w:rsidRDefault="00EB1EFC" w:rsidP="00893C29">
      <w:pPr>
        <w:keepNext/>
        <w:tabs>
          <w:tab w:val="center" w:pos="1701"/>
          <w:tab w:val="center" w:pos="4536"/>
          <w:tab w:val="center" w:pos="7371"/>
        </w:tabs>
        <w:spacing w:before="1000" w:after="0" w:line="240" w:lineRule="auto"/>
        <w:rPr>
          <w:rFonts w:ascii="Times New Roman" w:hAnsi="Times New Roman"/>
          <w:sz w:val="24"/>
        </w:rPr>
      </w:pPr>
    </w:p>
    <w:p w:rsidR="00D46ACA" w:rsidRDefault="00106842" w:rsidP="00893C29">
      <w:pPr>
        <w:keepNext/>
        <w:tabs>
          <w:tab w:val="center" w:pos="1701"/>
          <w:tab w:val="center" w:pos="4536"/>
          <w:tab w:val="center" w:pos="7371"/>
        </w:tabs>
        <w:spacing w:before="1000" w:after="0" w:line="240" w:lineRule="auto"/>
        <w:rPr>
          <w:rFonts w:ascii="Times New Roman" w:hAnsi="Times New Roman"/>
          <w:sz w:val="24"/>
        </w:rPr>
      </w:pPr>
      <w:r w:rsidRPr="00106842">
        <w:rPr>
          <w:rFonts w:ascii="Times New Roman" w:hAnsi="Times New Roman"/>
          <w:sz w:val="24"/>
        </w:rPr>
        <w:tab/>
      </w:r>
    </w:p>
    <w:p w:rsidR="00106842" w:rsidRPr="00106842" w:rsidRDefault="00106842" w:rsidP="00893C29">
      <w:pPr>
        <w:keepNext/>
        <w:tabs>
          <w:tab w:val="center" w:pos="1701"/>
          <w:tab w:val="center" w:pos="4536"/>
          <w:tab w:val="center" w:pos="7371"/>
        </w:tabs>
        <w:spacing w:before="1000" w:after="0" w:line="240" w:lineRule="auto"/>
        <w:rPr>
          <w:rFonts w:ascii="Times New Roman" w:hAnsi="Times New Roman"/>
          <w:sz w:val="24"/>
        </w:rPr>
      </w:pPr>
      <w:r w:rsidRPr="00106842">
        <w:rPr>
          <w:rFonts w:ascii="Times New Roman" w:hAnsi="Times New Roman"/>
          <w:sz w:val="24"/>
        </w:rPr>
        <w:tab/>
      </w:r>
      <w:r w:rsidR="00B85709">
        <w:rPr>
          <w:rFonts w:ascii="Times New Roman" w:hAnsi="Times New Roman"/>
          <w:sz w:val="24"/>
        </w:rPr>
        <w:t>Jiří Kobza</w:t>
      </w:r>
      <w:r w:rsidR="00C922DD">
        <w:rPr>
          <w:rFonts w:ascii="Times New Roman" w:hAnsi="Times New Roman"/>
          <w:sz w:val="24"/>
        </w:rPr>
        <w:t xml:space="preserve"> v. r.</w:t>
      </w:r>
      <w:r w:rsidRPr="00106842">
        <w:rPr>
          <w:rFonts w:ascii="Times New Roman" w:hAnsi="Times New Roman"/>
          <w:sz w:val="24"/>
        </w:rPr>
        <w:tab/>
        <w:t xml:space="preserve"> </w:t>
      </w:r>
      <w:r w:rsidR="00B85709">
        <w:rPr>
          <w:rFonts w:ascii="Times New Roman" w:hAnsi="Times New Roman"/>
          <w:sz w:val="24"/>
        </w:rPr>
        <w:tab/>
        <w:t>Adam Kalous</w:t>
      </w:r>
      <w:r w:rsidR="00C922DD">
        <w:rPr>
          <w:rFonts w:ascii="Times New Roman" w:hAnsi="Times New Roman"/>
          <w:sz w:val="24"/>
        </w:rPr>
        <w:t xml:space="preserve"> v. r.</w:t>
      </w:r>
    </w:p>
    <w:p w:rsidR="00106842" w:rsidRPr="00106842" w:rsidRDefault="00106842" w:rsidP="00566A4C">
      <w:pPr>
        <w:keepNext/>
        <w:tabs>
          <w:tab w:val="center" w:pos="1701"/>
          <w:tab w:val="center" w:pos="4536"/>
          <w:tab w:val="center" w:pos="7371"/>
        </w:tabs>
        <w:spacing w:after="0" w:line="240" w:lineRule="auto"/>
        <w:rPr>
          <w:rFonts w:ascii="Times New Roman" w:hAnsi="Times New Roman"/>
          <w:sz w:val="24"/>
        </w:rPr>
      </w:pPr>
      <w:r w:rsidRPr="00106842">
        <w:rPr>
          <w:rFonts w:ascii="Times New Roman" w:hAnsi="Times New Roman"/>
          <w:sz w:val="24"/>
        </w:rPr>
        <w:tab/>
      </w:r>
      <w:r w:rsidR="00254049">
        <w:rPr>
          <w:rFonts w:ascii="Times New Roman" w:hAnsi="Times New Roman"/>
          <w:sz w:val="24"/>
        </w:rPr>
        <w:t>o</w:t>
      </w:r>
      <w:r w:rsidRPr="00106842">
        <w:rPr>
          <w:rFonts w:ascii="Times New Roman" w:hAnsi="Times New Roman"/>
          <w:sz w:val="24"/>
        </w:rPr>
        <w:t>věřovatel</w:t>
      </w:r>
      <w:r w:rsidRPr="00106842">
        <w:rPr>
          <w:rFonts w:ascii="Times New Roman" w:hAnsi="Times New Roman"/>
          <w:sz w:val="24"/>
        </w:rPr>
        <w:tab/>
      </w:r>
      <w:r w:rsidRPr="00106842">
        <w:rPr>
          <w:rFonts w:ascii="Times New Roman" w:hAnsi="Times New Roman"/>
          <w:sz w:val="24"/>
        </w:rPr>
        <w:tab/>
        <w:t>zpravodaj</w:t>
      </w:r>
    </w:p>
    <w:p w:rsidR="00106842" w:rsidRPr="00254049" w:rsidRDefault="00106842" w:rsidP="00106842">
      <w:pPr>
        <w:tabs>
          <w:tab w:val="center" w:pos="1701"/>
          <w:tab w:val="center" w:pos="4536"/>
          <w:tab w:val="center" w:pos="7371"/>
        </w:tabs>
        <w:spacing w:before="1000" w:after="0" w:line="240" w:lineRule="auto"/>
        <w:rPr>
          <w:rFonts w:ascii="Times New Roman" w:hAnsi="Times New Roman"/>
          <w:caps/>
          <w:sz w:val="24"/>
        </w:rPr>
      </w:pPr>
      <w:r w:rsidRPr="00106842">
        <w:rPr>
          <w:rFonts w:ascii="Times New Roman" w:hAnsi="Times New Roman"/>
          <w:sz w:val="24"/>
        </w:rPr>
        <w:tab/>
      </w:r>
      <w:r w:rsidRPr="00106842">
        <w:rPr>
          <w:rFonts w:ascii="Times New Roman" w:hAnsi="Times New Roman"/>
          <w:sz w:val="24"/>
        </w:rPr>
        <w:tab/>
      </w:r>
      <w:r w:rsidR="00A93982">
        <w:rPr>
          <w:rFonts w:ascii="Times New Roman" w:hAnsi="Times New Roman"/>
          <w:sz w:val="24"/>
        </w:rPr>
        <w:t>Ondřej Benešík</w:t>
      </w:r>
      <w:r w:rsidRPr="00106842">
        <w:rPr>
          <w:rFonts w:ascii="Times New Roman" w:hAnsi="Times New Roman"/>
          <w:sz w:val="24"/>
        </w:rPr>
        <w:t xml:space="preserve"> </w:t>
      </w:r>
      <w:r w:rsidR="00C922DD">
        <w:rPr>
          <w:rFonts w:ascii="Times New Roman" w:hAnsi="Times New Roman"/>
          <w:sz w:val="24"/>
        </w:rPr>
        <w:t>v. r.</w:t>
      </w:r>
    </w:p>
    <w:p w:rsidR="00106842" w:rsidRDefault="00106842" w:rsidP="00106842">
      <w:pPr>
        <w:tabs>
          <w:tab w:val="center" w:pos="1701"/>
          <w:tab w:val="center" w:pos="4536"/>
          <w:tab w:val="center" w:pos="7371"/>
        </w:tabs>
        <w:spacing w:after="0" w:line="240" w:lineRule="auto"/>
        <w:rPr>
          <w:rFonts w:ascii="Times New Roman" w:hAnsi="Times New Roman"/>
          <w:sz w:val="24"/>
        </w:rPr>
      </w:pPr>
      <w:r w:rsidRPr="00106842">
        <w:rPr>
          <w:rFonts w:ascii="Times New Roman" w:hAnsi="Times New Roman"/>
          <w:sz w:val="24"/>
        </w:rPr>
        <w:tab/>
      </w:r>
      <w:r w:rsidRPr="00106842">
        <w:rPr>
          <w:rFonts w:ascii="Times New Roman" w:hAnsi="Times New Roman"/>
          <w:sz w:val="24"/>
        </w:rPr>
        <w:tab/>
      </w:r>
      <w:r w:rsidR="00B715B6">
        <w:rPr>
          <w:rFonts w:ascii="Times New Roman" w:hAnsi="Times New Roman"/>
          <w:sz w:val="24"/>
        </w:rPr>
        <w:t>p</w:t>
      </w:r>
      <w:r w:rsidRPr="00106842">
        <w:rPr>
          <w:rFonts w:ascii="Times New Roman" w:hAnsi="Times New Roman"/>
          <w:sz w:val="24"/>
        </w:rPr>
        <w:t>ředseda</w:t>
      </w:r>
    </w:p>
    <w:p w:rsidR="00B715B6" w:rsidRDefault="00B715B6" w:rsidP="00106842">
      <w:pPr>
        <w:tabs>
          <w:tab w:val="center" w:pos="1701"/>
          <w:tab w:val="center" w:pos="4536"/>
          <w:tab w:val="center" w:pos="7371"/>
        </w:tabs>
        <w:spacing w:after="0" w:line="240" w:lineRule="auto"/>
        <w:rPr>
          <w:rFonts w:ascii="Times New Roman" w:hAnsi="Times New Roman"/>
          <w:sz w:val="24"/>
        </w:rPr>
      </w:pPr>
    </w:p>
    <w:p w:rsidR="00D066DF" w:rsidRDefault="00D066DF" w:rsidP="00D066DF">
      <w:pPr>
        <w:spacing w:after="0" w:line="240" w:lineRule="auto"/>
        <w:rPr>
          <w:rFonts w:ascii="Times New Roman" w:hAnsi="Times New Roman"/>
          <w:sz w:val="24"/>
        </w:rPr>
        <w:sectPr w:rsidR="00D066DF" w:rsidSect="000C5278">
          <w:footerReference w:type="default" r:id="rId7"/>
          <w:pgSz w:w="11906" w:h="16838"/>
          <w:pgMar w:top="1134" w:right="1418" w:bottom="1418" w:left="1418" w:header="709" w:footer="709" w:gutter="0"/>
          <w:cols w:space="708"/>
          <w:docGrid w:linePitch="360"/>
        </w:sectPr>
      </w:pPr>
    </w:p>
    <w:p w:rsidR="003A1DF9" w:rsidRDefault="003A1DF9" w:rsidP="00D066DF">
      <w:pPr>
        <w:spacing w:after="0" w:line="240" w:lineRule="auto"/>
        <w:rPr>
          <w:rFonts w:ascii="Times New Roman" w:hAnsi="Times New Roman"/>
          <w:sz w:val="24"/>
        </w:rPr>
      </w:pPr>
      <w:r>
        <w:rPr>
          <w:rFonts w:ascii="Times New Roman" w:hAnsi="Times New Roman"/>
          <w:sz w:val="24"/>
        </w:rPr>
        <w:lastRenderedPageBreak/>
        <w:t xml:space="preserve"> </w:t>
      </w:r>
      <w:r w:rsidR="00D066DF">
        <w:rPr>
          <w:rFonts w:ascii="Times New Roman" w:hAnsi="Times New Roman"/>
          <w:sz w:val="24"/>
        </w:rPr>
        <w:t xml:space="preserve">Příloha k usnesení č. </w:t>
      </w:r>
      <w:r w:rsidR="00B85709">
        <w:rPr>
          <w:rFonts w:ascii="Times New Roman" w:hAnsi="Times New Roman"/>
          <w:sz w:val="24"/>
        </w:rPr>
        <w:t>110</w:t>
      </w:r>
    </w:p>
    <w:p w:rsidR="00B4108A" w:rsidRDefault="00B4108A" w:rsidP="00D066DF">
      <w:pPr>
        <w:spacing w:after="0" w:line="240" w:lineRule="auto"/>
        <w:rPr>
          <w:rFonts w:ascii="Times New Roman" w:hAnsi="Times New Roman"/>
          <w:sz w:val="24"/>
        </w:rPr>
      </w:pPr>
    </w:p>
    <w:p w:rsidR="00B4108A" w:rsidRDefault="00B4108A" w:rsidP="00D066DF">
      <w:pPr>
        <w:spacing w:after="0" w:line="240" w:lineRule="auto"/>
        <w:rPr>
          <w:rFonts w:ascii="Times New Roman" w:hAnsi="Times New Roman"/>
          <w:sz w:val="24"/>
        </w:rPr>
      </w:pPr>
    </w:p>
    <w:p w:rsidR="00D42C98" w:rsidRDefault="00D42C98" w:rsidP="009E3B02">
      <w:pPr>
        <w:spacing w:after="0" w:line="240" w:lineRule="auto"/>
        <w:jc w:val="center"/>
        <w:rPr>
          <w:rFonts w:ascii="Times New Roman" w:hAnsi="Times New Roman"/>
          <w:b/>
          <w:sz w:val="28"/>
          <w:szCs w:val="28"/>
        </w:rPr>
      </w:pPr>
    </w:p>
    <w:p w:rsidR="009E3B02" w:rsidRPr="009E3B02" w:rsidRDefault="00555AFB" w:rsidP="009E3B02">
      <w:pPr>
        <w:spacing w:after="0" w:line="240" w:lineRule="auto"/>
        <w:jc w:val="center"/>
        <w:rPr>
          <w:rFonts w:ascii="Times New Roman" w:hAnsi="Times New Roman"/>
          <w:b/>
          <w:sz w:val="28"/>
          <w:szCs w:val="28"/>
        </w:rPr>
      </w:pPr>
      <w:r>
        <w:rPr>
          <w:rFonts w:ascii="Times New Roman" w:hAnsi="Times New Roman"/>
          <w:b/>
          <w:sz w:val="28"/>
          <w:szCs w:val="28"/>
        </w:rPr>
        <w:t>Sdělení Komise –</w:t>
      </w:r>
      <w:r w:rsidR="009E3B02" w:rsidRPr="009E3B02">
        <w:rPr>
          <w:rFonts w:ascii="Times New Roman" w:hAnsi="Times New Roman"/>
          <w:b/>
          <w:sz w:val="28"/>
          <w:szCs w:val="28"/>
        </w:rPr>
        <w:t xml:space="preserve"> Moderní rozpočet pro Unii, která chrání, posiluje a brání: vícelet</w:t>
      </w:r>
      <w:r>
        <w:rPr>
          <w:rFonts w:ascii="Times New Roman" w:hAnsi="Times New Roman"/>
          <w:b/>
          <w:sz w:val="28"/>
          <w:szCs w:val="28"/>
        </w:rPr>
        <w:t xml:space="preserve">ý finanční rámec na období 2021 – </w:t>
      </w:r>
      <w:r w:rsidR="009E3B02" w:rsidRPr="009E3B02">
        <w:rPr>
          <w:rFonts w:ascii="Times New Roman" w:hAnsi="Times New Roman"/>
          <w:b/>
          <w:sz w:val="28"/>
          <w:szCs w:val="28"/>
        </w:rPr>
        <w:t>2027</w:t>
      </w:r>
    </w:p>
    <w:p w:rsidR="00D42C98" w:rsidRDefault="00D42C98"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KOM(2018) 321 v konečném znění, kód Rady 8353/18</w:t>
      </w:r>
    </w:p>
    <w:p w:rsidR="009E3B02" w:rsidRPr="00D42C98" w:rsidRDefault="009E3B02" w:rsidP="009E3B02">
      <w:pPr>
        <w:spacing w:after="0" w:line="240" w:lineRule="auto"/>
        <w:jc w:val="both"/>
        <w:rPr>
          <w:rFonts w:ascii="Times New Roman" w:eastAsia="Times New Roman" w:hAnsi="Times New Roman"/>
          <w:b/>
          <w:caps/>
          <w:sz w:val="24"/>
          <w:szCs w:val="24"/>
          <w:lang w:eastAsia="cs-CZ"/>
        </w:rPr>
      </w:pPr>
    </w:p>
    <w:p w:rsidR="00D42C98" w:rsidRDefault="00D42C98"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t>Návrh nařízení Rady, kterým se stanoví víceletý finanční rámec na období 2021</w:t>
      </w:r>
      <w:r w:rsidR="00555AFB">
        <w:rPr>
          <w:rFonts w:ascii="Times New Roman" w:hAnsi="Times New Roman"/>
          <w:b/>
          <w:sz w:val="28"/>
          <w:szCs w:val="28"/>
        </w:rPr>
        <w:t xml:space="preserve"> </w:t>
      </w:r>
      <w:r w:rsidRPr="009E3B02">
        <w:rPr>
          <w:rFonts w:ascii="Times New Roman" w:hAnsi="Times New Roman"/>
          <w:b/>
          <w:sz w:val="28"/>
          <w:szCs w:val="28"/>
        </w:rPr>
        <w:t>–</w:t>
      </w:r>
      <w:r w:rsidR="00555AFB">
        <w:rPr>
          <w:rFonts w:ascii="Times New Roman" w:hAnsi="Times New Roman"/>
          <w:b/>
          <w:sz w:val="28"/>
          <w:szCs w:val="28"/>
        </w:rPr>
        <w:t xml:space="preserve"> </w:t>
      </w:r>
      <w:r w:rsidRPr="009E3B02">
        <w:rPr>
          <w:rFonts w:ascii="Times New Roman" w:hAnsi="Times New Roman"/>
          <w:b/>
          <w:sz w:val="28"/>
          <w:szCs w:val="28"/>
        </w:rPr>
        <w:t>2027</w:t>
      </w:r>
    </w:p>
    <w:p w:rsidR="00D42C98" w:rsidRDefault="00D42C98"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KOM(2018) 322 v konečném znění, kód Rady 8354/18</w:t>
      </w:r>
    </w:p>
    <w:p w:rsid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Interinstitucionální spis 2018/0132/APP</w:t>
      </w:r>
    </w:p>
    <w:p w:rsidR="00D42C98" w:rsidRDefault="00D42C98" w:rsidP="009E3B02">
      <w:pPr>
        <w:spacing w:after="0" w:line="240" w:lineRule="auto"/>
        <w:jc w:val="center"/>
        <w:rPr>
          <w:rFonts w:ascii="Times New Roman" w:hAnsi="Times New Roman"/>
          <w:b/>
          <w:sz w:val="24"/>
          <w:szCs w:val="24"/>
        </w:rPr>
      </w:pPr>
    </w:p>
    <w:p w:rsidR="00D42C98" w:rsidRPr="009E3B02" w:rsidRDefault="00D42C98" w:rsidP="009E3B02">
      <w:pPr>
        <w:spacing w:after="0" w:line="240" w:lineRule="auto"/>
        <w:jc w:val="center"/>
        <w:rPr>
          <w:rFonts w:ascii="Times New Roman" w:hAnsi="Times New Roman"/>
          <w:b/>
          <w:sz w:val="24"/>
          <w:szCs w:val="24"/>
        </w:rPr>
      </w:pPr>
    </w:p>
    <w:p w:rsidR="009E3B02" w:rsidRPr="009E3B02" w:rsidRDefault="009E3B02" w:rsidP="009E3B02">
      <w:pPr>
        <w:spacing w:after="0" w:line="240" w:lineRule="auto"/>
        <w:jc w:val="both"/>
        <w:rPr>
          <w:rFonts w:ascii="Times New Roman" w:eastAsia="Times New Roman" w:hAnsi="Times New Roman"/>
          <w:caps/>
          <w:sz w:val="20"/>
          <w:szCs w:val="20"/>
          <w:lang w:eastAsia="cs-CZ"/>
        </w:rPr>
      </w:pPr>
    </w:p>
    <w:p w:rsidR="009E3B02" w:rsidRPr="009E3B02" w:rsidRDefault="009E3B02" w:rsidP="009E3B02">
      <w:pPr>
        <w:spacing w:after="0" w:line="240" w:lineRule="auto"/>
        <w:jc w:val="both"/>
        <w:rPr>
          <w:rFonts w:ascii="Times New Roman" w:eastAsia="Times New Roman" w:hAnsi="Times New Roman"/>
          <w:b/>
          <w:bCs/>
          <w:sz w:val="24"/>
          <w:szCs w:val="20"/>
          <w:lang w:eastAsia="cs-CZ"/>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bookmarkStart w:id="0" w:name="_Toc445380604"/>
      <w:r w:rsidRPr="009E3B02">
        <w:rPr>
          <w:rFonts w:ascii="Times New Roman" w:hAnsi="Times New Roman"/>
          <w:b/>
          <w:sz w:val="24"/>
        </w:rPr>
        <w:t>Právní základ:</w:t>
      </w:r>
      <w:bookmarkEnd w:id="0"/>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Článek 312 Smlouvy o fungování Evropské unie, článek 106a Smlouvy o založení Evropského společenství pro atomovou energii.</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bookmarkStart w:id="1" w:name="_Toc445380605"/>
      <w:r w:rsidRPr="009E3B02">
        <w:rPr>
          <w:rFonts w:ascii="Times New Roman" w:hAnsi="Times New Roman"/>
          <w:b/>
          <w:sz w:val="24"/>
        </w:rPr>
        <w:t>Datum zaslání Poslanecké sněmovně prostřednictvím VEZ:</w:t>
      </w:r>
      <w:bookmarkEnd w:id="1"/>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7. 5. 2018</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bookmarkStart w:id="2" w:name="_Toc445380606"/>
      <w:r w:rsidRPr="009E3B02">
        <w:rPr>
          <w:rFonts w:ascii="Times New Roman" w:hAnsi="Times New Roman"/>
          <w:b/>
          <w:sz w:val="24"/>
        </w:rPr>
        <w:t>Datum projednání ve VEZ:</w:t>
      </w:r>
      <w:bookmarkEnd w:id="2"/>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24. 5. 2018 (1. kolo)</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bookmarkStart w:id="3" w:name="_Toc445380607"/>
      <w:r w:rsidRPr="009E3B02">
        <w:rPr>
          <w:rFonts w:ascii="Times New Roman" w:hAnsi="Times New Roman"/>
          <w:b/>
          <w:sz w:val="24"/>
        </w:rPr>
        <w:t>Procedura:</w:t>
      </w:r>
      <w:bookmarkEnd w:id="3"/>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Rada přijme zvláštním legislativním postupem nařízení, kterým se stanoví víceletý finanční rámec. Rada rozhoduje jednomyslně po obdržení souhlasu Evropského parlamentu, který se usnáší většinou hlasů všech svých členů.</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Evropská rada může jednomyslně přijmout rozhodnutí, které Radě umožní při přijímání uvedeného nařízení rozhodovat kvalifikovanou většinou.</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bookmarkStart w:id="4" w:name="_Toc445380608"/>
      <w:r w:rsidRPr="009E3B02">
        <w:rPr>
          <w:rFonts w:ascii="Times New Roman" w:hAnsi="Times New Roman"/>
          <w:b/>
          <w:sz w:val="24"/>
        </w:rPr>
        <w:t>Předběžné stanovisko vlády (dle § 109a odst. 1 jednacího řádu PS):</w:t>
      </w:r>
      <w:bookmarkEnd w:id="4"/>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Ke dni zpracování tohoto materiálu nebylo doručeno prostřednictvím systému ISAP.</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bookmarkStart w:id="5" w:name="_Toc445380609"/>
      <w:bookmarkStart w:id="6" w:name="_Toc448302188"/>
      <w:r w:rsidRPr="004A2C5E">
        <w:rPr>
          <w:rFonts w:ascii="Times New Roman" w:eastAsia="Times New Roman" w:hAnsi="Times New Roman"/>
          <w:b/>
          <w:sz w:val="24"/>
          <w:szCs w:val="20"/>
          <w:lang w:eastAsia="cs-CZ"/>
        </w:rPr>
        <w:t>Hodnocení z hlediska principu</w:t>
      </w:r>
      <w:r w:rsidRPr="004A2C5E">
        <w:rPr>
          <w:rFonts w:ascii="Times New Roman" w:eastAsia="Times New Roman" w:hAnsi="Times New Roman"/>
          <w:sz w:val="24"/>
          <w:szCs w:val="20"/>
          <w:lang w:eastAsia="cs-CZ"/>
        </w:rPr>
        <w:t xml:space="preserve"> </w:t>
      </w:r>
      <w:r w:rsidRPr="004A2C5E">
        <w:rPr>
          <w:rFonts w:ascii="Times New Roman" w:eastAsia="Times New Roman" w:hAnsi="Times New Roman"/>
          <w:b/>
          <w:sz w:val="24"/>
          <w:szCs w:val="20"/>
          <w:lang w:eastAsia="cs-CZ"/>
        </w:rPr>
        <w:t>subsidiarity:</w:t>
      </w:r>
      <w:bookmarkEnd w:id="5"/>
      <w:bookmarkEnd w:id="6"/>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je v souladu s principem subsidiarity.</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bookmarkStart w:id="7" w:name="_Toc445380610"/>
      <w:bookmarkStart w:id="8" w:name="_Toc448302189"/>
      <w:r w:rsidRPr="004A2C5E">
        <w:rPr>
          <w:rFonts w:ascii="Times New Roman" w:eastAsia="Times New Roman" w:hAnsi="Times New Roman"/>
          <w:b/>
          <w:sz w:val="24"/>
          <w:szCs w:val="20"/>
          <w:lang w:eastAsia="cs-CZ"/>
        </w:rPr>
        <w:t>Odůvodnění a předmět:</w:t>
      </w:r>
      <w:bookmarkEnd w:id="7"/>
      <w:bookmarkEnd w:id="8"/>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dne 2. května 2018 představila balíček legislativních a nelegislativních návrhů k víceletému finančnímu rámci EU na období 2021-2027. Tento balíček, kromě jiného, obsahuje:</w:t>
      </w:r>
    </w:p>
    <w:p w:rsidR="009E3B02" w:rsidRPr="009E3B02" w:rsidRDefault="009E3B02" w:rsidP="009E3B02">
      <w:pPr>
        <w:keepNext/>
        <w:keepLines/>
        <w:numPr>
          <w:ilvl w:val="0"/>
          <w:numId w:val="26"/>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lastRenderedPageBreak/>
        <w:t>návrh nařízení Rady, kterým se stanoví víceletý finanční rámec EU na období 2021–2027;</w:t>
      </w:r>
    </w:p>
    <w:p w:rsidR="009E3B02" w:rsidRPr="009E3B02" w:rsidRDefault="009E3B02" w:rsidP="009E3B02">
      <w:pPr>
        <w:keepNext/>
        <w:keepLines/>
        <w:numPr>
          <w:ilvl w:val="0"/>
          <w:numId w:val="26"/>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sdělení Komise „Moderní rozpočet pro Unii, která chrání, posiluje a brání - Víceletý finanční rámec na období 2021-2027“.</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navrhuje nový víceletý finanční rámec, úzce zaměřený na politické priority Unie s 27 členskými státy. Návrh kombinuje nové nástroje s modernizovanými programy, aby bylo možné účinně realizovat priority Unie a přizpůsobit se novým výzvám.</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bookmarkStart w:id="9" w:name="_Toc445380611"/>
      <w:bookmarkStart w:id="10" w:name="_Toc448302190"/>
      <w:r w:rsidRPr="004A2C5E">
        <w:rPr>
          <w:rFonts w:ascii="Times New Roman" w:eastAsia="Times New Roman" w:hAnsi="Times New Roman"/>
          <w:b/>
          <w:sz w:val="24"/>
          <w:szCs w:val="20"/>
          <w:lang w:eastAsia="cs-CZ"/>
        </w:rPr>
        <w:t>Obsah a dopad:</w:t>
      </w:r>
      <w:bookmarkEnd w:id="9"/>
      <w:bookmarkEnd w:id="10"/>
    </w:p>
    <w:p w:rsidR="009E3B02" w:rsidRPr="009E3B02" w:rsidRDefault="009E3B02" w:rsidP="009E3B02">
      <w:pPr>
        <w:spacing w:after="60" w:line="240" w:lineRule="auto"/>
        <w:jc w:val="both"/>
        <w:rPr>
          <w:rFonts w:ascii="Times New Roman" w:hAnsi="Times New Roman"/>
          <w:sz w:val="24"/>
          <w:u w:val="single"/>
        </w:rPr>
      </w:pPr>
      <w:r w:rsidRPr="009E3B02">
        <w:rPr>
          <w:rFonts w:ascii="Times New Roman" w:hAnsi="Times New Roman"/>
          <w:sz w:val="24"/>
          <w:u w:val="single"/>
        </w:rPr>
        <w:t>Sdělení Komise „Moderní rozpočet pro Unii, která chrání, posiluje a brání Víceletý finanční rámec na období 2021-2027“</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Na základě výsledků široké diskuse o možnostech budoucího rozpočtu EU po roce 2020 předložila Komise soubor návrhů pro víceletý finanční rámec na období 2021-2027. Nový víceletý finanční rámec je úzce zaměřený na politické priority Unie s 27 členskými státy, kombinuje nové nástroje s modernizovanými programy. Měl by být schopen přizpůsobit se novým výzvám a jeho financování by se mělo zjednodušit a reformovat. Pro každou tematickou oblast Komise navrhuje výši finančních prostředků, které budou zapotřebí, aby bylo možné naplnit společné ambice. Nové a reformované programy se řídí těmito zásadami: větší důraz na evropskou přidanou hodnotu, jednodušší a transparentnější rozpočet, méně byrokracie pro příjemce, flexibilnější a akceschopnější rozpočet a účinný rozpočet. Komise chce rovněž zajistit, že provádění programů bude účinné a efektivní, a posílit vazbu mezi financováním EU a dodržováním zásad právního státu.</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navrhuje na období 2021–2027 víceletý finanční rámec ve výši:</w:t>
      </w:r>
    </w:p>
    <w:p w:rsidR="009E3B02" w:rsidRPr="009E3B02" w:rsidRDefault="009E3B02" w:rsidP="009E3B02">
      <w:pPr>
        <w:keepNext/>
        <w:keepLines/>
        <w:numPr>
          <w:ilvl w:val="0"/>
          <w:numId w:val="20"/>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b/>
          <w:sz w:val="24"/>
        </w:rPr>
        <w:t>1 279 miliard EUR (běžné ceny) v prostředcích na závazky</w:t>
      </w:r>
      <w:r w:rsidRPr="009E3B02">
        <w:rPr>
          <w:rFonts w:ascii="Times New Roman" w:hAnsi="Times New Roman"/>
          <w:sz w:val="24"/>
        </w:rPr>
        <w:t>, což odpovídá 1,114 % hrubého národního důchodu EU-27, což je srovnatelné s velikostí stávajícího finančního rámce v reálných hodnotách včetně Evropského rozvojového fondu;</w:t>
      </w:r>
    </w:p>
    <w:p w:rsidR="009E3B02" w:rsidRPr="009E3B02" w:rsidRDefault="009E3B02" w:rsidP="009E3B02">
      <w:pPr>
        <w:keepNext/>
        <w:keepLines/>
        <w:numPr>
          <w:ilvl w:val="0"/>
          <w:numId w:val="20"/>
        </w:numPr>
        <w:suppressAutoHyphens/>
        <w:autoSpaceDN w:val="0"/>
        <w:spacing w:after="60" w:line="254" w:lineRule="auto"/>
        <w:ind w:left="714" w:hanging="357"/>
        <w:jc w:val="both"/>
        <w:textAlignment w:val="baseline"/>
        <w:rPr>
          <w:rFonts w:ascii="Times New Roman" w:hAnsi="Times New Roman"/>
          <w:sz w:val="24"/>
        </w:rPr>
      </w:pPr>
      <w:r w:rsidRPr="009E3B02">
        <w:rPr>
          <w:rFonts w:ascii="Times New Roman" w:hAnsi="Times New Roman"/>
          <w:b/>
          <w:sz w:val="24"/>
        </w:rPr>
        <w:t>1 246 miliard EUR (běžné ceny) v prostředcích na platby</w:t>
      </w:r>
      <w:r w:rsidRPr="009E3B02">
        <w:rPr>
          <w:rFonts w:ascii="Times New Roman" w:hAnsi="Times New Roman"/>
          <w:sz w:val="24"/>
        </w:rPr>
        <w:t>, což odpovídá 1,08 % hrubého národního důchodu EU-27, na provádění stávajících a budoucích výdajových programů až do roku 2027.</w:t>
      </w:r>
    </w:p>
    <w:p w:rsidR="009E3B02" w:rsidRPr="009E3B02" w:rsidRDefault="009E3B02" w:rsidP="009E3B02">
      <w:pPr>
        <w:spacing w:after="120" w:line="240" w:lineRule="auto"/>
        <w:jc w:val="both"/>
        <w:rPr>
          <w:rFonts w:ascii="Times New Roman" w:hAnsi="Times New Roman"/>
          <w:sz w:val="24"/>
        </w:rPr>
      </w:pPr>
      <w:r w:rsidRPr="009E3B02">
        <w:rPr>
          <w:rFonts w:ascii="Times New Roman" w:hAnsi="Times New Roman"/>
          <w:sz w:val="24"/>
        </w:rPr>
        <w:t>Nový víceletý finanční rámec (VFR) je strukturován do sedmi okruhů (tematických oblastí):</w:t>
      </w:r>
    </w:p>
    <w:p w:rsidR="009E3B02" w:rsidRPr="009E3B02" w:rsidRDefault="009E3B02" w:rsidP="009E3B02">
      <w:pPr>
        <w:numPr>
          <w:ilvl w:val="0"/>
          <w:numId w:val="21"/>
        </w:numPr>
        <w:suppressAutoHyphens/>
        <w:autoSpaceDN w:val="0"/>
        <w:spacing w:after="60" w:line="254" w:lineRule="auto"/>
        <w:ind w:left="714" w:hanging="357"/>
        <w:jc w:val="both"/>
        <w:textAlignment w:val="baseline"/>
        <w:rPr>
          <w:rFonts w:ascii="Times New Roman" w:hAnsi="Times New Roman"/>
          <w:sz w:val="24"/>
        </w:rPr>
      </w:pPr>
      <w:r w:rsidRPr="009E3B02">
        <w:rPr>
          <w:rFonts w:ascii="Times New Roman" w:hAnsi="Times New Roman"/>
          <w:b/>
          <w:sz w:val="24"/>
        </w:rPr>
        <w:t>Jednotný trh, inovace a digitální ekonomika</w:t>
      </w:r>
      <w:r w:rsidRPr="009E3B02">
        <w:rPr>
          <w:rFonts w:ascii="Times New Roman" w:hAnsi="Times New Roman"/>
          <w:sz w:val="24"/>
        </w:rPr>
        <w:t xml:space="preserve"> - výzkum a inovace, evropské strategické investice, jednotný trh, vesmír (</w:t>
      </w:r>
      <w:r w:rsidRPr="009E3B02">
        <w:rPr>
          <w:rFonts w:ascii="Times New Roman" w:hAnsi="Times New Roman"/>
          <w:b/>
          <w:sz w:val="24"/>
        </w:rPr>
        <w:t>187,4 mld. EUR v prostředcích na závazky</w:t>
      </w:r>
      <w:r w:rsidRPr="009E3B02">
        <w:rPr>
          <w:rFonts w:ascii="Times New Roman" w:hAnsi="Times New Roman"/>
          <w:sz w:val="24"/>
        </w:rPr>
        <w:t>, 15 % VFR 2021-2027). V rámci tohoto okruhu budou spolufinancovány: program Horizont Evropa s celkovou alokací 97,6 mld. EUR (zvýšení o 23 % oproti současnému VFR), program Euratomu pro výzkum a odbornou přípravu (2,4 mld. EUR), mezinárodní termonukleární experimentální reaktor (6 mld. EUR), investiční fond InvestEU s celkovou alokací 14,7 mld. EUR, Nástroj pro propojení Evropy (CEF) s celkovou alokací 24,5 mld. EUR (zvýšení o 12 % oproti současnému VFR), nový program Digitální Evropa (včetně kybernetické bezpečnosti) s celkovou alokací 9,2 mld. EUR, Program pro jednotný trh, včetně Programu pro konkurenceschopnost podniků a malých a středních podniků – COSME, bezpečnosti potravin, statistiky, hospodářské soutěže a správní spolupráce (6,1 mld. EUR), Program EU pro boj proti podvodům (0,2 mld. EUR), spolupráce v oblasti daní (program FISCALIS, 0,3 mld. EUR), spolupráce v oblasti cel (program CUSTOMS, 0,9 mld. EUR) a Evropský kosmický program s celkovou alokací 16 mld. EUR (zvýšení o 43 % oproti současnému VFR).</w:t>
      </w:r>
    </w:p>
    <w:p w:rsidR="009E3B02" w:rsidRPr="009E3B02" w:rsidRDefault="009E3B02" w:rsidP="009E3B02">
      <w:pPr>
        <w:numPr>
          <w:ilvl w:val="0"/>
          <w:numId w:val="21"/>
        </w:numPr>
        <w:suppressAutoHyphens/>
        <w:autoSpaceDN w:val="0"/>
        <w:spacing w:after="0" w:line="254" w:lineRule="auto"/>
        <w:jc w:val="both"/>
        <w:textAlignment w:val="baseline"/>
        <w:rPr>
          <w:rFonts w:ascii="Times New Roman" w:hAnsi="Times New Roman"/>
          <w:sz w:val="24"/>
        </w:rPr>
      </w:pPr>
      <w:r w:rsidRPr="009E3B02">
        <w:rPr>
          <w:rFonts w:ascii="Times New Roman" w:hAnsi="Times New Roman"/>
          <w:sz w:val="24"/>
        </w:rPr>
        <w:t xml:space="preserve"> </w:t>
      </w:r>
      <w:r w:rsidRPr="009E3B02">
        <w:rPr>
          <w:rFonts w:ascii="Times New Roman" w:hAnsi="Times New Roman"/>
          <w:b/>
          <w:sz w:val="24"/>
        </w:rPr>
        <w:t>Soudržnost a hodnoty</w:t>
      </w:r>
      <w:r w:rsidRPr="009E3B02">
        <w:rPr>
          <w:rFonts w:ascii="Times New Roman" w:hAnsi="Times New Roman"/>
          <w:sz w:val="24"/>
        </w:rPr>
        <w:t xml:space="preserve"> - regionální rozvoj a soudržnost, hospodářská a měnová unie, investice do lidí, sociální soudržnost a hodnoty (</w:t>
      </w:r>
      <w:r w:rsidRPr="009E3B02">
        <w:rPr>
          <w:rFonts w:ascii="Times New Roman" w:hAnsi="Times New Roman"/>
          <w:b/>
          <w:sz w:val="24"/>
        </w:rPr>
        <w:t xml:space="preserve">442,4 mld. EUR v prostředcích na </w:t>
      </w:r>
      <w:r w:rsidRPr="009E3B02">
        <w:rPr>
          <w:rFonts w:ascii="Times New Roman" w:hAnsi="Times New Roman"/>
          <w:b/>
          <w:sz w:val="24"/>
        </w:rPr>
        <w:lastRenderedPageBreak/>
        <w:t>závazky</w:t>
      </w:r>
      <w:r w:rsidRPr="009E3B02">
        <w:rPr>
          <w:rFonts w:ascii="Times New Roman" w:hAnsi="Times New Roman"/>
          <w:sz w:val="24"/>
        </w:rPr>
        <w:t>, 34,6 % VFR 2021-2027). V tomto okruhu jsou prostředky alokovány do: i) regionálního rozvoje a koheze, přičemž na Evropský fond pro regionální rozvoj (ERDF) je vyčleněno 226,3 mld. EUR a na Fond soudržnosti (FS) 46,7 mld. EUR (z nichž 11,3 mld. EUR bude převedeno do Nástroje pro propojení Evropy), ii) dokončení hospodářské a měnové unie s celkovou alokací 25 mld. EUR pro Program na podporu reforem, rozdělenou mezi Nástroj pro provádění reforem (Reform Delivery Tool), určený na podporu reforem strukturální povahy identifikovaných v rámci Evropského semestru, a Konvergenční nástroj poskytující finanční a technickou pomoc členským státům, které se chystají přijmout euro, iii) investice do lidí, sociální koheze a hodnot, zahrnující Evropský sociální fond (ESF) s alokací 101,2 mld. EUR, Erasmus+, jehož alokace byla více než zdvojnásobena na 30 mld. EUR, program Kreativní Evropa (1,9 mld. EUR) a další.</w:t>
      </w:r>
    </w:p>
    <w:p w:rsidR="009E3B02" w:rsidRPr="009E3B02" w:rsidRDefault="009E3B02" w:rsidP="009E3B02">
      <w:pPr>
        <w:suppressAutoHyphens/>
        <w:autoSpaceDN w:val="0"/>
        <w:spacing w:after="0" w:line="254" w:lineRule="auto"/>
        <w:ind w:left="720"/>
        <w:jc w:val="both"/>
        <w:textAlignment w:val="baseline"/>
        <w:rPr>
          <w:rFonts w:ascii="Times New Roman" w:hAnsi="Times New Roman"/>
          <w:sz w:val="24"/>
        </w:rPr>
      </w:pPr>
      <w:r w:rsidRPr="009E3B02">
        <w:rPr>
          <w:rFonts w:ascii="Times New Roman" w:hAnsi="Times New Roman"/>
          <w:sz w:val="24"/>
        </w:rPr>
        <w:t>Celková alokace prostředků na evropské strukturální a investiční fondy (ERDF, CF a ESF) je oproti současnému VFR 2014-2020 o 4 % vyšší, přičemž u ERDF je zvýšení o 9 % a u ESF o 26 %, naopak u CF je snížení o 38 %.</w:t>
      </w:r>
    </w:p>
    <w:p w:rsidR="009E3B02" w:rsidRPr="009E3B02" w:rsidRDefault="009E3B02" w:rsidP="009E3B02">
      <w:pPr>
        <w:suppressAutoHyphens/>
        <w:autoSpaceDN w:val="0"/>
        <w:spacing w:after="0" w:line="254" w:lineRule="auto"/>
        <w:ind w:left="720"/>
        <w:jc w:val="both"/>
        <w:textAlignment w:val="baseline"/>
        <w:rPr>
          <w:rFonts w:ascii="Times New Roman" w:hAnsi="Times New Roman"/>
          <w:sz w:val="24"/>
        </w:rPr>
      </w:pPr>
      <w:r w:rsidRPr="009E3B02">
        <w:rPr>
          <w:rFonts w:ascii="Times New Roman" w:hAnsi="Times New Roman"/>
          <w:sz w:val="24"/>
        </w:rPr>
        <w:t>Novinkou je návrh Evropské investiční a stabilizační funkce (EISF), která by měla doplnit existující nástroje na národní a evropské úrovni a sloužit k absorbování velkých asymetrických makroekonomických šoků v eurozóně. Rozpočet EU by měl ručit za půjčky v celkové maximální výši 30 mld. EUR a nová EISF by měla subvencovat úrokové míry z příspěvků členských států eurozóny na základě jejich podílu na příjmech z ražebného. EISF by byla otevřena i nečlenským zemím eurozóny v případě, že by se podílely na jejím financování.</w:t>
      </w:r>
    </w:p>
    <w:p w:rsidR="009E3B02" w:rsidRPr="009E3B02" w:rsidRDefault="009E3B02" w:rsidP="009E3B02">
      <w:pPr>
        <w:suppressAutoHyphens/>
        <w:autoSpaceDN w:val="0"/>
        <w:spacing w:after="60" w:line="254" w:lineRule="auto"/>
        <w:ind w:left="720"/>
        <w:jc w:val="both"/>
        <w:textAlignment w:val="baseline"/>
        <w:rPr>
          <w:rFonts w:ascii="Times New Roman" w:hAnsi="Times New Roman"/>
          <w:sz w:val="24"/>
        </w:rPr>
      </w:pPr>
      <w:r w:rsidRPr="009E3B02">
        <w:rPr>
          <w:rFonts w:ascii="Times New Roman" w:hAnsi="Times New Roman"/>
          <w:sz w:val="24"/>
        </w:rPr>
        <w:t>Hlavním kritériem pro rozdělení prostředků mezi členské státy zůstane nadále relativní HDP/obyv. (cca 80% váha), zohledněny však budou i další faktory: nezaměstnanost – zejména mladých, klimatická změna či přijímání/integrace migrantů. Zvýšeno bude národní spolufinancování, znovuzavedeno bude pravidlo pro zrušení závazku n+2 a sníženo by mělo být předfinancování. Cílem je také zefektivnit možnosti kombinace prostředků koheze s jinými programy, mj. sjednocením pravidel či umožněním převodů do jiných nástrojů (např. fond InvestEU v rámci okruhu 1. Jednotný trh, inovace a digitální ekonomika).</w:t>
      </w:r>
    </w:p>
    <w:p w:rsidR="009E3B02" w:rsidRPr="009E3B02" w:rsidRDefault="009E3B02" w:rsidP="009E3B02">
      <w:pPr>
        <w:numPr>
          <w:ilvl w:val="0"/>
          <w:numId w:val="21"/>
        </w:numPr>
        <w:suppressAutoHyphens/>
        <w:autoSpaceDN w:val="0"/>
        <w:spacing w:after="120" w:line="254" w:lineRule="auto"/>
        <w:jc w:val="both"/>
        <w:textAlignment w:val="baseline"/>
        <w:rPr>
          <w:rFonts w:ascii="Times New Roman" w:hAnsi="Times New Roman"/>
          <w:sz w:val="24"/>
        </w:rPr>
      </w:pPr>
      <w:r w:rsidRPr="009E3B02">
        <w:rPr>
          <w:rFonts w:ascii="Times New Roman" w:hAnsi="Times New Roman"/>
          <w:b/>
          <w:sz w:val="24"/>
        </w:rPr>
        <w:t>Přírodní zdroje a životní prostředí</w:t>
      </w:r>
      <w:r w:rsidRPr="009E3B02">
        <w:rPr>
          <w:rFonts w:ascii="Times New Roman" w:hAnsi="Times New Roman"/>
          <w:sz w:val="24"/>
        </w:rPr>
        <w:t xml:space="preserve"> - zemědělství a námořní politika, životní prostředí a oblast klimatu (</w:t>
      </w:r>
      <w:r w:rsidRPr="009E3B02">
        <w:rPr>
          <w:rFonts w:ascii="Times New Roman" w:hAnsi="Times New Roman"/>
          <w:b/>
          <w:sz w:val="24"/>
        </w:rPr>
        <w:t>378,9 mld. EUR v prostředcích na závazky</w:t>
      </w:r>
      <w:r w:rsidRPr="009E3B02">
        <w:rPr>
          <w:rFonts w:ascii="Times New Roman" w:hAnsi="Times New Roman"/>
          <w:sz w:val="24"/>
        </w:rPr>
        <w:t>, 29,6 % VFR 2021-2027).</w:t>
      </w:r>
    </w:p>
    <w:p w:rsidR="009E3B02" w:rsidRPr="009E3B02" w:rsidRDefault="009E3B02" w:rsidP="009E3B02">
      <w:pPr>
        <w:spacing w:after="0" w:line="240" w:lineRule="auto"/>
        <w:ind w:left="709"/>
        <w:jc w:val="both"/>
        <w:rPr>
          <w:rFonts w:ascii="Times New Roman" w:eastAsia="Times New Roman" w:hAnsi="Times New Roman"/>
          <w:sz w:val="24"/>
          <w:szCs w:val="20"/>
          <w:lang w:eastAsia="cs-CZ"/>
        </w:rPr>
      </w:pPr>
      <w:r w:rsidRPr="009E3B02">
        <w:rPr>
          <w:rFonts w:ascii="Times New Roman" w:eastAsia="Times New Roman" w:hAnsi="Times New Roman"/>
          <w:sz w:val="24"/>
          <w:szCs w:val="20"/>
          <w:lang w:eastAsia="cs-CZ"/>
        </w:rPr>
        <w:t>Komise navrhuje reformovanou a modernizovanou společnou zemědělskou politiku, která bude klást větší důraz na ochranu životního prostředí a klimatické změny. Bude i nadále prováděna ve sdíleném řízení a bude rozdělena do dvou pilířů: přímé platby pro zemědělce a rozvoj venkova. Celkový objem prostředků z Evropského zemědělského záručního fondu a Evropského zemědělského fondu pro rozvoj venkova je navržen ve výši 365 mld. EUR, tj. o 4 % méně oproti současnému VFR v běžných cenách. Nový implementační model bude znamenat posun od současné politiky sledování souladu s pravidly k politice orientované na výsledky. Jednotný programovací nástroj Strategický plán Společné zemědělské politiky umožní členským státům větší flexibilitu při výběru opatření odpovídajících jejich potřebám.</w:t>
      </w:r>
    </w:p>
    <w:p w:rsidR="009E3B02" w:rsidRPr="009E3B02" w:rsidRDefault="009E3B02" w:rsidP="009E3B02">
      <w:pPr>
        <w:spacing w:after="0" w:line="240" w:lineRule="auto"/>
        <w:ind w:left="709"/>
        <w:jc w:val="both"/>
        <w:rPr>
          <w:rFonts w:ascii="Times New Roman" w:eastAsia="Times New Roman" w:hAnsi="Times New Roman"/>
          <w:sz w:val="24"/>
          <w:szCs w:val="20"/>
          <w:lang w:eastAsia="cs-CZ"/>
        </w:rPr>
      </w:pPr>
      <w:r w:rsidRPr="009E3B02">
        <w:rPr>
          <w:rFonts w:ascii="Times New Roman" w:eastAsia="Times New Roman" w:hAnsi="Times New Roman"/>
          <w:sz w:val="24"/>
          <w:szCs w:val="20"/>
          <w:lang w:eastAsia="cs-CZ"/>
        </w:rPr>
        <w:t xml:space="preserve">Přímé platby budou mírně redukovány a mezi členskými státy dojde ke konvergenci výše plateb na hektar k průměru EU. Vyrovnanějšího rozdělení přímých plateb na úrovni zemědělských podniků by mělo být dosaženo zavedením povinného zastropování nebo degresivními platbami. Úspory zůstanou v národní obálce a budou moci být využity na rozvoj venkova nebo přerozděleny malým a středním farmám. Ozelenění využívané v minulém programovém období bude nahrazeno začleněním </w:t>
      </w:r>
      <w:r w:rsidRPr="009E3B02">
        <w:rPr>
          <w:rFonts w:ascii="Times New Roman" w:eastAsia="Times New Roman" w:hAnsi="Times New Roman"/>
          <w:sz w:val="24"/>
          <w:szCs w:val="20"/>
          <w:lang w:eastAsia="cs-CZ"/>
        </w:rPr>
        <w:lastRenderedPageBreak/>
        <w:t>plateb na ozelenění, kontrol podmíněnosti a dobrovolných agro-environmentálních opatření do jednotného flexibilního rámce směřujícího k vyšší environmentální a klimatické ochraně. V případě rozvoje venkova Komise navrhne navýšení národního spolufinancování.</w:t>
      </w:r>
    </w:p>
    <w:p w:rsidR="009E3B02" w:rsidRPr="009E3B02" w:rsidRDefault="009E3B02" w:rsidP="009E3B02">
      <w:pPr>
        <w:spacing w:after="0" w:line="240" w:lineRule="auto"/>
        <w:ind w:left="709"/>
        <w:jc w:val="both"/>
        <w:rPr>
          <w:rFonts w:ascii="Times New Roman" w:eastAsia="Times New Roman" w:hAnsi="Times New Roman"/>
          <w:sz w:val="24"/>
          <w:szCs w:val="20"/>
          <w:lang w:eastAsia="cs-CZ"/>
        </w:rPr>
      </w:pPr>
      <w:r w:rsidRPr="009E3B02">
        <w:rPr>
          <w:rFonts w:ascii="Times New Roman" w:eastAsia="Times New Roman" w:hAnsi="Times New Roman"/>
          <w:sz w:val="24"/>
          <w:szCs w:val="20"/>
          <w:lang w:eastAsia="cs-CZ"/>
        </w:rPr>
        <w:t>Evropský námořní a rybářský fond s objemem 6,1 mld. EUR (pokles o 17 % oproti současnému VFR) bude nadále podporovat udržitelný rybářský sektor a komunity žijící v pobřežních oblastech. Program na ochranu životního prostředí a klimatické akce LIFE bude posílen na 5,5 mld. EUR (zvýšení o 58 % oproti VFR 2014-2020).</w:t>
      </w:r>
    </w:p>
    <w:p w:rsidR="009E3B02" w:rsidRPr="009E3B02" w:rsidRDefault="009E3B02" w:rsidP="009E3B02">
      <w:pPr>
        <w:spacing w:after="60" w:line="240" w:lineRule="auto"/>
        <w:ind w:left="709"/>
        <w:jc w:val="both"/>
        <w:rPr>
          <w:rFonts w:ascii="Times New Roman" w:eastAsia="Times New Roman" w:hAnsi="Times New Roman"/>
          <w:sz w:val="24"/>
          <w:szCs w:val="20"/>
          <w:lang w:eastAsia="cs-CZ"/>
        </w:rPr>
      </w:pPr>
      <w:r w:rsidRPr="009E3B02">
        <w:rPr>
          <w:rFonts w:ascii="Times New Roman" w:eastAsia="Times New Roman" w:hAnsi="Times New Roman"/>
          <w:sz w:val="24"/>
          <w:szCs w:val="20"/>
          <w:lang w:eastAsia="cs-CZ"/>
        </w:rPr>
        <w:t>Nad rámec alokace v okruhu 3 se předpokládá využití 10 mld. EUR v programu Horizont Evropa na podporu výzkumu a inovací v zemědělství.</w:t>
      </w:r>
    </w:p>
    <w:p w:rsidR="009E3B02" w:rsidRPr="009E3B02" w:rsidRDefault="009E3B02" w:rsidP="009E3B02">
      <w:pPr>
        <w:numPr>
          <w:ilvl w:val="0"/>
          <w:numId w:val="21"/>
        </w:numPr>
        <w:suppressAutoHyphens/>
        <w:autoSpaceDN w:val="0"/>
        <w:spacing w:after="60" w:line="254" w:lineRule="auto"/>
        <w:ind w:left="714" w:hanging="357"/>
        <w:jc w:val="both"/>
        <w:textAlignment w:val="baseline"/>
        <w:rPr>
          <w:rFonts w:ascii="Times New Roman" w:hAnsi="Times New Roman"/>
          <w:sz w:val="24"/>
        </w:rPr>
      </w:pPr>
      <w:r w:rsidRPr="009E3B02">
        <w:rPr>
          <w:rFonts w:ascii="Times New Roman" w:hAnsi="Times New Roman"/>
          <w:b/>
          <w:sz w:val="24"/>
        </w:rPr>
        <w:t>Migrace a správa hranic</w:t>
      </w:r>
      <w:r w:rsidRPr="009E3B02">
        <w:rPr>
          <w:rFonts w:ascii="Times New Roman" w:hAnsi="Times New Roman"/>
          <w:sz w:val="24"/>
        </w:rPr>
        <w:t xml:space="preserve"> (</w:t>
      </w:r>
      <w:r w:rsidRPr="009E3B02">
        <w:rPr>
          <w:rFonts w:ascii="Times New Roman" w:hAnsi="Times New Roman"/>
          <w:b/>
          <w:sz w:val="24"/>
        </w:rPr>
        <w:t>34,9 mld. EUR v prostředcích na závazky</w:t>
      </w:r>
      <w:r w:rsidRPr="009E3B02">
        <w:rPr>
          <w:rFonts w:ascii="Times New Roman" w:hAnsi="Times New Roman"/>
          <w:sz w:val="24"/>
        </w:rPr>
        <w:t>, 2,7 % VFR 2021-2027). Komise navrhuje zvýšit podporu na posílení vnějších hranic EU, zdokonalit azylový systém v Unii a posílit řízení a dlouhodobou integraci migrantů. Nový integrovaný Fond na řízení hranic o objemu 9,3 mld. EUR (trojnásobný nárůst oproti VFR 2014-2020) poskytne financování v oblastech řízení hranic, víz a celních kontrol. Azylový a migrační fond bude posílen na 10,4 mld. EUR (tj. na trojnásobek oproti VFR 2014-2020) a podpoří práci národních úřadů v přijímání žadatelů o azyl bezprostředně po jejich příchodu na území EU. Zároveň zajistí vytváření společné azylové a migrační politiky a efektivní navrácení do zemí původu. Evropská pohraniční a pobřežní stráž (FRONTEX) má být tvořena stálým sborem přibližně 10 000 příslušníků a zároveň poskytovat finanční podporu a školení pro národní složky pohraniční kontroly v členských státech.</w:t>
      </w:r>
    </w:p>
    <w:p w:rsidR="009E3B02" w:rsidRPr="009E3B02" w:rsidRDefault="009E3B02" w:rsidP="009E3B02">
      <w:pPr>
        <w:numPr>
          <w:ilvl w:val="0"/>
          <w:numId w:val="21"/>
        </w:numPr>
        <w:suppressAutoHyphens/>
        <w:autoSpaceDN w:val="0"/>
        <w:spacing w:after="60" w:line="254" w:lineRule="auto"/>
        <w:ind w:left="714" w:hanging="357"/>
        <w:jc w:val="both"/>
        <w:textAlignment w:val="baseline"/>
        <w:rPr>
          <w:rFonts w:ascii="Times New Roman" w:hAnsi="Times New Roman"/>
          <w:sz w:val="24"/>
        </w:rPr>
      </w:pPr>
      <w:r w:rsidRPr="009E3B02">
        <w:rPr>
          <w:rFonts w:ascii="Times New Roman" w:hAnsi="Times New Roman"/>
          <w:b/>
          <w:sz w:val="24"/>
        </w:rPr>
        <w:t>Bezpečnost a obrana</w:t>
      </w:r>
      <w:r w:rsidRPr="009E3B02">
        <w:rPr>
          <w:rFonts w:ascii="Times New Roman" w:hAnsi="Times New Roman"/>
          <w:sz w:val="24"/>
        </w:rPr>
        <w:t xml:space="preserve"> - bezpečnost, obrana, reakce na krizi (</w:t>
      </w:r>
      <w:r w:rsidRPr="009E3B02">
        <w:rPr>
          <w:rFonts w:ascii="Times New Roman" w:hAnsi="Times New Roman"/>
          <w:b/>
          <w:sz w:val="24"/>
        </w:rPr>
        <w:t>27,5 mld. EUR v prostředcích na závazky</w:t>
      </w:r>
      <w:r w:rsidRPr="009E3B02">
        <w:rPr>
          <w:rFonts w:ascii="Times New Roman" w:hAnsi="Times New Roman"/>
          <w:sz w:val="24"/>
        </w:rPr>
        <w:t>, 2,2 % VFR 2021-2027). Nástroje v tomto okruhu reagují na výzvy ohrožující vnitřní i vnější bezpečnost členských států. Komise navrhuje přidělit Fondu vnitřní bezpečnosti 2,5 mld. EUR, což je dvojnásobek oproti současnému VFR 2014-2020. Fond by měl investovat do společných systémů a sítí pro efektivní spolupráci mezi národními úřady. Komise dále navrhuje posílit agenturu Evropské unie pro spolupráci v oblasti prosazování práva (Europol), čímž se zlepší její schopnost napomáhat práci vnitrostátních orgánů a zajišťovat evropskou reakci na bezpečnostní hrozby. Dále bude pokračováno v poskytování přesně cílené finanční podpory pro vyřazování jaderných zařízení z provozu a bezpečnost jaderných činností v některých členských státech (Litva, Bulharsko a Slovensko), jakož i vlastních jaderných zařízení Unie. V oblasti rozvoje obranných kapacit podpoří Evropská unie spolupráci členských států díky Evropskému obrannému fondu o objemu 13 mld. EUR (22–ti násobný nárůst oproti VFR 2014-2020). Ten bude investovat do společných akcí ve všech fázích průmyslového vývoje počínaje výzkumem. Pro rychlou reakci na neočekávané události Komise navrhuje navýšení zdrojů v Mechanismu civilní ochrany, rozšířenou Rezervu na pomoc při mimořádných událostech a vytvoření nealokovaných rezerv v některých programech.</w:t>
      </w:r>
    </w:p>
    <w:p w:rsidR="009E3B02" w:rsidRPr="009E3B02" w:rsidRDefault="009E3B02" w:rsidP="009E3B02">
      <w:pPr>
        <w:numPr>
          <w:ilvl w:val="0"/>
          <w:numId w:val="21"/>
        </w:numPr>
        <w:suppressAutoHyphens/>
        <w:autoSpaceDN w:val="0"/>
        <w:spacing w:after="0" w:line="254" w:lineRule="auto"/>
        <w:jc w:val="both"/>
        <w:textAlignment w:val="baseline"/>
        <w:rPr>
          <w:rFonts w:ascii="Times New Roman" w:hAnsi="Times New Roman"/>
          <w:sz w:val="24"/>
        </w:rPr>
      </w:pPr>
      <w:r w:rsidRPr="009E3B02">
        <w:rPr>
          <w:rFonts w:ascii="Times New Roman" w:hAnsi="Times New Roman"/>
          <w:b/>
          <w:sz w:val="24"/>
        </w:rPr>
        <w:t>Sousedství a svět</w:t>
      </w:r>
      <w:r w:rsidRPr="009E3B02">
        <w:rPr>
          <w:rFonts w:ascii="Times New Roman" w:hAnsi="Times New Roman"/>
          <w:sz w:val="24"/>
        </w:rPr>
        <w:t xml:space="preserve"> - vnější akce, předvstupní pomoc (</w:t>
      </w:r>
      <w:r w:rsidRPr="009E3B02">
        <w:rPr>
          <w:rFonts w:ascii="Times New Roman" w:hAnsi="Times New Roman"/>
          <w:b/>
          <w:sz w:val="24"/>
        </w:rPr>
        <w:t>123 mld. EUR v prostředcích na závazky</w:t>
      </w:r>
      <w:r w:rsidRPr="009E3B02">
        <w:rPr>
          <w:rFonts w:ascii="Times New Roman" w:hAnsi="Times New Roman"/>
          <w:sz w:val="24"/>
        </w:rPr>
        <w:t xml:space="preserve">, 9,6 % VFR 2021-2027). Komise v tomto okruhu navrhuje zásadní restrukturalizaci nástrojů vnější akce v sousedních, rozvojových a ostatních zemích. Většina stávajících nástrojů bude sloučena do jediného Nástroje sousedství, rozvojové a mezinárodní spolupráce s celkovým rozpočtem 89,5 mld. EUR (narůst oproti VFR 2014-2020 po zahrnutí Evropského rozvojového fondu odpovídá 27 %), který bude obsahovat ohraničené rozpočtové alokace pro jednotlivé geografické oblasti. Do nového nástroje bude včleněn rovněž Evropský rozvojový fond stojící dosud mimo rozpočet </w:t>
      </w:r>
      <w:r w:rsidRPr="009E3B02">
        <w:rPr>
          <w:rFonts w:ascii="Times New Roman" w:hAnsi="Times New Roman"/>
          <w:sz w:val="24"/>
        </w:rPr>
        <w:lastRenderedPageBreak/>
        <w:t>EU. Zároveň nová architektura financování umožní využívání dodatečných zdrojů od ostatních dárců a soukromého sektoru. Samostatně stojící bude Nástroj pro předvstupní pomoc o objemu 14,5 mld. EUR a Nástroj humanitární pomoci o objemu 11 mld. EUR (zvýšení o 66 % oproti VFR 2014-2020) na pomoc EU v oblastech zasažených krizí. Společná bezpečnostní a obranná politika bude nadále financovat společné mise reagující na zahraniční konflikty a krize.</w:t>
      </w:r>
    </w:p>
    <w:p w:rsidR="009E3B02" w:rsidRPr="009E3B02" w:rsidRDefault="009E3B02" w:rsidP="009E3B02">
      <w:pPr>
        <w:suppressAutoHyphens/>
        <w:autoSpaceDN w:val="0"/>
        <w:spacing w:after="120" w:line="254" w:lineRule="auto"/>
        <w:ind w:left="720"/>
        <w:jc w:val="both"/>
        <w:textAlignment w:val="baseline"/>
        <w:rPr>
          <w:rFonts w:ascii="Times New Roman" w:hAnsi="Times New Roman"/>
          <w:sz w:val="24"/>
        </w:rPr>
      </w:pPr>
      <w:r w:rsidRPr="009E3B02">
        <w:rPr>
          <w:rFonts w:ascii="Times New Roman" w:hAnsi="Times New Roman"/>
          <w:sz w:val="24"/>
        </w:rPr>
        <w:t>Unijní akce přispívající k prevenci krizí a znovuobnovení míru, které není možné kvůli omezením v zakladatelských smlouvách financovat z rozpočtu EU, budou financovány z mimorozpočtového Evropského mírového nástroje.</w:t>
      </w:r>
    </w:p>
    <w:p w:rsidR="009E3B02" w:rsidRPr="009E3B02" w:rsidRDefault="009E3B02" w:rsidP="009E3B02">
      <w:pPr>
        <w:numPr>
          <w:ilvl w:val="0"/>
          <w:numId w:val="21"/>
        </w:numPr>
        <w:suppressAutoHyphens/>
        <w:autoSpaceDN w:val="0"/>
        <w:spacing w:after="120" w:line="254" w:lineRule="auto"/>
        <w:ind w:left="714" w:hanging="357"/>
        <w:jc w:val="both"/>
        <w:textAlignment w:val="baseline"/>
        <w:rPr>
          <w:rFonts w:ascii="Times New Roman" w:hAnsi="Times New Roman"/>
          <w:sz w:val="24"/>
        </w:rPr>
      </w:pPr>
      <w:r w:rsidRPr="009E3B02">
        <w:rPr>
          <w:rFonts w:ascii="Times New Roman" w:hAnsi="Times New Roman"/>
          <w:b/>
          <w:sz w:val="24"/>
        </w:rPr>
        <w:t>Evropská veřejná správa</w:t>
      </w:r>
      <w:r w:rsidRPr="009E3B02">
        <w:rPr>
          <w:rFonts w:ascii="Times New Roman" w:hAnsi="Times New Roman"/>
          <w:sz w:val="24"/>
        </w:rPr>
        <w:t xml:space="preserve"> - administrativní výdaje, výdaje na důchody a evropské školy (</w:t>
      </w:r>
      <w:r w:rsidRPr="009E3B02">
        <w:rPr>
          <w:rFonts w:ascii="Times New Roman" w:hAnsi="Times New Roman"/>
          <w:b/>
          <w:sz w:val="24"/>
        </w:rPr>
        <w:t>85,3 mld. EUR v prostředcích na závazky</w:t>
      </w:r>
      <w:r w:rsidRPr="009E3B02">
        <w:rPr>
          <w:rFonts w:ascii="Times New Roman" w:hAnsi="Times New Roman"/>
          <w:sz w:val="24"/>
        </w:rPr>
        <w:t>, 6,7 % VFR 2021-2027). Komise navrhuje zachovat podíl správních výdajů na úrovni roku 2020, to je 6,7 % celkového víceletého finančního rámce.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 xml:space="preserve">Dále </w:t>
      </w:r>
      <w:r w:rsidRPr="009E3B02">
        <w:rPr>
          <w:rFonts w:ascii="Times New Roman" w:hAnsi="Times New Roman"/>
          <w:b/>
          <w:sz w:val="24"/>
        </w:rPr>
        <w:t>Komise mimo stropy víceletého finančního rámce 2021-2027 navrhuje následující nástroje</w:t>
      </w:r>
      <w:r w:rsidRPr="009E3B02">
        <w:rPr>
          <w:rFonts w:ascii="Times New Roman" w:hAnsi="Times New Roman"/>
          <w:sz w:val="24"/>
        </w:rPr>
        <w:t>:</w:t>
      </w:r>
    </w:p>
    <w:p w:rsidR="009E3B02" w:rsidRPr="009E3B02" w:rsidRDefault="009E3B02" w:rsidP="009E3B02">
      <w:pPr>
        <w:numPr>
          <w:ilvl w:val="0"/>
          <w:numId w:val="22"/>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Rezerva na pomoc při mimořádných událostech (4 734 mil. EUR v běžných cenách);</w:t>
      </w:r>
    </w:p>
    <w:p w:rsidR="009E3B02" w:rsidRPr="009E3B02" w:rsidRDefault="009E3B02" w:rsidP="009E3B02">
      <w:pPr>
        <w:numPr>
          <w:ilvl w:val="0"/>
          <w:numId w:val="22"/>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Fond solidarity EU (4 734 mil. EUR v běžných cenách);</w:t>
      </w:r>
    </w:p>
    <w:p w:rsidR="009E3B02" w:rsidRPr="009E3B02" w:rsidRDefault="009E3B02" w:rsidP="009E3B02">
      <w:pPr>
        <w:numPr>
          <w:ilvl w:val="0"/>
          <w:numId w:val="22"/>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Evropský fond pro přizpůsobení se globalizaci (1 578 mil. EUR v běžných cenách);</w:t>
      </w:r>
    </w:p>
    <w:p w:rsidR="009E3B02" w:rsidRPr="009E3B02" w:rsidRDefault="009E3B02" w:rsidP="009E3B02">
      <w:pPr>
        <w:numPr>
          <w:ilvl w:val="0"/>
          <w:numId w:val="22"/>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Nástroj pružnosti (7 889 mil. EUR v běžných cenách);</w:t>
      </w:r>
    </w:p>
    <w:p w:rsidR="009E3B02" w:rsidRPr="009E3B02" w:rsidRDefault="009E3B02" w:rsidP="009E3B02">
      <w:pPr>
        <w:numPr>
          <w:ilvl w:val="0"/>
          <w:numId w:val="22"/>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Evropská funkce investiční stabilizace;</w:t>
      </w:r>
    </w:p>
    <w:p w:rsidR="009E3B02" w:rsidRPr="009E3B02" w:rsidRDefault="009E3B02" w:rsidP="009E3B02">
      <w:pPr>
        <w:numPr>
          <w:ilvl w:val="0"/>
          <w:numId w:val="22"/>
        </w:numPr>
        <w:suppressAutoHyphens/>
        <w:autoSpaceDN w:val="0"/>
        <w:spacing w:after="0" w:line="254" w:lineRule="auto"/>
        <w:ind w:left="692" w:hanging="357"/>
        <w:jc w:val="both"/>
        <w:textAlignment w:val="baseline"/>
        <w:rPr>
          <w:rFonts w:ascii="Times New Roman" w:hAnsi="Times New Roman"/>
          <w:sz w:val="24"/>
        </w:rPr>
      </w:pPr>
      <w:r w:rsidRPr="009E3B02">
        <w:rPr>
          <w:rFonts w:ascii="Times New Roman" w:hAnsi="Times New Roman"/>
          <w:sz w:val="24"/>
        </w:rPr>
        <w:t>Evropský mírový nástroj (10 500 mil. EUR v běžných cenách).</w:t>
      </w:r>
    </w:p>
    <w:p w:rsidR="009E3B02" w:rsidRPr="009E3B02" w:rsidRDefault="009E3B02" w:rsidP="009E3B02">
      <w:pPr>
        <w:spacing w:after="120" w:line="240" w:lineRule="auto"/>
        <w:jc w:val="both"/>
        <w:rPr>
          <w:rFonts w:ascii="Times New Roman" w:hAnsi="Times New Roman"/>
          <w:sz w:val="24"/>
        </w:rPr>
      </w:pPr>
      <w:r w:rsidRPr="009E3B02">
        <w:rPr>
          <w:rFonts w:ascii="Times New Roman" w:hAnsi="Times New Roman"/>
          <w:sz w:val="24"/>
        </w:rPr>
        <w:t>Tyto nástroje umožní, aby byly do rozpočtu EU začleněny dodatečné finanční prostředky nad rámec stropů stanovených ve víceletém finančním rámci. Komise navrhuje, aby se v příslušných případech rozšířila působnost těchto nástrojů, například tím, že se umožní čerpání rezervy na pomoc při mimořádných událostech pro případ mimořádných událostí uvnitř EU. Komise rovněž navrhuje zjednodušit postupy pro uvolnění prostředků z těchto nástrojů a zvýšit objem nástroje pružnosti na 1 miliardu EUR (v cenách roku 2018) ročně.</w:t>
      </w:r>
    </w:p>
    <w:p w:rsidR="009E3B02" w:rsidRPr="009E3B02" w:rsidRDefault="009E3B02" w:rsidP="009E3B02">
      <w:pPr>
        <w:spacing w:after="120" w:line="240" w:lineRule="auto"/>
        <w:jc w:val="both"/>
        <w:rPr>
          <w:rFonts w:ascii="Times New Roman" w:hAnsi="Times New Roman"/>
          <w:sz w:val="24"/>
        </w:rPr>
      </w:pPr>
      <w:r w:rsidRPr="009E3B02">
        <w:rPr>
          <w:rFonts w:ascii="Times New Roman" w:hAnsi="Times New Roman"/>
          <w:b/>
          <w:sz w:val="24"/>
        </w:rPr>
        <w:t>Komise navrhuje modernizovat a zjednodušit stávající systém vlastních zdrojů a diverzifikovat zdroje příjmů</w:t>
      </w:r>
      <w:r w:rsidRPr="009E3B02">
        <w:rPr>
          <w:rFonts w:ascii="Times New Roman" w:hAnsi="Times New Roman"/>
          <w:sz w:val="24"/>
        </w:rPr>
        <w:t>. Komise pro Víceletý finanční rámec EU 2021-2027 navrhuje:</w:t>
      </w:r>
    </w:p>
    <w:p w:rsidR="009E3B02" w:rsidRPr="009E3B02" w:rsidRDefault="009E3B02" w:rsidP="009E3B02">
      <w:pPr>
        <w:spacing w:after="0" w:line="240" w:lineRule="auto"/>
        <w:ind w:left="709"/>
        <w:jc w:val="both"/>
        <w:rPr>
          <w:rFonts w:ascii="Times New Roman" w:hAnsi="Times New Roman"/>
          <w:sz w:val="24"/>
        </w:rPr>
      </w:pPr>
      <w:r w:rsidRPr="009E3B02">
        <w:rPr>
          <w:rFonts w:ascii="Times New Roman" w:hAnsi="Times New Roman"/>
          <w:sz w:val="24"/>
        </w:rPr>
        <w:t>a)</w:t>
      </w:r>
      <w:r w:rsidRPr="009E3B02">
        <w:rPr>
          <w:rFonts w:ascii="Times New Roman" w:hAnsi="Times New Roman"/>
          <w:sz w:val="24"/>
        </w:rPr>
        <w:tab/>
      </w:r>
      <w:r w:rsidRPr="009E3B02">
        <w:rPr>
          <w:rFonts w:ascii="Times New Roman" w:hAnsi="Times New Roman"/>
          <w:b/>
          <w:sz w:val="24"/>
        </w:rPr>
        <w:t>modernizaci stávajících vlastních zdrojů</w:t>
      </w:r>
      <w:r w:rsidRPr="009E3B02">
        <w:rPr>
          <w:rFonts w:ascii="Times New Roman" w:hAnsi="Times New Roman"/>
          <w:sz w:val="24"/>
        </w:rPr>
        <w:t>:</w:t>
      </w:r>
    </w:p>
    <w:p w:rsidR="009E3B02" w:rsidRPr="009E3B02" w:rsidRDefault="009E3B02" w:rsidP="009E3B02">
      <w:pPr>
        <w:keepNext/>
        <w:keepLines/>
        <w:numPr>
          <w:ilvl w:val="0"/>
          <w:numId w:val="23"/>
        </w:numPr>
        <w:suppressAutoHyphens/>
        <w:autoSpaceDN w:val="0"/>
        <w:spacing w:after="0" w:line="254" w:lineRule="auto"/>
        <w:ind w:left="1775" w:hanging="357"/>
        <w:jc w:val="both"/>
        <w:textAlignment w:val="baseline"/>
        <w:rPr>
          <w:rFonts w:ascii="Times New Roman" w:hAnsi="Times New Roman"/>
          <w:sz w:val="24"/>
        </w:rPr>
      </w:pPr>
      <w:r w:rsidRPr="009E3B02">
        <w:rPr>
          <w:rFonts w:ascii="Times New Roman" w:hAnsi="Times New Roman"/>
          <w:sz w:val="24"/>
        </w:rPr>
        <w:t>tím, že se v EU zachovají cla jakožto tradiční vlastní zdroje, ale procentní podíl, který si členské státy ponechávají jako „náklady na výběr“ se sníží z 20 % na 10 %;</w:t>
      </w:r>
    </w:p>
    <w:p w:rsidR="009E3B02" w:rsidRPr="009E3B02" w:rsidRDefault="009E3B02" w:rsidP="009E3B02">
      <w:pPr>
        <w:keepNext/>
        <w:keepLines/>
        <w:numPr>
          <w:ilvl w:val="0"/>
          <w:numId w:val="23"/>
        </w:numPr>
        <w:suppressAutoHyphens/>
        <w:autoSpaceDN w:val="0"/>
        <w:spacing w:after="0" w:line="254" w:lineRule="auto"/>
        <w:ind w:left="1775" w:hanging="357"/>
        <w:jc w:val="both"/>
        <w:textAlignment w:val="baseline"/>
        <w:rPr>
          <w:rFonts w:ascii="Times New Roman" w:hAnsi="Times New Roman"/>
          <w:sz w:val="24"/>
        </w:rPr>
      </w:pPr>
      <w:r w:rsidRPr="009E3B02">
        <w:rPr>
          <w:rFonts w:ascii="Times New Roman" w:hAnsi="Times New Roman"/>
          <w:sz w:val="24"/>
        </w:rPr>
        <w:t>tím, že se zachová vlastní zdroj z hrubého národního důchodu (HND), který bude nadále fungovat jako vyrovnávací zdroj;</w:t>
      </w:r>
    </w:p>
    <w:p w:rsidR="009E3B02" w:rsidRPr="009E3B02" w:rsidRDefault="009E3B02" w:rsidP="009E3B02">
      <w:pPr>
        <w:keepNext/>
        <w:keepLines/>
        <w:numPr>
          <w:ilvl w:val="0"/>
          <w:numId w:val="23"/>
        </w:numPr>
        <w:suppressAutoHyphens/>
        <w:autoSpaceDN w:val="0"/>
        <w:spacing w:after="0" w:line="254" w:lineRule="auto"/>
        <w:ind w:left="1775" w:hanging="357"/>
        <w:jc w:val="both"/>
        <w:textAlignment w:val="baseline"/>
        <w:rPr>
          <w:rFonts w:ascii="Times New Roman" w:hAnsi="Times New Roman"/>
          <w:sz w:val="24"/>
        </w:rPr>
      </w:pPr>
      <w:r w:rsidRPr="009E3B02">
        <w:rPr>
          <w:rFonts w:ascii="Times New Roman" w:hAnsi="Times New Roman"/>
          <w:sz w:val="24"/>
        </w:rPr>
        <w:t>tím, že se zjednoduší základ daně z přidané hodnoty (DPH) pro účely výpočtu vlastního zdroje tak, aby vycházel pouze z příspěvků zatížených základní sazbou DPH. Vlastní zdroj založený na DPH by mohl dle Komise přinést do rozpočtu EU 25 mld. EUR ročně;</w:t>
      </w:r>
    </w:p>
    <w:p w:rsidR="009E3B02" w:rsidRPr="009E3B02" w:rsidRDefault="009E3B02" w:rsidP="009E3B02">
      <w:pPr>
        <w:spacing w:after="0" w:line="240" w:lineRule="auto"/>
        <w:ind w:left="709"/>
        <w:jc w:val="both"/>
        <w:rPr>
          <w:rFonts w:ascii="Times New Roman" w:hAnsi="Times New Roman"/>
          <w:sz w:val="24"/>
        </w:rPr>
      </w:pPr>
      <w:r w:rsidRPr="009E3B02">
        <w:rPr>
          <w:rFonts w:ascii="Times New Roman" w:hAnsi="Times New Roman"/>
          <w:sz w:val="24"/>
        </w:rPr>
        <w:br w:type="page"/>
      </w:r>
    </w:p>
    <w:p w:rsidR="009E3B02" w:rsidRPr="009E3B02" w:rsidRDefault="009E3B02" w:rsidP="009E3B02">
      <w:pPr>
        <w:spacing w:after="0" w:line="240" w:lineRule="auto"/>
        <w:ind w:left="709"/>
        <w:jc w:val="both"/>
        <w:rPr>
          <w:rFonts w:ascii="Times New Roman" w:hAnsi="Times New Roman"/>
          <w:sz w:val="24"/>
        </w:rPr>
      </w:pPr>
      <w:r w:rsidRPr="009E3B02">
        <w:rPr>
          <w:rFonts w:ascii="Times New Roman" w:hAnsi="Times New Roman"/>
          <w:sz w:val="24"/>
        </w:rPr>
        <w:lastRenderedPageBreak/>
        <w:t>b)</w:t>
      </w:r>
      <w:r w:rsidRPr="009E3B02">
        <w:rPr>
          <w:rFonts w:ascii="Times New Roman" w:hAnsi="Times New Roman"/>
          <w:sz w:val="24"/>
        </w:rPr>
        <w:tab/>
      </w:r>
      <w:r w:rsidRPr="009E3B02">
        <w:rPr>
          <w:rFonts w:ascii="Times New Roman" w:hAnsi="Times New Roman"/>
          <w:b/>
          <w:sz w:val="24"/>
        </w:rPr>
        <w:t>zavedení souboru nových vlastních zdrojů</w:t>
      </w:r>
      <w:r w:rsidRPr="009E3B02">
        <w:rPr>
          <w:rFonts w:ascii="Times New Roman" w:hAnsi="Times New Roman"/>
          <w:sz w:val="24"/>
        </w:rPr>
        <w:t>, k nimž patří:</w:t>
      </w:r>
    </w:p>
    <w:p w:rsidR="009E3B02" w:rsidRPr="009E3B02" w:rsidRDefault="009E3B02" w:rsidP="009E3B02">
      <w:pPr>
        <w:keepNext/>
        <w:keepLines/>
        <w:numPr>
          <w:ilvl w:val="0"/>
          <w:numId w:val="24"/>
        </w:numPr>
        <w:suppressAutoHyphens/>
        <w:autoSpaceDN w:val="0"/>
        <w:spacing w:after="0" w:line="254" w:lineRule="auto"/>
        <w:ind w:left="1775" w:hanging="357"/>
        <w:jc w:val="both"/>
        <w:textAlignment w:val="baseline"/>
        <w:rPr>
          <w:rFonts w:ascii="Times New Roman" w:hAnsi="Times New Roman"/>
          <w:sz w:val="24"/>
        </w:rPr>
      </w:pPr>
      <w:r w:rsidRPr="009E3B02">
        <w:rPr>
          <w:rFonts w:ascii="Times New Roman" w:hAnsi="Times New Roman"/>
          <w:b/>
          <w:sz w:val="24"/>
        </w:rPr>
        <w:t>3 % sazba uplatňovaná na nový společný konsolidovaný základ daně z příjmů právnických osob</w:t>
      </w:r>
      <w:r w:rsidRPr="009E3B02">
        <w:rPr>
          <w:rFonts w:ascii="Times New Roman" w:hAnsi="Times New Roman"/>
          <w:sz w:val="24"/>
        </w:rPr>
        <w:t>. Nový vlastní zdroj založený na společném konsolidovaném základu daně z příjmů právnických osob by mohl dle Komise přinést do rozpočtu EU 12 miliard EUR ročně (po zavedení společného konsolidovaného základu daně z příjmů právnických osob);</w:t>
      </w:r>
    </w:p>
    <w:p w:rsidR="009E3B02" w:rsidRPr="009E3B02" w:rsidRDefault="009E3B02" w:rsidP="009E3B02">
      <w:pPr>
        <w:keepNext/>
        <w:keepLines/>
        <w:numPr>
          <w:ilvl w:val="0"/>
          <w:numId w:val="24"/>
        </w:numPr>
        <w:suppressAutoHyphens/>
        <w:autoSpaceDN w:val="0"/>
        <w:spacing w:after="0" w:line="254" w:lineRule="auto"/>
        <w:ind w:left="1775" w:hanging="357"/>
        <w:jc w:val="both"/>
        <w:textAlignment w:val="baseline"/>
        <w:rPr>
          <w:rFonts w:ascii="Times New Roman" w:hAnsi="Times New Roman"/>
          <w:sz w:val="24"/>
        </w:rPr>
      </w:pPr>
      <w:r w:rsidRPr="009E3B02">
        <w:rPr>
          <w:rFonts w:ascii="Times New Roman" w:hAnsi="Times New Roman"/>
          <w:b/>
          <w:sz w:val="24"/>
        </w:rPr>
        <w:t>20 % podíl z výnosů z dražeb v rámci systému EU pro obchodování s emisemi</w:t>
      </w:r>
      <w:r w:rsidRPr="009E3B02">
        <w:rPr>
          <w:rFonts w:ascii="Times New Roman" w:hAnsi="Times New Roman"/>
          <w:sz w:val="24"/>
        </w:rPr>
        <w:t xml:space="preserve"> (mechanismy pro ochranu a rovnost, které jsou součástí systému obchodování s emisemi, tím nebudou dotčeny). Tento nový vlastní zdroj by mohl dle Komise přinést do rozpočtu EU 3 miliardy EUR ročně (v závislosti na cenách uhlíku, a aniž jsou tím tyto ceny dotčeny);</w:t>
      </w:r>
    </w:p>
    <w:p w:rsidR="009E3B02" w:rsidRPr="009E3B02" w:rsidRDefault="009E3B02" w:rsidP="009E3B02">
      <w:pPr>
        <w:keepNext/>
        <w:keepLines/>
        <w:numPr>
          <w:ilvl w:val="0"/>
          <w:numId w:val="24"/>
        </w:numPr>
        <w:suppressAutoHyphens/>
        <w:autoSpaceDN w:val="0"/>
        <w:spacing w:after="0" w:line="254" w:lineRule="auto"/>
        <w:ind w:left="1775" w:hanging="357"/>
        <w:jc w:val="both"/>
        <w:textAlignment w:val="baseline"/>
        <w:rPr>
          <w:rFonts w:ascii="Times New Roman" w:hAnsi="Times New Roman"/>
          <w:sz w:val="24"/>
        </w:rPr>
      </w:pPr>
      <w:r w:rsidRPr="009E3B02">
        <w:rPr>
          <w:rFonts w:ascii="Times New Roman" w:hAnsi="Times New Roman"/>
          <w:b/>
          <w:sz w:val="24"/>
        </w:rPr>
        <w:t>příspěvek členských států vypočítaný na základě množství nerecyklovaných plastových obalových odpadů v každém členském státě</w:t>
      </w:r>
      <w:r w:rsidRPr="009E3B02">
        <w:rPr>
          <w:rFonts w:ascii="Times New Roman" w:hAnsi="Times New Roman"/>
          <w:sz w:val="24"/>
        </w:rPr>
        <w:t xml:space="preserve">. Tento vlastní zdroj nevychází z daní, ale z příspěvků členských států stanovených na základě hledisek ochrany životního prostředí. Příspěvek členských států se vypočítá z množství plastových obalových odpadů, které nebyly recyklovány, jak byly nahlášeny podle směrnice o odpadech. Dle Komise by mohl tento příspěvek přinést do rozpočtu EU 7 miliard EUR ročně při </w:t>
      </w:r>
      <w:r w:rsidRPr="009E3B02">
        <w:rPr>
          <w:rFonts w:ascii="Times New Roman" w:hAnsi="Times New Roman"/>
          <w:b/>
          <w:sz w:val="24"/>
        </w:rPr>
        <w:t>uplatnění sazby 0,80 EUR/kg</w:t>
      </w:r>
      <w:r w:rsidRPr="009E3B02">
        <w:rPr>
          <w:rFonts w:ascii="Times New Roman" w:hAnsi="Times New Roman"/>
          <w:sz w:val="24"/>
        </w:rPr>
        <w:t>;</w:t>
      </w:r>
    </w:p>
    <w:p w:rsidR="009E3B02" w:rsidRPr="009E3B02" w:rsidRDefault="009E3B02" w:rsidP="009E3B02">
      <w:pPr>
        <w:spacing w:after="0" w:line="240" w:lineRule="auto"/>
        <w:ind w:left="709"/>
        <w:jc w:val="both"/>
        <w:rPr>
          <w:rFonts w:ascii="Times New Roman" w:hAnsi="Times New Roman"/>
          <w:sz w:val="24"/>
        </w:rPr>
      </w:pPr>
      <w:r w:rsidRPr="009E3B02">
        <w:rPr>
          <w:rFonts w:ascii="Times New Roman" w:hAnsi="Times New Roman"/>
          <w:sz w:val="24"/>
        </w:rPr>
        <w:t>c)</w:t>
      </w:r>
      <w:r w:rsidRPr="009E3B02">
        <w:rPr>
          <w:rFonts w:ascii="Times New Roman" w:hAnsi="Times New Roman"/>
          <w:sz w:val="24"/>
        </w:rPr>
        <w:tab/>
      </w:r>
      <w:r w:rsidRPr="009E3B02">
        <w:rPr>
          <w:rFonts w:ascii="Times New Roman" w:hAnsi="Times New Roman"/>
          <w:b/>
          <w:sz w:val="24"/>
        </w:rPr>
        <w:t>zrušení slev,</w:t>
      </w:r>
      <w:r w:rsidRPr="009E3B02">
        <w:rPr>
          <w:rFonts w:ascii="Times New Roman" w:hAnsi="Times New Roman"/>
          <w:sz w:val="24"/>
        </w:rPr>
        <w:t xml:space="preserve"> které si členské státy vyjednaly (Dánsko, Německo, Nizozemsko, Rakousko, Švédsko a Spojené království), </w:t>
      </w:r>
      <w:r w:rsidRPr="009E3B02">
        <w:rPr>
          <w:rFonts w:ascii="Times New Roman" w:hAnsi="Times New Roman"/>
          <w:b/>
          <w:sz w:val="24"/>
        </w:rPr>
        <w:t>ovšem s postupným ukončováním v průběhu pěti let</w:t>
      </w:r>
      <w:r w:rsidRPr="009E3B02">
        <w:rPr>
          <w:rFonts w:ascii="Times New Roman" w:hAnsi="Times New Roman"/>
          <w:sz w:val="24"/>
        </w:rPr>
        <w:t>, aby se zamezilo náhlému zvýšení příspěvků některých členských států;</w:t>
      </w:r>
    </w:p>
    <w:p w:rsidR="009E3B02" w:rsidRPr="009E3B02" w:rsidRDefault="009E3B02" w:rsidP="009E3B02">
      <w:pPr>
        <w:spacing w:after="0" w:line="240" w:lineRule="auto"/>
        <w:ind w:left="709"/>
        <w:jc w:val="both"/>
        <w:rPr>
          <w:rFonts w:ascii="Times New Roman" w:hAnsi="Times New Roman"/>
          <w:sz w:val="24"/>
        </w:rPr>
      </w:pPr>
      <w:r w:rsidRPr="009E3B02">
        <w:rPr>
          <w:rFonts w:ascii="Times New Roman" w:hAnsi="Times New Roman"/>
          <w:sz w:val="24"/>
        </w:rPr>
        <w:t>d)</w:t>
      </w:r>
      <w:r w:rsidRPr="009E3B02">
        <w:rPr>
          <w:rFonts w:ascii="Times New Roman" w:hAnsi="Times New Roman"/>
          <w:sz w:val="24"/>
        </w:rPr>
        <w:tab/>
      </w:r>
      <w:r w:rsidRPr="009E3B02">
        <w:rPr>
          <w:rFonts w:ascii="Times New Roman" w:hAnsi="Times New Roman"/>
          <w:b/>
          <w:sz w:val="24"/>
        </w:rPr>
        <w:t>zvýšení stropu vlastních zdrojů</w:t>
      </w:r>
      <w:r w:rsidRPr="009E3B02">
        <w:rPr>
          <w:rFonts w:ascii="Times New Roman" w:hAnsi="Times New Roman"/>
          <w:sz w:val="24"/>
        </w:rPr>
        <w:t xml:space="preserve"> - umožnit, aby se pro vlastní zdroje k pokrytí výdajů rozpočtu EU využil vyšší podíl hrubého národního důchodu zemí EU-27</w:t>
      </w:r>
      <w:r w:rsidRPr="009E3B02">
        <w:rPr>
          <w:rFonts w:ascii="Times New Roman" w:hAnsi="Times New Roman"/>
          <w:b/>
          <w:sz w:val="24"/>
        </w:rPr>
        <w:t>. Zvýšení stávajícího stropu 1,2 % HND na 1,29 % HND</w:t>
      </w:r>
      <w:r w:rsidRPr="009E3B02">
        <w:rPr>
          <w:rFonts w:ascii="Times New Roman" w:hAnsi="Times New Roman"/>
          <w:sz w:val="24"/>
        </w:rPr>
        <w:t>.</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Na základě návrhů Komise by mohly nové vlastní zdroje přispívat do rozpočtu průměrnou částkou 22 miliard EUR ročně, což odpovídá přibližně 12 % celkových příjmů rozpočtu EU. Navrhované reformy systému vlastních zdrojů změní způsob, jakým je rozpočet financován, a nikoli jeho celkovou velikost.</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60" w:line="240" w:lineRule="auto"/>
        <w:jc w:val="both"/>
        <w:rPr>
          <w:rFonts w:ascii="Times New Roman" w:hAnsi="Times New Roman"/>
          <w:sz w:val="24"/>
          <w:u w:val="single"/>
        </w:rPr>
      </w:pPr>
      <w:r w:rsidRPr="009E3B02">
        <w:rPr>
          <w:rFonts w:ascii="Times New Roman" w:hAnsi="Times New Roman"/>
          <w:sz w:val="24"/>
          <w:u w:val="single"/>
        </w:rPr>
        <w:t>Návrh nařízení Rady, kterým se stanoví víceletý finanční rámec na období 2021–2027</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nařízení o VFR se řídí zásadami a hlavními politickými cíli uvedenými ve sdělení Komise „Moderní rozpočet pro Unii, která chrání, posiluje a brání: víceletý finanční rámec na období 2021–2027“, zejména pokud jde o jeho trvání, strukturu odrážející politické priority, potřebu větší flexibility a částky předpokládané v samotném víceletém finančním rámci.</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VFR na období 2021–2027 je strukturován do sedmi okruhů se třemi dílčími stropy: „Hospodářská, sociální a územní soudržnost“ v okruhu II, „Výdaje související s trhem a přímé platby“ v okruhu III a „Správní výdaje orgánů“ v okruhu VII.</w:t>
      </w:r>
    </w:p>
    <w:p w:rsidR="009E3B02" w:rsidRPr="009E3B02" w:rsidRDefault="009E3B02" w:rsidP="009E3B02">
      <w:pPr>
        <w:spacing w:after="120" w:line="240" w:lineRule="auto"/>
        <w:jc w:val="both"/>
        <w:rPr>
          <w:rFonts w:ascii="Times New Roman" w:hAnsi="Times New Roman"/>
          <w:sz w:val="24"/>
        </w:rPr>
      </w:pPr>
      <w:r w:rsidRPr="009E3B02">
        <w:rPr>
          <w:rFonts w:ascii="Times New Roman" w:hAnsi="Times New Roman"/>
          <w:sz w:val="24"/>
        </w:rPr>
        <w:t>Návrh nařízení stanoví pro VFR na období 2021–2027 stropy pro prostředky na závazky pro jednotlivé okruhy, dílčí stropy ve stálých cenách roku 2018 a odpovídající strop plateb ve stálých cenách roku 2018:</w:t>
      </w:r>
    </w:p>
    <w:tbl>
      <w:tblPr>
        <w:tblStyle w:val="Mkatabulky"/>
        <w:tblW w:w="0" w:type="auto"/>
        <w:tblLook w:val="04A0" w:firstRow="1" w:lastRow="0" w:firstColumn="1" w:lastColumn="0" w:noHBand="0" w:noVBand="1"/>
      </w:tblPr>
      <w:tblGrid>
        <w:gridCol w:w="6588"/>
        <w:gridCol w:w="2472"/>
      </w:tblGrid>
      <w:tr w:rsidR="009E3B02" w:rsidRPr="009E3B02" w:rsidTr="00F449D5">
        <w:tc>
          <w:tcPr>
            <w:tcW w:w="6799" w:type="dxa"/>
            <w:vAlign w:val="center"/>
          </w:tcPr>
          <w:p w:rsidR="009E3B02" w:rsidRPr="009E3B02" w:rsidRDefault="009E3B02" w:rsidP="009E3B02">
            <w:pPr>
              <w:spacing w:after="120" w:line="240" w:lineRule="auto"/>
              <w:jc w:val="both"/>
              <w:rPr>
                <w:rFonts w:eastAsia="Calibri"/>
                <w:b/>
                <w:i/>
                <w:sz w:val="24"/>
              </w:rPr>
            </w:pPr>
            <w:r w:rsidRPr="009E3B02">
              <w:rPr>
                <w:rFonts w:eastAsia="Calibri"/>
                <w:b/>
                <w:i/>
                <w:sz w:val="24"/>
              </w:rPr>
              <w:t>Prostředky na závazky</w:t>
            </w:r>
          </w:p>
        </w:tc>
        <w:tc>
          <w:tcPr>
            <w:tcW w:w="2545" w:type="dxa"/>
            <w:vAlign w:val="center"/>
          </w:tcPr>
          <w:p w:rsidR="009E3B02" w:rsidRPr="009E3B02" w:rsidRDefault="009E3B02" w:rsidP="009E3B02">
            <w:pPr>
              <w:spacing w:after="0" w:line="240" w:lineRule="auto"/>
              <w:jc w:val="center"/>
              <w:rPr>
                <w:rFonts w:eastAsia="Calibri"/>
                <w:b/>
                <w:i/>
                <w:sz w:val="24"/>
              </w:rPr>
            </w:pPr>
            <w:r w:rsidRPr="009E3B02">
              <w:rPr>
                <w:rFonts w:eastAsia="Calibri"/>
                <w:b/>
                <w:i/>
                <w:sz w:val="24"/>
              </w:rPr>
              <w:t>Celkem 2021–2027</w:t>
            </w:r>
          </w:p>
          <w:p w:rsidR="009E3B02" w:rsidRPr="009E3B02" w:rsidRDefault="009E3B02" w:rsidP="009E3B02">
            <w:pPr>
              <w:spacing w:after="0" w:line="240" w:lineRule="auto"/>
              <w:jc w:val="center"/>
              <w:rPr>
                <w:rFonts w:eastAsia="Calibri"/>
                <w:b/>
                <w:i/>
                <w:sz w:val="24"/>
              </w:rPr>
            </w:pPr>
            <w:r w:rsidRPr="009E3B02">
              <w:rPr>
                <w:rFonts w:eastAsia="Calibri"/>
                <w:b/>
                <w:i/>
                <w:sz w:val="24"/>
              </w:rPr>
              <w:t>v mil. EUR</w:t>
            </w:r>
          </w:p>
          <w:p w:rsidR="009E3B02" w:rsidRPr="009E3B02" w:rsidRDefault="009E3B02" w:rsidP="009E3B02">
            <w:pPr>
              <w:spacing w:after="120" w:line="240" w:lineRule="auto"/>
              <w:jc w:val="center"/>
              <w:rPr>
                <w:rFonts w:eastAsia="Calibri"/>
                <w:sz w:val="24"/>
              </w:rPr>
            </w:pPr>
            <w:r w:rsidRPr="009E3B02">
              <w:rPr>
                <w:rFonts w:eastAsia="Calibri"/>
                <w:b/>
                <w:i/>
                <w:sz w:val="24"/>
              </w:rPr>
              <w:t>stálé ceny roku 2018</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1. Jednotný trh, inovace, digitální oblast</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166 303</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2. Soudržnost a hodnoty</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391 974</w:t>
            </w:r>
          </w:p>
        </w:tc>
      </w:tr>
      <w:tr w:rsidR="009E3B02" w:rsidRPr="009E3B02" w:rsidTr="00F449D5">
        <w:tc>
          <w:tcPr>
            <w:tcW w:w="6799" w:type="dxa"/>
          </w:tcPr>
          <w:p w:rsidR="009E3B02" w:rsidRPr="009E3B02" w:rsidRDefault="009E3B02" w:rsidP="009E3B02">
            <w:pPr>
              <w:spacing w:after="120" w:line="240" w:lineRule="auto"/>
              <w:ind w:left="709"/>
              <w:jc w:val="both"/>
              <w:rPr>
                <w:rFonts w:eastAsia="Calibri"/>
                <w:sz w:val="24"/>
              </w:rPr>
            </w:pPr>
            <w:r w:rsidRPr="009E3B02">
              <w:rPr>
                <w:rFonts w:eastAsia="Calibri"/>
                <w:sz w:val="24"/>
              </w:rPr>
              <w:lastRenderedPageBreak/>
              <w:t>z toho: Hospodářská, sociální a územní soudržnost</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330 642</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3. Přírodní zdroje a životní prostředí</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336 623</w:t>
            </w:r>
          </w:p>
        </w:tc>
      </w:tr>
      <w:tr w:rsidR="009E3B02" w:rsidRPr="009E3B02" w:rsidTr="00F449D5">
        <w:tc>
          <w:tcPr>
            <w:tcW w:w="6799" w:type="dxa"/>
          </w:tcPr>
          <w:p w:rsidR="009E3B02" w:rsidRPr="009E3B02" w:rsidRDefault="009E3B02" w:rsidP="009E3B02">
            <w:pPr>
              <w:spacing w:after="120" w:line="240" w:lineRule="auto"/>
              <w:ind w:left="709"/>
              <w:jc w:val="both"/>
              <w:rPr>
                <w:rFonts w:eastAsia="Calibri"/>
                <w:sz w:val="24"/>
              </w:rPr>
            </w:pPr>
            <w:r w:rsidRPr="009E3B02">
              <w:rPr>
                <w:rFonts w:eastAsia="Calibri"/>
                <w:sz w:val="24"/>
              </w:rPr>
              <w:t>z toho: Výdaje souvisejících s trhem a přímé platby</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254 247</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4. Migrace a správa hranic</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30 829</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5. Bezpečnost a obrana</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24 323</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6. Sousedství a svět</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108 929</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r w:rsidRPr="009E3B02">
              <w:rPr>
                <w:rFonts w:eastAsia="Calibri"/>
                <w:sz w:val="24"/>
              </w:rPr>
              <w:t>7. Evropská veřejná správa</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75 602</w:t>
            </w:r>
          </w:p>
        </w:tc>
      </w:tr>
      <w:tr w:rsidR="009E3B02" w:rsidRPr="009E3B02" w:rsidTr="00F449D5">
        <w:tc>
          <w:tcPr>
            <w:tcW w:w="6799" w:type="dxa"/>
          </w:tcPr>
          <w:p w:rsidR="009E3B02" w:rsidRPr="009E3B02" w:rsidRDefault="009E3B02" w:rsidP="009E3B02">
            <w:pPr>
              <w:spacing w:after="120" w:line="240" w:lineRule="auto"/>
              <w:ind w:left="709"/>
              <w:jc w:val="both"/>
              <w:rPr>
                <w:rFonts w:eastAsia="Calibri"/>
                <w:sz w:val="24"/>
              </w:rPr>
            </w:pPr>
            <w:r w:rsidRPr="009E3B02">
              <w:rPr>
                <w:rFonts w:eastAsia="Calibri"/>
                <w:sz w:val="24"/>
              </w:rPr>
              <w:t>z toho: Správní výdaje orgánů</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58 547</w:t>
            </w:r>
          </w:p>
        </w:tc>
      </w:tr>
      <w:tr w:rsidR="009E3B02" w:rsidRPr="009E3B02" w:rsidTr="00F449D5">
        <w:tc>
          <w:tcPr>
            <w:tcW w:w="6799" w:type="dxa"/>
          </w:tcPr>
          <w:p w:rsidR="009E3B02" w:rsidRPr="009E3B02" w:rsidRDefault="009E3B02" w:rsidP="009E3B02">
            <w:pPr>
              <w:spacing w:after="120" w:line="240" w:lineRule="auto"/>
              <w:jc w:val="both"/>
              <w:rPr>
                <w:rFonts w:eastAsia="Calibri"/>
                <w:b/>
                <w:sz w:val="24"/>
              </w:rPr>
            </w:pPr>
            <w:r w:rsidRPr="009E3B02">
              <w:rPr>
                <w:rFonts w:eastAsia="Calibri"/>
                <w:b/>
                <w:sz w:val="24"/>
              </w:rPr>
              <w:t>CELKOVÉ PROSTŘEDKY NA ZÁVAZKY</w:t>
            </w:r>
          </w:p>
        </w:tc>
        <w:tc>
          <w:tcPr>
            <w:tcW w:w="2545" w:type="dxa"/>
            <w:vAlign w:val="center"/>
          </w:tcPr>
          <w:p w:rsidR="009E3B02" w:rsidRPr="009E3B02" w:rsidRDefault="009E3B02" w:rsidP="009E3B02">
            <w:pPr>
              <w:spacing w:after="120" w:line="240" w:lineRule="auto"/>
              <w:ind w:right="170"/>
              <w:jc w:val="right"/>
              <w:rPr>
                <w:rFonts w:eastAsia="Calibri"/>
                <w:b/>
                <w:sz w:val="24"/>
              </w:rPr>
            </w:pPr>
            <w:r w:rsidRPr="009E3B02">
              <w:rPr>
                <w:rFonts w:eastAsia="Calibri"/>
                <w:b/>
                <w:sz w:val="24"/>
              </w:rPr>
              <w:t>1 134 583</w:t>
            </w:r>
          </w:p>
        </w:tc>
      </w:tr>
      <w:tr w:rsidR="009E3B02" w:rsidRPr="009E3B02" w:rsidTr="00F449D5">
        <w:tc>
          <w:tcPr>
            <w:tcW w:w="6799" w:type="dxa"/>
          </w:tcPr>
          <w:p w:rsidR="009E3B02" w:rsidRPr="009E3B02" w:rsidRDefault="009E3B02" w:rsidP="009E3B02">
            <w:pPr>
              <w:spacing w:after="120" w:line="240" w:lineRule="auto"/>
              <w:ind w:left="709"/>
              <w:jc w:val="both"/>
              <w:rPr>
                <w:rFonts w:eastAsia="Calibri"/>
                <w:b/>
                <w:sz w:val="24"/>
              </w:rPr>
            </w:pPr>
            <w:r w:rsidRPr="009E3B02">
              <w:rPr>
                <w:rFonts w:eastAsia="Calibri"/>
                <w:b/>
                <w:sz w:val="24"/>
              </w:rPr>
              <w:t>v procentech HND</w:t>
            </w:r>
          </w:p>
        </w:tc>
        <w:tc>
          <w:tcPr>
            <w:tcW w:w="2545" w:type="dxa"/>
            <w:vAlign w:val="center"/>
          </w:tcPr>
          <w:p w:rsidR="009E3B02" w:rsidRPr="009E3B02" w:rsidRDefault="009E3B02" w:rsidP="009E3B02">
            <w:pPr>
              <w:spacing w:after="120" w:line="240" w:lineRule="auto"/>
              <w:ind w:right="170"/>
              <w:jc w:val="right"/>
              <w:rPr>
                <w:rFonts w:eastAsia="Calibri"/>
                <w:b/>
                <w:sz w:val="24"/>
              </w:rPr>
            </w:pPr>
            <w:r w:rsidRPr="009E3B02">
              <w:rPr>
                <w:rFonts w:eastAsia="Calibri"/>
                <w:b/>
                <w:sz w:val="24"/>
              </w:rPr>
              <w:t>1,11 %</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p>
        </w:tc>
        <w:tc>
          <w:tcPr>
            <w:tcW w:w="2545" w:type="dxa"/>
            <w:vAlign w:val="center"/>
          </w:tcPr>
          <w:p w:rsidR="009E3B02" w:rsidRPr="009E3B02" w:rsidRDefault="009E3B02" w:rsidP="009E3B02">
            <w:pPr>
              <w:spacing w:after="120" w:line="240" w:lineRule="auto"/>
              <w:ind w:right="170"/>
              <w:jc w:val="right"/>
              <w:rPr>
                <w:rFonts w:eastAsia="Calibri"/>
                <w:sz w:val="24"/>
              </w:rPr>
            </w:pPr>
          </w:p>
        </w:tc>
      </w:tr>
      <w:tr w:rsidR="009E3B02" w:rsidRPr="009E3B02" w:rsidTr="00F449D5">
        <w:tc>
          <w:tcPr>
            <w:tcW w:w="6799" w:type="dxa"/>
          </w:tcPr>
          <w:p w:rsidR="009E3B02" w:rsidRPr="009E3B02" w:rsidRDefault="009E3B02" w:rsidP="009E3B02">
            <w:pPr>
              <w:spacing w:after="120" w:line="240" w:lineRule="auto"/>
              <w:jc w:val="both"/>
              <w:rPr>
                <w:rFonts w:eastAsia="Calibri"/>
                <w:b/>
                <w:sz w:val="24"/>
              </w:rPr>
            </w:pPr>
            <w:r w:rsidRPr="009E3B02">
              <w:rPr>
                <w:rFonts w:eastAsia="Calibri"/>
                <w:b/>
                <w:sz w:val="24"/>
              </w:rPr>
              <w:t>CELKOVÉ PROSTŘEDKY NA PLATBY</w:t>
            </w:r>
          </w:p>
        </w:tc>
        <w:tc>
          <w:tcPr>
            <w:tcW w:w="2545" w:type="dxa"/>
            <w:vAlign w:val="center"/>
          </w:tcPr>
          <w:p w:rsidR="009E3B02" w:rsidRPr="009E3B02" w:rsidRDefault="009E3B02" w:rsidP="009E3B02">
            <w:pPr>
              <w:spacing w:after="120" w:line="240" w:lineRule="auto"/>
              <w:ind w:right="170"/>
              <w:jc w:val="right"/>
              <w:rPr>
                <w:rFonts w:eastAsia="Calibri"/>
                <w:b/>
                <w:sz w:val="24"/>
              </w:rPr>
            </w:pPr>
            <w:r w:rsidRPr="009E3B02">
              <w:rPr>
                <w:rFonts w:eastAsia="Calibri"/>
                <w:b/>
                <w:sz w:val="24"/>
              </w:rPr>
              <w:t>1 104 805</w:t>
            </w:r>
          </w:p>
        </w:tc>
      </w:tr>
      <w:tr w:rsidR="009E3B02" w:rsidRPr="009E3B02" w:rsidTr="00F449D5">
        <w:tc>
          <w:tcPr>
            <w:tcW w:w="6799" w:type="dxa"/>
          </w:tcPr>
          <w:p w:rsidR="009E3B02" w:rsidRPr="009E3B02" w:rsidRDefault="009E3B02" w:rsidP="009E3B02">
            <w:pPr>
              <w:spacing w:after="120" w:line="240" w:lineRule="auto"/>
              <w:ind w:left="709"/>
              <w:jc w:val="both"/>
              <w:rPr>
                <w:rFonts w:eastAsia="Calibri"/>
                <w:b/>
                <w:sz w:val="24"/>
              </w:rPr>
            </w:pPr>
            <w:r w:rsidRPr="009E3B02">
              <w:rPr>
                <w:rFonts w:eastAsia="Calibri"/>
                <w:b/>
                <w:sz w:val="24"/>
              </w:rPr>
              <w:t>v procentech HND</w:t>
            </w:r>
          </w:p>
        </w:tc>
        <w:tc>
          <w:tcPr>
            <w:tcW w:w="2545" w:type="dxa"/>
            <w:vAlign w:val="center"/>
          </w:tcPr>
          <w:p w:rsidR="009E3B02" w:rsidRPr="009E3B02" w:rsidRDefault="009E3B02" w:rsidP="009E3B02">
            <w:pPr>
              <w:spacing w:after="120" w:line="240" w:lineRule="auto"/>
              <w:ind w:right="170"/>
              <w:jc w:val="right"/>
              <w:rPr>
                <w:rFonts w:eastAsia="Calibri"/>
                <w:b/>
                <w:sz w:val="24"/>
              </w:rPr>
            </w:pPr>
            <w:r w:rsidRPr="009E3B02">
              <w:rPr>
                <w:rFonts w:eastAsia="Calibri"/>
                <w:b/>
                <w:sz w:val="24"/>
              </w:rPr>
              <w:t>1,08 %</w:t>
            </w:r>
          </w:p>
        </w:tc>
      </w:tr>
      <w:tr w:rsidR="009E3B02" w:rsidRPr="009E3B02" w:rsidTr="00F449D5">
        <w:tc>
          <w:tcPr>
            <w:tcW w:w="6799" w:type="dxa"/>
          </w:tcPr>
          <w:p w:rsidR="009E3B02" w:rsidRPr="009E3B02" w:rsidRDefault="009E3B02" w:rsidP="009E3B02">
            <w:pPr>
              <w:spacing w:after="120" w:line="240" w:lineRule="auto"/>
              <w:ind w:left="709"/>
              <w:jc w:val="both"/>
              <w:rPr>
                <w:rFonts w:eastAsia="Calibri"/>
                <w:sz w:val="24"/>
              </w:rPr>
            </w:pPr>
            <w:r w:rsidRPr="009E3B02">
              <w:rPr>
                <w:rFonts w:eastAsia="Calibri"/>
                <w:sz w:val="24"/>
              </w:rPr>
              <w:t>Dostupné rozpětí</w:t>
            </w:r>
          </w:p>
        </w:tc>
        <w:tc>
          <w:tcPr>
            <w:tcW w:w="2545" w:type="dxa"/>
            <w:vAlign w:val="center"/>
          </w:tcPr>
          <w:p w:rsidR="009E3B02" w:rsidRPr="009E3B02" w:rsidRDefault="009E3B02" w:rsidP="009E3B02">
            <w:pPr>
              <w:spacing w:after="120" w:line="240" w:lineRule="auto"/>
              <w:ind w:right="170"/>
              <w:jc w:val="right"/>
              <w:rPr>
                <w:rFonts w:eastAsia="Calibri"/>
                <w:sz w:val="24"/>
              </w:rPr>
            </w:pPr>
            <w:r w:rsidRPr="009E3B02">
              <w:rPr>
                <w:rFonts w:eastAsia="Calibri"/>
                <w:sz w:val="24"/>
              </w:rPr>
              <w:t>0,21 %</w:t>
            </w:r>
          </w:p>
        </w:tc>
      </w:tr>
      <w:tr w:rsidR="009E3B02" w:rsidRPr="009E3B02" w:rsidTr="00F449D5">
        <w:tc>
          <w:tcPr>
            <w:tcW w:w="6799" w:type="dxa"/>
          </w:tcPr>
          <w:p w:rsidR="009E3B02" w:rsidRPr="009E3B02" w:rsidRDefault="009E3B02" w:rsidP="009E3B02">
            <w:pPr>
              <w:spacing w:after="120" w:line="240" w:lineRule="auto"/>
              <w:jc w:val="both"/>
              <w:rPr>
                <w:rFonts w:eastAsia="Calibri"/>
                <w:sz w:val="24"/>
              </w:rPr>
            </w:pPr>
          </w:p>
        </w:tc>
        <w:tc>
          <w:tcPr>
            <w:tcW w:w="2545" w:type="dxa"/>
            <w:vAlign w:val="center"/>
          </w:tcPr>
          <w:p w:rsidR="009E3B02" w:rsidRPr="009E3B02" w:rsidRDefault="009E3B02" w:rsidP="009E3B02">
            <w:pPr>
              <w:spacing w:after="120" w:line="240" w:lineRule="auto"/>
              <w:ind w:right="170"/>
              <w:jc w:val="right"/>
              <w:rPr>
                <w:rFonts w:eastAsia="Calibri"/>
                <w:sz w:val="24"/>
              </w:rPr>
            </w:pPr>
          </w:p>
        </w:tc>
      </w:tr>
      <w:tr w:rsidR="009E3B02" w:rsidRPr="009E3B02" w:rsidTr="00F449D5">
        <w:tc>
          <w:tcPr>
            <w:tcW w:w="6799" w:type="dxa"/>
          </w:tcPr>
          <w:p w:rsidR="009E3B02" w:rsidRPr="009E3B02" w:rsidRDefault="009E3B02" w:rsidP="009E3B02">
            <w:pPr>
              <w:spacing w:after="120" w:line="240" w:lineRule="auto"/>
              <w:jc w:val="both"/>
              <w:rPr>
                <w:rFonts w:eastAsia="Calibri"/>
                <w:b/>
                <w:sz w:val="24"/>
              </w:rPr>
            </w:pPr>
            <w:r w:rsidRPr="009E3B02">
              <w:rPr>
                <w:rFonts w:eastAsia="Calibri"/>
                <w:b/>
                <w:sz w:val="24"/>
              </w:rPr>
              <w:t>Strop vlastních zdrojů jako procento HND</w:t>
            </w:r>
          </w:p>
        </w:tc>
        <w:tc>
          <w:tcPr>
            <w:tcW w:w="2545" w:type="dxa"/>
            <w:vAlign w:val="center"/>
          </w:tcPr>
          <w:p w:rsidR="009E3B02" w:rsidRPr="009E3B02" w:rsidRDefault="009E3B02" w:rsidP="009E3B02">
            <w:pPr>
              <w:spacing w:after="120" w:line="240" w:lineRule="auto"/>
              <w:ind w:right="170"/>
              <w:jc w:val="right"/>
              <w:rPr>
                <w:rFonts w:eastAsia="Calibri"/>
                <w:b/>
                <w:sz w:val="24"/>
              </w:rPr>
            </w:pPr>
            <w:r w:rsidRPr="009E3B02">
              <w:rPr>
                <w:rFonts w:eastAsia="Calibri"/>
                <w:b/>
                <w:sz w:val="24"/>
              </w:rPr>
              <w:t>1,29 %</w:t>
            </w:r>
          </w:p>
        </w:tc>
      </w:tr>
    </w:tbl>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Stropy pro jednotlivé roky VFR jsou uvedeny v dokumentu KOM(2018) 322 v konečném znění, kód Rady 8354/18 ADD 1</w:t>
      </w:r>
      <w:r w:rsidRPr="009E3B02">
        <w:rPr>
          <w:rFonts w:ascii="Times New Roman" w:hAnsi="Times New Roman"/>
          <w:sz w:val="24"/>
          <w:vertAlign w:val="superscript"/>
        </w:rPr>
        <w:footnoteReference w:id="1"/>
      </w:r>
      <w:r w:rsidRPr="009E3B02">
        <w:rPr>
          <w:rFonts w:ascii="Times New Roman" w:hAnsi="Times New Roman"/>
          <w:sz w:val="24"/>
        </w:rPr>
        <w:t>.</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povinnost orgánů Unie dodržovat stropy během rozpočtového procesu (dodržování stropů vlastních zdrojů musí být zajištěno pro každý rok) v souladu s ustanoveními Smlouvy. Dále stanoví úpravu dílčího stropu pro výdaje související s trhem a přímé platby v souladu s použitím flexibility mezi dvěma pilíři společné zemědělské politiky (SZP), jak je stanoveno v právních předpisech v oblasti SZP.</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větší flexibilitu v rámci programů i mezi nimi navzájem, posílení nástrojů pro řešení krizí a vytvoření nové „unijní rezervy“ na řešení nepředvídaných událostí a reakci na mimořádné situace v oblastech, jako je bezpečnost a migrace.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 případě zpožděného přijetí nových pravidel programů v rámci sdíleného řízení návrh umožňuje upravit stropy prostřednictvím technické úpravy, a nikoli prostřednictvím revize, jak je tomu v současném VFR 2014-2020. Navrhuje se převést přidělené částky, které nebyly v roce 2021 využity, ve stejně velkých tranších do čtyř po sobě jdoucích let, a to od roku 2022 do roku 2025.</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rozšíření oblasti působnosti rezervy na pomoc při mimořádných událostech na operace uvnitř Unie a stanoví společný mechanismus pro finanční posílení opatření EU v reakci na všechny druhy krize (přírodní katastrofy, mimořádné události v oblasti řízení migrace, naléhavé humanitární situace, epidemie atd.) ve všech zeměpisných lokalitách. Roční výše této rezervy se stanovuje na 600 milionů EUR (v cenách roku 2018) a může být využita až do roku n +1 v souladu s finančním nařízením. Rezerva se do souhrnného rozpočtu Unie zapisuje jako předběžná položka.</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že Evropský fond pro přizpůsobení se globalizaci nepřekročí maximální roční částku 200 milionů EUR (v cenách roku 2018) a Fond solidarity Evropské unie nepřekročí maximální roční částku 600 milionů EUR (v cenách roku 2018).</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lastRenderedPageBreak/>
        <w:t>Nástroj pružnosti může být v daném rozpočtovém roce využit pro financování přesně určených výdajů, které nebylo možné financovat v mezích stropů pro jeden nebo více jiných okruhů. Roční strop pro nástroj pružnosti činí 1 000 milionů EUR (v cenách roku 2018).</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vytvoření rozpětí pro nepředvídané události ve výši až 0,03 % hrubého národního důchodu Unie, a to jako krajní nástroj umožňující reagovat na nepředvídané události, které může být uvolněno pouze ve vztahu k opravnému či ročnímu rozpočtu.</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ukládá Komisi:</w:t>
      </w:r>
    </w:p>
    <w:p w:rsidR="009E3B02" w:rsidRPr="009E3B02" w:rsidRDefault="009E3B02" w:rsidP="009E3B02">
      <w:pPr>
        <w:keepNext/>
        <w:keepLines/>
        <w:numPr>
          <w:ilvl w:val="0"/>
          <w:numId w:val="25"/>
        </w:numPr>
        <w:suppressAutoHyphens/>
        <w:autoSpaceDN w:val="0"/>
        <w:spacing w:after="0" w:line="254" w:lineRule="auto"/>
        <w:ind w:left="777" w:hanging="357"/>
        <w:jc w:val="both"/>
        <w:textAlignment w:val="baseline"/>
        <w:rPr>
          <w:rFonts w:ascii="Times New Roman" w:hAnsi="Times New Roman"/>
          <w:sz w:val="24"/>
        </w:rPr>
      </w:pPr>
      <w:r w:rsidRPr="009E3B02">
        <w:rPr>
          <w:rFonts w:ascii="Times New Roman" w:hAnsi="Times New Roman"/>
          <w:sz w:val="24"/>
        </w:rPr>
        <w:t>předložit před 1. lednem 2024 přezkum fungování VFR a případně ho doplnit příslušnými návrhy;</w:t>
      </w:r>
    </w:p>
    <w:p w:rsidR="009E3B02" w:rsidRPr="009E3B02" w:rsidRDefault="009E3B02" w:rsidP="009E3B02">
      <w:pPr>
        <w:keepNext/>
        <w:keepLines/>
        <w:numPr>
          <w:ilvl w:val="0"/>
          <w:numId w:val="25"/>
        </w:numPr>
        <w:suppressAutoHyphens/>
        <w:autoSpaceDN w:val="0"/>
        <w:spacing w:after="0" w:line="254" w:lineRule="auto"/>
        <w:ind w:left="777" w:hanging="357"/>
        <w:jc w:val="both"/>
        <w:textAlignment w:val="baseline"/>
        <w:rPr>
          <w:rFonts w:ascii="Times New Roman" w:hAnsi="Times New Roman"/>
          <w:sz w:val="24"/>
        </w:rPr>
      </w:pPr>
      <w:r w:rsidRPr="009E3B02">
        <w:rPr>
          <w:rFonts w:ascii="Times New Roman" w:hAnsi="Times New Roman"/>
          <w:sz w:val="24"/>
        </w:rPr>
        <w:t>předložit před 1. červencem 2025 návrh nového víceletého finančního rámce po roce 2027.</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0" w:line="240" w:lineRule="auto"/>
        <w:jc w:val="both"/>
        <w:rPr>
          <w:rFonts w:ascii="Times New Roman" w:hAnsi="Times New Roman"/>
          <w:i/>
          <w:sz w:val="24"/>
          <w:u w:val="single"/>
        </w:rPr>
      </w:pPr>
      <w:r w:rsidRPr="009E3B02">
        <w:rPr>
          <w:rFonts w:ascii="Times New Roman" w:hAnsi="Times New Roman"/>
          <w:i/>
          <w:sz w:val="24"/>
          <w:u w:val="single"/>
        </w:rPr>
        <w:t>Dopad na státní rozpočet a právní řád ČR:</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Ministerstvo financí ČR předpokládá postupné navýšení odvodů vlastních zdrojů do rozpočtu EU oproti současnému stavu řádově o třetinu, tj. až na cca 60 mld. Kč ročně. Dopad zvýšení národního spolufinancování programů na státní rozpočet bude záviset na tom, jak se v programovém období rozdělí břemeno národního podílu na spolufinancování mezi státní rozpočet a konečné příjemce.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Schválené nařízení o víceletém finančním rámci EU na období 2021-2027 bude mít dopad na právní řád ČR.</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bookmarkStart w:id="11" w:name="_Toc445380612"/>
      <w:bookmarkStart w:id="12" w:name="_Toc448302191"/>
      <w:r w:rsidRPr="004A2C5E">
        <w:rPr>
          <w:rFonts w:ascii="Times New Roman" w:eastAsia="Times New Roman" w:hAnsi="Times New Roman"/>
          <w:b/>
          <w:sz w:val="24"/>
          <w:szCs w:val="20"/>
          <w:lang w:eastAsia="cs-CZ"/>
        </w:rPr>
        <w:t>Stanovisko vlády ČR:</w:t>
      </w:r>
      <w:bookmarkEnd w:id="11"/>
      <w:bookmarkEnd w:id="12"/>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Podle předběžné verze rámcové pozice vláda ČR vítá, že navrhovaný VFR 2021-2027 je rámcově v souladu s jejími prioritami a je primárně zaměřen na financování oblastí, kterých se účastní všechny členské státy Unie. Je připravena podpořit návrh Komise na navýšení podílu rozpočtu EU na 1,11 % HND EU (ze současných 1,03 % HND EU 28). Vláda ČR podpoří vyšší objem rozpočtu EU s navrhovaným rozdělením výdajů rozpočtu EU, pokud budou podmínky pro rozdělení prostředků na kohezní politiku a společnou zemědělskou politiku spravedlivé a nepřinesou disproporční dopad na ČR a rovněž jí zajistí odpovídající mechanismy pro alokování/přesun prostředků na její národní priority u politik ve sdíleném řízení (primárně v oblasti kohezní politiky, společné zemědělské politiky či migrace).</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K okruhu Jednotný trh, inovace, digitální oblast</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vítá konsolidaci programů v rámci tohoto okruhu a bude prosazovat jejich jednodušší řízení. Podpoří pokračování stávajících programů (Horizont Evropa, Program pro výzkum a školení Euratom, projekt Mezinárodního termonukleárního experimentálního reaktoru,</w:t>
      </w:r>
      <w:r w:rsidRPr="009E3B02">
        <w:rPr>
          <w:rFonts w:ascii="Times New Roman" w:eastAsia="Times New Roman" w:hAnsi="Times New Roman"/>
          <w:sz w:val="24"/>
          <w:szCs w:val="20"/>
          <w:lang w:eastAsia="cs-CZ"/>
        </w:rPr>
        <w:t xml:space="preserve"> </w:t>
      </w:r>
      <w:r w:rsidRPr="009E3B02">
        <w:rPr>
          <w:rFonts w:ascii="Times New Roman" w:hAnsi="Times New Roman"/>
          <w:sz w:val="24"/>
        </w:rPr>
        <w:t>Nástroj pro propojení Evropy) a navrhované nové programy (InvestEU, Program pro digitální Evropu, Program pro jednotný trh, Program pro vesmír). Vláda ČR nesouhlasí s návrhem na přesun prostředků ve výši 11,3 mld. EUR z Kohezního fondu do Nástroje pro propojení Evropy.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b/>
          <w:sz w:val="24"/>
        </w:rPr>
        <w:t>K okruhu Soudržnost a hodnoty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Hlavni prioritou vlády ČR je zajištění odpovídající finanční obálky pro ČR na kohezní politiku a prosazení efektivních podmínek pro její implementaci. Je připravena diskutovat adekvátní míru propojení kohezní politiky s evropským semestrem a se specifickými doporučeními Rady pro členské státy. S ohledem na úspěšný ekonomický vývoj ČR a českých regionů v posledních letech je vláda ČR připravena souhlasit s určitým snížením národní kohezní obálky (ve srovnání se stávajícím programovým obdobím), pokles však musí být postupný a nikoliv radikální.</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 xml:space="preserve">Vláda ČR vnímá negativně návrh Komise na snížení podílu prostředků na Kohezní fond (alokace na Kohezní fond klesá v běžných cenách o 37 % v porovnání s obdobím 2014-2020). Pro vládu ČR bude zásadní, aby členské státy měly možnost rozdělovat prostředky na své klíčové národní priority a aby váha jednotlivých fondů reflektovala socioekonomické podmínky daného členského státu. Pro vládu ČR bude klíčové vyjednat dostatečnou flexibilitu </w:t>
      </w:r>
      <w:r w:rsidRPr="009E3B02">
        <w:rPr>
          <w:rFonts w:ascii="Times New Roman" w:hAnsi="Times New Roman"/>
          <w:sz w:val="24"/>
        </w:rPr>
        <w:lastRenderedPageBreak/>
        <w:t>pro členské státy při stanovování priorit pro využívání fondů politiky soudržnosti (možnost převodu prostředků mezi fondy či mezi kategoriemi regionů). V této souvislosti vláda ČR vítá, že návrh kohezní legislativy umožňuje převádět až 15 % prostředků z méně rozvinutých regionů a až 5 % prostředků mezi fondy (k tomuto převodu musí dát podnět členský stát). Z pohledu vlády ČR je navržená flexibilita zejména v případě převodů mezi fondy nedostatečná a bude usilovat, aby toto procento bylo ještě navýšeno.</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bude podporovat zjednodušení podmínek pro implementaci fondů politiky soudržnosti, mimo jiné bude podporovat, aby byly ustaveny pouze dvě kategorie regionů (méně rozvinuté regiony a více rozvinuté regiony).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je připravena diskutovat vyšší flexibilitu v rámci kohezní politiky a možnost, aby členské státy mohly v roce 2025 revidovat obsahy operačních programů na roky 2026 a 2027.</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s ohledem na nutnost zavedení střednědobé rozpočtové stability nepodporuje technickou revizi kohezních obálek uprostřed programového období, s její aplikací nesouhlasí v případě, kdy mají členské státy alokaci ve druhé části období ztrácet. Pokud by technická revize byla zachována, neměla by se vztahovat na ty členské státy, na které se vztahuje záchranná síť.</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preferuje zachování pravidla n+3 pro implementaci prostředků a jako ústupovou variantu je připravena diskutovat zkrácení n+2 na národní úrovni či kombinaci délek období (v prvních letech n+3 a poté n+2). Vláda ČR je otevřena diskusi o mírném snížení evropského spolufinancování a předfinancování a míra spolufinancování by měla být stanovena na úrovni členského státu a ne na úrovni kategorií regionů jak navrhuje Komise. Návrh Komise na navýšení míry národního spolufinancování (v případě méně rozvinutých regionů na 30 % a přechodových regionů na 45 %) by navíc přinesl výrazné břemeno pro národní rozpočty a vedl by i k pomalejšímu tempu čerpání prostředků.</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podporuje, aby nový Program na podporu reforem byl založen na národních obálkách rozdělených dle počtu obyvatel. Dále vláda ČR podporuje nový nástroj pro stabilizaci eurozóny (Evropská investiční a stabilizační funkce), Fond pro justici, práva a hodnoty a navýšení prostředků pro</w:t>
      </w:r>
      <w:r w:rsidRPr="009E3B02">
        <w:rPr>
          <w:rFonts w:ascii="Times New Roman" w:eastAsia="Times New Roman" w:hAnsi="Times New Roman"/>
          <w:sz w:val="24"/>
          <w:szCs w:val="20"/>
          <w:lang w:eastAsia="cs-CZ"/>
        </w:rPr>
        <w:t xml:space="preserve"> </w:t>
      </w:r>
      <w:r w:rsidRPr="009E3B02">
        <w:rPr>
          <w:rFonts w:ascii="Times New Roman" w:hAnsi="Times New Roman"/>
          <w:sz w:val="24"/>
        </w:rPr>
        <w:t>program Erasmus+.</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K okruhu Přírodní zdroje a životní prostředí</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podpoří návrh Komise na snížení celkového objemu prostředků na společnou zemědělskou politiku (návrh činí 3 %) a při vyjednávání VFR se zaměří na podmínky pro čerpání a financování společné zemědělské politiky, tj. zejména na snížení možných negativních dopadů zastropování přímých plateb na české zemědělství, financování externí konvergence přímých plateb a na podmínky pro rozdělení prostředků na rozvoj venkova. Bude prosazovat, aby přímé platby zůstaly i nadále plně hrazeny z rozpočtu EU. Bude podporovat, aby společná zemědělská politika (SZP) měla i nadále dvoupilířovou strukturu a aby členské státy měly určitou flexibilitu přesouvat prostředky mezi I. a II. pilířem SZP.</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bude prosazovat, aby stanovení národních obálek bylo založeno na objektivních kritériích a dosažených výsledcích v předchozím programovém období. Dále bude podporovat zařazení indikátorů zvýhodňujících státy hospodařící v režimu ekologického zemědělství či indikátor produktivity práce v zemědělství, který by umožnil státům zaostávajícím v tomto indikátoru překonat jejich mezeru v produktivitě.</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může podpořit mírné navýšení míry národního spolufinancování u Evropského fondu pro rozvoj venkova, navržené navýšení pro všechny regiony, kromě méně vyspělých, na 57 % je však značné a představovalo by neúměrnou zátěž pro veřejné finance členských států.</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podporuje zjednodušení pravidel pro implementaci SZP a zavedení Strategických plánů společné zemědělské politiky, které se budou vztahovat i na přímé platby a poskytnou více prostoru členským státům pro identifikaci jejich priorit.</w:t>
      </w:r>
    </w:p>
    <w:p w:rsidR="009E3B02" w:rsidRPr="009E3B02" w:rsidRDefault="009E3B02" w:rsidP="009E3B02">
      <w:pPr>
        <w:spacing w:after="60" w:line="240" w:lineRule="auto"/>
        <w:jc w:val="both"/>
        <w:rPr>
          <w:rFonts w:ascii="Times New Roman" w:hAnsi="Times New Roman"/>
          <w:sz w:val="24"/>
        </w:rPr>
      </w:pPr>
    </w:p>
    <w:p w:rsidR="004A2C5E" w:rsidRDefault="004A2C5E" w:rsidP="009E3B02">
      <w:pPr>
        <w:spacing w:after="0" w:line="240" w:lineRule="auto"/>
        <w:jc w:val="both"/>
        <w:rPr>
          <w:rFonts w:ascii="Times New Roman" w:hAnsi="Times New Roman"/>
          <w:b/>
          <w:sz w:val="24"/>
        </w:rPr>
      </w:pPr>
    </w:p>
    <w:p w:rsidR="004A2C5E" w:rsidRDefault="004A2C5E" w:rsidP="009E3B02">
      <w:pPr>
        <w:spacing w:after="0" w:line="240" w:lineRule="auto"/>
        <w:jc w:val="both"/>
        <w:rPr>
          <w:rFonts w:ascii="Times New Roman" w:hAnsi="Times New Roman"/>
          <w:b/>
          <w:sz w:val="24"/>
        </w:rPr>
      </w:pP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lastRenderedPageBreak/>
        <w:t>K okruhu Migrace a správa hranic</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podporuje adekvátní navýšení prostředků na migraci a ochranu hranic, na Azylový a migrační fond a na nový Fond na integrovanou správu hranic.</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K okruhu Bezpečnost a obrana</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souhlasí s navrhovaným rozsahem prostředků pro tento okruh a s jejich využitím na budování kapacit členských států a zlepšení operativní spolupráce příslušných orgánů.</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K okruhu Sousedství a svět</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podporuje odpovídající navýšení zdrojů pro posílení pozice EU jako globálního hráče a stabilizaci sousedství EU včetně financování nových výzev. Dále podporuje zahrnutí Evropského rozvojového fondu do architektury VFR a rozpočtu EU.</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K okruhu Evropská veřejná správa</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považuje návrh celkové alokace prostředků na Evropskou veřejnou správu za nadměrný. Nárůst o 23 % v běžných cenách (o 7 % ve stálých cenách) není dle vlády ČR v souladu s cílem konsolidace výdajů na administrativu.</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Flexibilita rozpočtu EU</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Vláda ČR obecně souhlasí s tím, že budoucí rozpočet by měl mít odpovídající mechanismy flexibility, aby dokázal reagovat včas a adekvátně na neočekávané události a nové výzvy. Je připravena diskutovat navýšení flexibility rozpočtu EU a jednotlivých programů, současně však požaduje, aby se stávající systém mechanismů flexibility reformoval a zjednodušil.</w:t>
      </w:r>
    </w:p>
    <w:p w:rsidR="009E3B02" w:rsidRPr="009E3B02" w:rsidRDefault="009E3B02" w:rsidP="009E3B02">
      <w:pPr>
        <w:spacing w:after="0" w:line="240" w:lineRule="auto"/>
        <w:jc w:val="both"/>
        <w:rPr>
          <w:rFonts w:ascii="Times New Roman" w:hAnsi="Times New Roman"/>
          <w:b/>
          <w:sz w:val="24"/>
        </w:rPr>
      </w:pPr>
      <w:r w:rsidRPr="009E3B02">
        <w:rPr>
          <w:rFonts w:ascii="Times New Roman" w:hAnsi="Times New Roman"/>
          <w:b/>
          <w:sz w:val="24"/>
        </w:rPr>
        <w:t>Příjmová strana rozpočtu</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se domnívá, že současný způsob financování rozpočtu EU je komplikovaný a je třeba jej výrazně zjednodušit. Za nejvhodnější kritérium pro stanovení výše odvodů/příspěvků jednotlivých členských států do rozpočtu vláda ČR nadále považuje HND, který nejlépe vystihuje jejich ekonomickou vyspělost a představuje dlouhodobě aplikovaný a spravedlivý klíč.</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Návrhy na úpravy stávajících zdrojů a zavedení nových je vláda ČR připravena diskutovat v širším kontextu podoby VFR, nové zdroje musí splňovat principy subsidiarity, proporcionality a spravedlivého dopadu na členské státy. Vláda ČR se domnívá, že rozšiřování škály zdrojů financování jde spíše proti snaze o zjednodušení systému.</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bookmarkStart w:id="13" w:name="_Toc445380613"/>
      <w:bookmarkStart w:id="14" w:name="_Toc448302192"/>
      <w:r w:rsidRPr="004A2C5E">
        <w:rPr>
          <w:rFonts w:ascii="Times New Roman" w:eastAsia="Times New Roman" w:hAnsi="Times New Roman"/>
          <w:b/>
          <w:sz w:val="24"/>
          <w:szCs w:val="20"/>
          <w:lang w:eastAsia="cs-CZ"/>
        </w:rPr>
        <w:t>Předpokládaný harmonogram projednávání v orgánech EU:</w:t>
      </w:r>
      <w:bookmarkEnd w:id="13"/>
      <w:bookmarkEnd w:id="14"/>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Projednávání Víceletého finančního rámce EU 2021-2027 průběžně probíhá v jednotlivých sektorových Radách EU, klíčovou roli má Rada pro obecné záležitosti, která toto projednávání zaštiťuje a zajišťuje celkovou koordinaci diskusí mezi členskými státy. V současnosti se návrhy projednávají v pracovních skupinách Rady.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 Evropském parlamentu se návrhy nachází v tzv. přípravné fázi, návrh VFR byl přidělen rozpočtovému výboru (BUDG) jako gesčně příslušnému výboru.</w:t>
      </w:r>
    </w:p>
    <w:p w:rsidR="00B4108A" w:rsidRDefault="00B4108A"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Default="004A2C5E" w:rsidP="00D066DF">
      <w:pPr>
        <w:spacing w:after="0" w:line="240" w:lineRule="auto"/>
        <w:rPr>
          <w:rFonts w:ascii="Times New Roman" w:hAnsi="Times New Roman"/>
          <w:sz w:val="24"/>
        </w:rPr>
      </w:pPr>
    </w:p>
    <w:p w:rsidR="004A2C5E" w:rsidRPr="009E3B02" w:rsidRDefault="004A2C5E" w:rsidP="00D066DF">
      <w:pPr>
        <w:spacing w:after="0" w:line="240" w:lineRule="auto"/>
        <w:rPr>
          <w:rFonts w:ascii="Times New Roman" w:hAnsi="Times New Roman"/>
          <w:sz w:val="24"/>
        </w:rPr>
      </w:pPr>
    </w:p>
    <w:p w:rsidR="009E3B02" w:rsidRPr="009E3B02" w:rsidRDefault="009E3B02" w:rsidP="00D066DF">
      <w:pPr>
        <w:spacing w:after="0" w:line="240" w:lineRule="auto"/>
        <w:rPr>
          <w:rFonts w:ascii="Times New Roman" w:hAnsi="Times New Roman"/>
          <w:sz w:val="24"/>
        </w:rPr>
      </w:pP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lastRenderedPageBreak/>
        <w:t>Návrh nařízení Evropského parlamentu a Rady o ochraně rozpočtu Unie v případě všeobecných nedostatků týkajících se právního státu v členských státech</w:t>
      </w:r>
    </w:p>
    <w:p w:rsidR="004A2C5E" w:rsidRDefault="004A2C5E" w:rsidP="009E3B02">
      <w:pPr>
        <w:spacing w:after="0" w:line="240" w:lineRule="auto"/>
        <w:jc w:val="center"/>
        <w:rPr>
          <w:rFonts w:ascii="Times New Roman" w:hAnsi="Times New Roman"/>
          <w:b/>
          <w:sz w:val="24"/>
          <w:szCs w:val="24"/>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KOM(2018) 324 v konečném znění, kód Rady 8356/18</w:t>
      </w:r>
    </w:p>
    <w:p w:rsidR="009E3B02" w:rsidRPr="004A2C5E"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Interinstitucionální spis 2018/0136/COD</w:t>
      </w:r>
    </w:p>
    <w:p w:rsidR="004A2C5E" w:rsidRPr="009E3B02" w:rsidRDefault="004A2C5E" w:rsidP="009E3B02">
      <w:pPr>
        <w:spacing w:after="0" w:line="240" w:lineRule="auto"/>
        <w:jc w:val="center"/>
        <w:rPr>
          <w:rFonts w:ascii="Times New Roman" w:hAnsi="Times New Roman"/>
          <w:color w:val="1F4E79" w:themeColor="accent1" w:themeShade="80"/>
          <w:sz w:val="28"/>
          <w:szCs w:val="28"/>
        </w:rPr>
      </w:pPr>
    </w:p>
    <w:p w:rsidR="009E3B02" w:rsidRPr="009E3B02" w:rsidRDefault="009E3B02" w:rsidP="009E3B02">
      <w:pPr>
        <w:spacing w:after="0" w:line="240" w:lineRule="auto"/>
        <w:jc w:val="both"/>
        <w:rPr>
          <w:rFonts w:ascii="Times New Roman" w:eastAsia="Times New Roman" w:hAnsi="Times New Roman"/>
          <w:b/>
          <w:bCs/>
          <w:sz w:val="24"/>
          <w:szCs w:val="20"/>
          <w:lang w:eastAsia="cs-CZ"/>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Právní základ:</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Článek 322 odst. 1 Smlouvy o fungování Evropské unie, článek 106a Smlouvy o založení Evropského společenství pro atomovou energii.</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Datum zaslání Poslanecké sněmovně prostřednictvím VEZ:</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7. 5. 2018</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Datum projednání ve VEZ:</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24. 5. 2018 (1. kolo)</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Procedura:</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Řádný legislativní postup.</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Předběžné stanovisko vlády (dle § 109a odst. 1 jednacího řádu PS):</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Ke dni zpracování tohoto materiálu nebylo doručeno prostřednictvím systému ISAP.</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4A2C5E">
        <w:rPr>
          <w:rFonts w:ascii="Times New Roman" w:eastAsia="Times New Roman" w:hAnsi="Times New Roman"/>
          <w:b/>
          <w:sz w:val="24"/>
          <w:szCs w:val="20"/>
          <w:lang w:eastAsia="cs-CZ"/>
        </w:rPr>
        <w:t>Hodnocení z hlediska principu</w:t>
      </w:r>
      <w:r w:rsidRPr="004A2C5E">
        <w:rPr>
          <w:rFonts w:ascii="Times New Roman" w:eastAsia="Times New Roman" w:hAnsi="Times New Roman"/>
          <w:sz w:val="24"/>
          <w:szCs w:val="20"/>
          <w:lang w:eastAsia="cs-CZ"/>
        </w:rPr>
        <w:t xml:space="preserve"> </w:t>
      </w:r>
      <w:r w:rsidRPr="004A2C5E">
        <w:rPr>
          <w:rFonts w:ascii="Times New Roman" w:eastAsia="Times New Roman" w:hAnsi="Times New Roman"/>
          <w:b/>
          <w:sz w:val="24"/>
          <w:szCs w:val="20"/>
          <w:lang w:eastAsia="cs-CZ"/>
        </w:rPr>
        <w:t>subsidiarity: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je v souladu s principem subsidiarity.</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4A2C5E">
        <w:rPr>
          <w:rFonts w:ascii="Times New Roman" w:eastAsia="Times New Roman" w:hAnsi="Times New Roman"/>
          <w:b/>
          <w:sz w:val="24"/>
          <w:szCs w:val="20"/>
          <w:lang w:eastAsia="cs-CZ"/>
        </w:rPr>
        <w:t>Odůvodnění a předmět:</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dne 2. května 2018 představila balíček legislativních a nelegislativních návrhů k víceletému finančnímu rámci EU na období 2021-2027. Tento balíček, kromě jiného, obsahuje návrh nařízení Evropského parlamentu a Rady o ochraně rozpočtu Unie v případě všeobecných nedostatků týkajících se právního státu v členských státech, kterým se stanoví pravidla nezbytná k ochraně rozpočtu Unie.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navrhuje nový mechanismus, který ochrání rozpočet EU před finančními riziky spojenými s všeobecnými nedostatky týkajícími se dodržování zásad právního státu v členských státech v oblastech, jako je řádné fungování soudnictví a prevence a postihování podvodů nebo korupce. Nově navrhované nástroje by Unii umožnily pozastavit, omezit nebo zakázat přístup k finančním prostředkům EU způsobem, který je přiměřený povaze, závažnosti a rozsahu nedostatků při dodržování zásad právního státu. Toto rozhodnutí by navrhla Komise a přijala Rada hlasováním obrácenou kvalifikovanou většinou (při hlasování obrácenou kvalifikovanou většinou se návrh Komise považuje za přijatý Radou, pokud Rada nerozhodne o zamítnutí návrhu Komise kvalifikovanou většinou).</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4A2C5E">
        <w:rPr>
          <w:rFonts w:ascii="Times New Roman" w:eastAsia="Times New Roman" w:hAnsi="Times New Roman"/>
          <w:b/>
          <w:sz w:val="24"/>
          <w:szCs w:val="20"/>
          <w:lang w:eastAsia="cs-CZ"/>
        </w:rPr>
        <w:t>Obsah a dopad:</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nařízení posiluje vazbu mezi financováním EU a zásadami právního státu.</w:t>
      </w:r>
    </w:p>
    <w:p w:rsidR="009E3B02" w:rsidRPr="009E3B02" w:rsidRDefault="009E3B02" w:rsidP="009E3B02">
      <w:pPr>
        <w:spacing w:after="0" w:line="240" w:lineRule="auto"/>
        <w:jc w:val="both"/>
        <w:rPr>
          <w:rFonts w:ascii="Times New Roman" w:eastAsia="Times New Roman" w:hAnsi="Times New Roman"/>
          <w:sz w:val="24"/>
          <w:szCs w:val="20"/>
          <w:lang w:eastAsia="cs-CZ"/>
        </w:rPr>
      </w:pPr>
      <w:r w:rsidRPr="009E3B02">
        <w:rPr>
          <w:rFonts w:ascii="Times New Roman" w:eastAsia="Times New Roman" w:hAnsi="Times New Roman"/>
          <w:sz w:val="24"/>
          <w:szCs w:val="20"/>
          <w:lang w:eastAsia="cs-CZ"/>
        </w:rPr>
        <w:t>Komise navrhuje nový mechanismus, který stanoví pravidla pro ochranu rozpočtu Unie v případě všeobecných nedostatků týkajících se právního státu v členských státech.</w:t>
      </w:r>
    </w:p>
    <w:p w:rsidR="009E3B02" w:rsidRPr="009E3B02" w:rsidRDefault="009E3B02" w:rsidP="009E3B02">
      <w:pPr>
        <w:spacing w:after="0" w:line="240" w:lineRule="auto"/>
        <w:jc w:val="both"/>
        <w:rPr>
          <w:rFonts w:ascii="Times New Roman" w:eastAsia="Times New Roman" w:hAnsi="Times New Roman"/>
          <w:sz w:val="24"/>
          <w:szCs w:val="20"/>
          <w:lang w:eastAsia="cs-CZ"/>
        </w:rPr>
      </w:pPr>
      <w:r w:rsidRPr="009E3B02">
        <w:rPr>
          <w:rFonts w:ascii="Times New Roman" w:eastAsia="Times New Roman" w:hAnsi="Times New Roman"/>
          <w:sz w:val="24"/>
          <w:szCs w:val="20"/>
          <w:lang w:eastAsia="cs-CZ"/>
        </w:rPr>
        <w:t>Komise navrhuje přijmout vhodná opatření v případě, že obecný nedostatek právního státu v členském státě narušuje zásady řádného finančního řízení nebo ochranu finančních zájmů Unie nebo narušuje zejména:</w:t>
      </w:r>
    </w:p>
    <w:p w:rsidR="009E3B02" w:rsidRPr="009E3B02" w:rsidRDefault="009E3B02" w:rsidP="009E3B02">
      <w:pPr>
        <w:numPr>
          <w:ilvl w:val="0"/>
          <w:numId w:val="27"/>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lastRenderedPageBreak/>
        <w:t>řádné fungování orgánů tohoto členského státu,</w:t>
      </w:r>
      <w:r w:rsidRPr="009E3B02">
        <w:rPr>
          <w:rFonts w:ascii="Times New Roman" w:hAnsi="Times New Roman"/>
        </w:rPr>
        <w:t xml:space="preserve"> </w:t>
      </w:r>
      <w:r w:rsidRPr="009E3B02">
        <w:rPr>
          <w:rFonts w:ascii="Times New Roman" w:hAnsi="Times New Roman"/>
          <w:sz w:val="24"/>
          <w:szCs w:val="24"/>
        </w:rPr>
        <w:t>které plní rozpočet Unie, především v souvislosti s postupy pro zadávání veřejných zakázek nebo udělování grantů a při provádění sledování a kontrol;</w:t>
      </w:r>
    </w:p>
    <w:p w:rsidR="009E3B02" w:rsidRPr="009E3B02" w:rsidRDefault="009E3B02" w:rsidP="009E3B02">
      <w:pPr>
        <w:numPr>
          <w:ilvl w:val="0"/>
          <w:numId w:val="27"/>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řádné fungování orgánů pověřených vyšetřováním a trestním stíháním v souvislosti se stíháním podvodů, korupce nebo jiných případů porušení práva Unie týkajícího se plnění rozpočtu Unie;</w:t>
      </w:r>
    </w:p>
    <w:p w:rsidR="009E3B02" w:rsidRPr="009E3B02" w:rsidRDefault="009E3B02" w:rsidP="009E3B02">
      <w:pPr>
        <w:numPr>
          <w:ilvl w:val="0"/>
          <w:numId w:val="27"/>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účinný soudní přezkum jednání nebo opomenutí ze strany orgánů uvedených v písmenech a) a b) nezávislými soudy;</w:t>
      </w:r>
    </w:p>
    <w:p w:rsidR="009E3B02" w:rsidRPr="009E3B02" w:rsidRDefault="009E3B02" w:rsidP="009E3B02">
      <w:pPr>
        <w:numPr>
          <w:ilvl w:val="0"/>
          <w:numId w:val="27"/>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prevenci a potrestání podvodů, korupce nebo jiných případů porušení práva Unie týkajícího se plnění rozpočtu Unie a uložení účinných a odrazujících sankcí příjemcům finančních prostředků vnitrostátními soudy nebo správními orgány;</w:t>
      </w:r>
    </w:p>
    <w:p w:rsidR="009E3B02" w:rsidRPr="009E3B02" w:rsidRDefault="009E3B02" w:rsidP="009E3B02">
      <w:pPr>
        <w:numPr>
          <w:ilvl w:val="0"/>
          <w:numId w:val="27"/>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zpětné získávání neoprávněně vyplacených finančních prostředků;</w:t>
      </w:r>
    </w:p>
    <w:p w:rsidR="009E3B02" w:rsidRPr="009E3B02" w:rsidRDefault="009E3B02" w:rsidP="009E3B02">
      <w:pPr>
        <w:numPr>
          <w:ilvl w:val="0"/>
          <w:numId w:val="27"/>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účinnou a včasnou spolupráci s Evropským úřadem pro boj proti podvodům a s Úřadem evropského veřejného žalobce při vyšetřování nebo stíhání v souladu s jejich příslušnými právními předpisy a se zásadou loajální spolupráce.</w:t>
      </w:r>
    </w:p>
    <w:p w:rsidR="009E3B02" w:rsidRPr="009E3B02" w:rsidRDefault="009E3B02" w:rsidP="009E3B02">
      <w:pPr>
        <w:spacing w:after="0" w:line="240" w:lineRule="auto"/>
        <w:jc w:val="both"/>
        <w:rPr>
          <w:rFonts w:ascii="Times New Roman" w:eastAsia="Times New Roman" w:hAnsi="Times New Roman"/>
          <w:sz w:val="24"/>
          <w:szCs w:val="24"/>
          <w:lang w:eastAsia="cs-CZ"/>
        </w:rPr>
      </w:pPr>
      <w:r w:rsidRPr="009E3B02">
        <w:rPr>
          <w:rFonts w:ascii="Times New Roman" w:eastAsia="Times New Roman" w:hAnsi="Times New Roman"/>
          <w:sz w:val="24"/>
          <w:szCs w:val="24"/>
          <w:lang w:eastAsia="cs-CZ"/>
        </w:rPr>
        <w:t>Za všeobecné nedostatky v oblasti právního státu lze považovat zejména:</w:t>
      </w:r>
    </w:p>
    <w:p w:rsidR="009E3B02" w:rsidRPr="009E3B02" w:rsidRDefault="009E3B02" w:rsidP="009E3B02">
      <w:pPr>
        <w:numPr>
          <w:ilvl w:val="0"/>
          <w:numId w:val="28"/>
        </w:numPr>
        <w:suppressAutoHyphens/>
        <w:autoSpaceDN w:val="0"/>
        <w:spacing w:after="0" w:line="254" w:lineRule="auto"/>
        <w:ind w:left="714" w:hanging="357"/>
        <w:jc w:val="both"/>
        <w:textAlignment w:val="baseline"/>
        <w:rPr>
          <w:rFonts w:ascii="Times New Roman" w:hAnsi="Times New Roman"/>
          <w:sz w:val="24"/>
          <w:szCs w:val="24"/>
        </w:rPr>
      </w:pPr>
      <w:r w:rsidRPr="009E3B02">
        <w:rPr>
          <w:rFonts w:ascii="Times New Roman" w:hAnsi="Times New Roman"/>
          <w:sz w:val="24"/>
          <w:szCs w:val="24"/>
        </w:rPr>
        <w:t>ohrožení nezávislosti soudnictví;</w:t>
      </w:r>
    </w:p>
    <w:p w:rsidR="009E3B02" w:rsidRPr="009E3B02" w:rsidRDefault="009E3B02" w:rsidP="009E3B02">
      <w:pPr>
        <w:numPr>
          <w:ilvl w:val="0"/>
          <w:numId w:val="28"/>
        </w:numPr>
        <w:suppressAutoHyphens/>
        <w:autoSpaceDN w:val="0"/>
        <w:spacing w:after="0" w:line="254" w:lineRule="auto"/>
        <w:ind w:left="714" w:hanging="357"/>
        <w:jc w:val="both"/>
        <w:textAlignment w:val="baseline"/>
        <w:rPr>
          <w:rFonts w:ascii="Times New Roman" w:hAnsi="Times New Roman"/>
          <w:sz w:val="24"/>
          <w:szCs w:val="24"/>
        </w:rPr>
      </w:pPr>
      <w:r w:rsidRPr="009E3B02">
        <w:rPr>
          <w:rFonts w:ascii="Times New Roman" w:hAnsi="Times New Roman"/>
          <w:sz w:val="24"/>
          <w:szCs w:val="24"/>
        </w:rPr>
        <w:t>neuskutečnění prevence, nápravy nebo sankce svévolných nebo protiprávních rozhodnutí orgánů veřejné moci, mimo jiné ze strany donucovacích orgánů, zadržování finančních a lidských zdrojů, které mají vliv na jejich řádné fungování, nebo nezajištění vyloučení střetu zájmů;</w:t>
      </w:r>
    </w:p>
    <w:p w:rsidR="009E3B02" w:rsidRPr="009E3B02" w:rsidRDefault="009E3B02" w:rsidP="009E3B02">
      <w:pPr>
        <w:numPr>
          <w:ilvl w:val="0"/>
          <w:numId w:val="28"/>
        </w:numPr>
        <w:suppressAutoHyphens/>
        <w:autoSpaceDN w:val="0"/>
        <w:spacing w:after="0" w:line="254" w:lineRule="auto"/>
        <w:ind w:left="714" w:hanging="357"/>
        <w:jc w:val="both"/>
        <w:textAlignment w:val="baseline"/>
        <w:rPr>
          <w:rFonts w:ascii="Times New Roman" w:hAnsi="Times New Roman"/>
          <w:sz w:val="24"/>
          <w:szCs w:val="24"/>
        </w:rPr>
      </w:pPr>
      <w:r w:rsidRPr="009E3B02">
        <w:rPr>
          <w:rFonts w:ascii="Times New Roman" w:hAnsi="Times New Roman"/>
          <w:sz w:val="24"/>
          <w:szCs w:val="24"/>
        </w:rPr>
        <w:t>omezování dostupnosti a účinnosti právních opravných prostředků, mimo jiné prostřednictvím omezujících procesních pravidel, nedostatečné provádění soudních rozhodnutí nebo omezování účinného vyšetřování, stíhání nebo trestání případů porušování práva.</w:t>
      </w:r>
    </w:p>
    <w:p w:rsidR="009E3B02" w:rsidRPr="009E3B02" w:rsidRDefault="009E3B02" w:rsidP="009E3B02">
      <w:pPr>
        <w:suppressAutoHyphens/>
        <w:autoSpaceDN w:val="0"/>
        <w:spacing w:after="0" w:line="254" w:lineRule="auto"/>
        <w:jc w:val="both"/>
        <w:textAlignment w:val="baseline"/>
        <w:rPr>
          <w:rFonts w:ascii="Times New Roman" w:hAnsi="Times New Roman"/>
          <w:sz w:val="24"/>
          <w:szCs w:val="24"/>
        </w:rPr>
      </w:pPr>
    </w:p>
    <w:p w:rsidR="009E3B02" w:rsidRPr="009E3B02" w:rsidRDefault="009E3B02" w:rsidP="009E3B02">
      <w:pPr>
        <w:suppressAutoHyphens/>
        <w:autoSpaceDN w:val="0"/>
        <w:spacing w:after="0" w:line="254" w:lineRule="auto"/>
        <w:jc w:val="both"/>
        <w:textAlignment w:val="baseline"/>
        <w:rPr>
          <w:rFonts w:ascii="Times New Roman" w:hAnsi="Times New Roman"/>
          <w:sz w:val="24"/>
          <w:szCs w:val="24"/>
        </w:rPr>
      </w:pPr>
    </w:p>
    <w:p w:rsidR="009E3B02" w:rsidRPr="009E3B02" w:rsidRDefault="009E3B02" w:rsidP="009E3B02">
      <w:pPr>
        <w:spacing w:after="120" w:line="240" w:lineRule="auto"/>
        <w:jc w:val="both"/>
        <w:rPr>
          <w:rFonts w:ascii="Times New Roman" w:eastAsia="Times New Roman" w:hAnsi="Times New Roman"/>
          <w:sz w:val="24"/>
          <w:szCs w:val="24"/>
          <w:lang w:eastAsia="cs-CZ"/>
        </w:rPr>
      </w:pPr>
      <w:r w:rsidRPr="009E3B02">
        <w:rPr>
          <w:rFonts w:ascii="Times New Roman" w:eastAsia="Times New Roman" w:hAnsi="Times New Roman"/>
          <w:sz w:val="24"/>
          <w:szCs w:val="24"/>
          <w:lang w:eastAsia="cs-CZ"/>
        </w:rPr>
        <w:t>K nápravě nedostatků může být přijato jedno nebo více následujících vhodných opatření:</w:t>
      </w:r>
    </w:p>
    <w:p w:rsidR="009E3B02" w:rsidRPr="009E3B02" w:rsidRDefault="009E3B02" w:rsidP="009E3B02">
      <w:pPr>
        <w:numPr>
          <w:ilvl w:val="0"/>
          <w:numId w:val="29"/>
        </w:numPr>
        <w:suppressAutoHyphens/>
        <w:autoSpaceDN w:val="0"/>
        <w:spacing w:after="0" w:line="254" w:lineRule="auto"/>
        <w:ind w:left="714" w:hanging="357"/>
        <w:jc w:val="both"/>
        <w:textAlignment w:val="baseline"/>
        <w:rPr>
          <w:rFonts w:ascii="Times New Roman" w:hAnsi="Times New Roman"/>
          <w:sz w:val="24"/>
          <w:szCs w:val="24"/>
        </w:rPr>
      </w:pPr>
      <w:r w:rsidRPr="009E3B02">
        <w:rPr>
          <w:rFonts w:ascii="Times New Roman" w:hAnsi="Times New Roman"/>
          <w:sz w:val="24"/>
          <w:szCs w:val="24"/>
        </w:rPr>
        <w:t>pokud Komise provádí rozpočet Unie v přímém nebo nepřímém řízení a pokud je příjemcem vládní subjekt:</w:t>
      </w:r>
    </w:p>
    <w:p w:rsidR="009E3B02" w:rsidRPr="009E3B02" w:rsidRDefault="009E3B02" w:rsidP="009E3B02">
      <w:pPr>
        <w:numPr>
          <w:ilvl w:val="0"/>
          <w:numId w:val="30"/>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pozastavení plateb nebo plnění právního závazku či ukončení platnosti právního závazku;</w:t>
      </w:r>
    </w:p>
    <w:p w:rsidR="009E3B02" w:rsidRPr="009E3B02" w:rsidRDefault="009E3B02" w:rsidP="009E3B02">
      <w:pPr>
        <w:numPr>
          <w:ilvl w:val="0"/>
          <w:numId w:val="30"/>
        </w:numPr>
        <w:suppressAutoHyphens/>
        <w:autoSpaceDN w:val="0"/>
        <w:spacing w:after="0" w:line="254" w:lineRule="auto"/>
        <w:ind w:left="1066" w:hanging="357"/>
        <w:jc w:val="both"/>
        <w:textAlignment w:val="baseline"/>
        <w:rPr>
          <w:rFonts w:ascii="Times New Roman" w:hAnsi="Times New Roman"/>
          <w:sz w:val="24"/>
          <w:szCs w:val="24"/>
        </w:rPr>
      </w:pPr>
      <w:r w:rsidRPr="009E3B02">
        <w:rPr>
          <w:rFonts w:ascii="Times New Roman" w:hAnsi="Times New Roman"/>
          <w:sz w:val="24"/>
          <w:szCs w:val="24"/>
        </w:rPr>
        <w:t>zákaz uzavírat nové právní závazky;</w:t>
      </w:r>
    </w:p>
    <w:p w:rsidR="009E3B02" w:rsidRPr="009E3B02" w:rsidRDefault="009E3B02" w:rsidP="009E3B02">
      <w:pPr>
        <w:numPr>
          <w:ilvl w:val="0"/>
          <w:numId w:val="29"/>
        </w:numPr>
        <w:suppressAutoHyphens/>
        <w:autoSpaceDN w:val="0"/>
        <w:spacing w:after="0" w:line="254" w:lineRule="auto"/>
        <w:ind w:left="714" w:hanging="357"/>
        <w:jc w:val="both"/>
        <w:textAlignment w:val="baseline"/>
        <w:rPr>
          <w:rFonts w:ascii="Times New Roman" w:hAnsi="Times New Roman"/>
          <w:sz w:val="24"/>
          <w:szCs w:val="24"/>
        </w:rPr>
      </w:pPr>
      <w:r w:rsidRPr="009E3B02">
        <w:rPr>
          <w:rFonts w:ascii="Times New Roman" w:hAnsi="Times New Roman"/>
          <w:sz w:val="24"/>
          <w:szCs w:val="24"/>
        </w:rPr>
        <w:t>pokud Komise provádí rozpočet Unie v rámci sdíleného řízení:</w:t>
      </w:r>
    </w:p>
    <w:p w:rsidR="009E3B02" w:rsidRPr="009E3B02" w:rsidRDefault="009E3B02" w:rsidP="009E3B02">
      <w:pPr>
        <w:numPr>
          <w:ilvl w:val="0"/>
          <w:numId w:val="32"/>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pozastavení schválení jednoho nebo více programů nebo jeho/jejich změny;</w:t>
      </w:r>
    </w:p>
    <w:p w:rsidR="009E3B02" w:rsidRPr="009E3B02" w:rsidRDefault="009E3B02" w:rsidP="009E3B02">
      <w:pPr>
        <w:numPr>
          <w:ilvl w:val="0"/>
          <w:numId w:val="32"/>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pozastavení závazků;</w:t>
      </w:r>
    </w:p>
    <w:p w:rsidR="009E3B02" w:rsidRPr="009E3B02" w:rsidRDefault="009E3B02" w:rsidP="009E3B02">
      <w:pPr>
        <w:numPr>
          <w:ilvl w:val="0"/>
          <w:numId w:val="32"/>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snížení závazků,</w:t>
      </w:r>
      <w:r w:rsidRPr="009E3B02">
        <w:rPr>
          <w:rFonts w:ascii="Times New Roman" w:hAnsi="Times New Roman"/>
        </w:rPr>
        <w:t xml:space="preserve"> </w:t>
      </w:r>
      <w:r w:rsidRPr="009E3B02">
        <w:rPr>
          <w:rFonts w:ascii="Times New Roman" w:hAnsi="Times New Roman"/>
          <w:sz w:val="24"/>
          <w:szCs w:val="24"/>
        </w:rPr>
        <w:t>mimo jiné prostřednictvím finančních oprav nebo převodů na jiné výdajové programy;</w:t>
      </w:r>
    </w:p>
    <w:p w:rsidR="009E3B02" w:rsidRPr="009E3B02" w:rsidRDefault="009E3B02" w:rsidP="009E3B02">
      <w:pPr>
        <w:numPr>
          <w:ilvl w:val="0"/>
          <w:numId w:val="32"/>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snížení předběžného financování;</w:t>
      </w:r>
    </w:p>
    <w:p w:rsidR="009E3B02" w:rsidRPr="009E3B02" w:rsidRDefault="009E3B02" w:rsidP="009E3B02">
      <w:pPr>
        <w:numPr>
          <w:ilvl w:val="0"/>
          <w:numId w:val="32"/>
        </w:numPr>
        <w:suppressAutoHyphens/>
        <w:autoSpaceDN w:val="0"/>
        <w:spacing w:after="0" w:line="254" w:lineRule="auto"/>
        <w:jc w:val="both"/>
        <w:textAlignment w:val="baseline"/>
        <w:rPr>
          <w:rFonts w:ascii="Times New Roman" w:hAnsi="Times New Roman"/>
          <w:sz w:val="24"/>
          <w:szCs w:val="24"/>
        </w:rPr>
      </w:pPr>
      <w:r w:rsidRPr="009E3B02">
        <w:rPr>
          <w:rFonts w:ascii="Times New Roman" w:hAnsi="Times New Roman"/>
          <w:sz w:val="24"/>
          <w:szCs w:val="24"/>
        </w:rPr>
        <w:t>přerušení platebních lhůt;</w:t>
      </w:r>
    </w:p>
    <w:p w:rsidR="009E3B02" w:rsidRPr="009E3B02" w:rsidRDefault="009E3B02" w:rsidP="009E3B02">
      <w:pPr>
        <w:numPr>
          <w:ilvl w:val="0"/>
          <w:numId w:val="31"/>
        </w:numPr>
        <w:suppressAutoHyphens/>
        <w:autoSpaceDN w:val="0"/>
        <w:spacing w:after="0" w:line="254" w:lineRule="auto"/>
        <w:ind w:hanging="357"/>
        <w:jc w:val="both"/>
        <w:textAlignment w:val="baseline"/>
        <w:rPr>
          <w:rFonts w:ascii="Times New Roman" w:hAnsi="Times New Roman"/>
          <w:sz w:val="24"/>
          <w:szCs w:val="24"/>
        </w:rPr>
      </w:pPr>
      <w:r w:rsidRPr="009E3B02">
        <w:rPr>
          <w:rFonts w:ascii="Times New Roman" w:hAnsi="Times New Roman"/>
          <w:sz w:val="24"/>
          <w:szCs w:val="24"/>
        </w:rPr>
        <w:t>pozastavení plateb.</w:t>
      </w:r>
    </w:p>
    <w:p w:rsidR="009E3B02" w:rsidRPr="009E3B02" w:rsidRDefault="009E3B02" w:rsidP="009E3B02">
      <w:pPr>
        <w:spacing w:after="0" w:line="240" w:lineRule="auto"/>
        <w:jc w:val="both"/>
        <w:rPr>
          <w:rFonts w:ascii="Times New Roman" w:eastAsia="Times New Roman" w:hAnsi="Times New Roman"/>
          <w:sz w:val="24"/>
          <w:szCs w:val="24"/>
          <w:lang w:eastAsia="cs-CZ"/>
        </w:rPr>
      </w:pPr>
      <w:r w:rsidRPr="009E3B02">
        <w:rPr>
          <w:rFonts w:ascii="Times New Roman" w:eastAsia="Times New Roman" w:hAnsi="Times New Roman"/>
          <w:sz w:val="24"/>
          <w:szCs w:val="24"/>
          <w:lang w:eastAsia="cs-CZ"/>
        </w:rPr>
        <w:t>Pokud rozhodnutí, kterým se přijímají opatření, nestanoví jinak, uložení vhodných opatření nemá vliv na povinnost ústředních orgánů státní správy nebo členských států provádět program nebo využívat fond ovlivněný tímto opatřením a zejména povinnost provést platby konečným příjemcům nebo příjemcům.</w:t>
      </w:r>
    </w:p>
    <w:p w:rsidR="009E3B02" w:rsidRPr="009E3B02" w:rsidRDefault="009E3B02" w:rsidP="009E3B02">
      <w:pPr>
        <w:spacing w:after="0" w:line="240" w:lineRule="auto"/>
        <w:jc w:val="both"/>
        <w:rPr>
          <w:rFonts w:ascii="Times New Roman" w:eastAsia="Times New Roman" w:hAnsi="Times New Roman"/>
          <w:sz w:val="24"/>
          <w:szCs w:val="24"/>
          <w:lang w:eastAsia="cs-CZ"/>
        </w:rPr>
      </w:pPr>
      <w:r w:rsidRPr="009E3B02">
        <w:rPr>
          <w:rFonts w:ascii="Times New Roman" w:eastAsia="Times New Roman" w:hAnsi="Times New Roman"/>
          <w:sz w:val="24"/>
          <w:szCs w:val="24"/>
          <w:lang w:eastAsia="cs-CZ"/>
        </w:rPr>
        <w:t>Přijatá opatření musí být přiměřená povaze, závažnosti a rozsahu všeobecných nedostatků týkajících se právního státu. Musí být pokud možno zaměřena na akce Unie ovlivněné nebo potenciálně ovlivněné tímto nedostatkem.</w:t>
      </w:r>
    </w:p>
    <w:p w:rsidR="009E3B02" w:rsidRPr="009E3B02" w:rsidRDefault="009E3B02" w:rsidP="009E3B02">
      <w:pPr>
        <w:spacing w:after="0" w:line="240" w:lineRule="auto"/>
        <w:jc w:val="both"/>
        <w:rPr>
          <w:rFonts w:ascii="Times New Roman" w:eastAsia="Times New Roman" w:hAnsi="Times New Roman"/>
          <w:sz w:val="24"/>
          <w:szCs w:val="24"/>
          <w:lang w:eastAsia="cs-CZ"/>
        </w:rPr>
      </w:pPr>
      <w:r w:rsidRPr="009E3B02">
        <w:rPr>
          <w:rFonts w:ascii="Times New Roman" w:eastAsia="Times New Roman" w:hAnsi="Times New Roman"/>
          <w:sz w:val="24"/>
          <w:szCs w:val="24"/>
          <w:lang w:eastAsia="cs-CZ"/>
        </w:rPr>
        <w:lastRenderedPageBreak/>
        <w:t>Komise při rozhodování o tom, zda předloží návrh rozhodnutí o vhodných opatřeních, zohlední informace, které obdržela, a případné připomínky dotčeného členského státu, jakož i přiměřenost navrhovaných nápravných opatření. Pokud se Komise domnívá, že byl zjištěn všeobecný nedostatek týkající se právního státu, předloží Radě návrh prováděcího aktu o vhodných opatřeních. Rozhodnutí se považuje za přijaté Radou, pokud Rada nerozhodne kvalifikovanou většinou o zamítnutí návrhu Komise do jednoho měsíce od jeho přijetí Komisí. Rada může kvalifikovanou většinou návrh Komise pozměnit a přijmout pozměněné znění jako rozhodnutí Rady.</w:t>
      </w:r>
    </w:p>
    <w:p w:rsidR="009E3B02" w:rsidRPr="009E3B02" w:rsidRDefault="009E3B02" w:rsidP="009E3B02">
      <w:pPr>
        <w:spacing w:after="0" w:line="240" w:lineRule="auto"/>
        <w:jc w:val="both"/>
        <w:rPr>
          <w:rFonts w:ascii="Times New Roman" w:eastAsia="Times New Roman" w:hAnsi="Times New Roman"/>
          <w:sz w:val="24"/>
          <w:szCs w:val="24"/>
          <w:lang w:eastAsia="cs-CZ"/>
        </w:rPr>
      </w:pPr>
      <w:r w:rsidRPr="009E3B02">
        <w:rPr>
          <w:rFonts w:ascii="Times New Roman" w:eastAsia="Times New Roman" w:hAnsi="Times New Roman"/>
          <w:sz w:val="24"/>
          <w:szCs w:val="24"/>
          <w:lang w:eastAsia="cs-CZ"/>
        </w:rPr>
        <w:t>Dotčený členský stát může kdykoliv Komisi předložit důkazy, jimiž prokáže, že všeobecný nedostatek týkající se právního státu byl napraven nebo přestal existovat. Komise situaci v dotčeném členském státě posoudí. Jakmile všeobecné nedostatky týkající se právního státu, na jejichž základě byla přijata vhodná opatření, přestanou zcela nebo částečně existovat, Komise předloží Radě návrh rozhodnutí na zrušení těchto opatření v plném rozsahu nebo jejich části.</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0" w:line="240" w:lineRule="auto"/>
        <w:jc w:val="both"/>
        <w:rPr>
          <w:rFonts w:ascii="Times New Roman" w:hAnsi="Times New Roman"/>
          <w:i/>
          <w:sz w:val="24"/>
          <w:u w:val="single"/>
        </w:rPr>
      </w:pPr>
      <w:r w:rsidRPr="009E3B02">
        <w:rPr>
          <w:rFonts w:ascii="Times New Roman" w:hAnsi="Times New Roman"/>
          <w:i/>
          <w:sz w:val="24"/>
          <w:u w:val="single"/>
        </w:rPr>
        <w:t>Dopad na státní rozpočet a právní řád ČR:</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Přijaté nařízení nebude mít dopad na státní rozpočet a právní řád ČR. Dopad na státní rozpočet bude mít případné rozhodnutí Rady o nápravných opatřeních.</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4A2C5E">
        <w:rPr>
          <w:rFonts w:ascii="Times New Roman" w:eastAsia="Times New Roman" w:hAnsi="Times New Roman"/>
          <w:b/>
          <w:sz w:val="24"/>
          <w:szCs w:val="20"/>
          <w:lang w:eastAsia="cs-CZ"/>
        </w:rPr>
        <w:t>Stanovisko vlády ČR:</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Podle předběžné verze rámcové pozice vláda ČR podporuje dodržování zásad právního státu a ostatních hodnot, na kterých je založena Unie, a je si vědoma nutnosti existence efektivního systému jejich ochrany. Je toho názoru, že by nemělo docházet k dublování již existujících mechanismů a měl by vždy být dostatečně rozpracován vztah nově navrhovaných postupů s těmi již existujícími, včetně koherence celého systému.</w:t>
      </w:r>
    </w:p>
    <w:p w:rsidR="009E3B02" w:rsidRPr="009E3B02" w:rsidRDefault="009E3B02" w:rsidP="009E3B02">
      <w:pPr>
        <w:spacing w:after="0" w:line="240" w:lineRule="auto"/>
        <w:jc w:val="both"/>
        <w:rPr>
          <w:rFonts w:ascii="Times New Roman" w:hAnsi="Times New Roman"/>
          <w:sz w:val="24"/>
        </w:rPr>
      </w:pPr>
    </w:p>
    <w:p w:rsidR="009E3B02" w:rsidRPr="004A2C5E" w:rsidRDefault="009E3B02" w:rsidP="004A2C5E">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4A2C5E">
        <w:rPr>
          <w:rFonts w:ascii="Times New Roman" w:eastAsia="Times New Roman" w:hAnsi="Times New Roman"/>
          <w:b/>
          <w:sz w:val="24"/>
          <w:szCs w:val="20"/>
          <w:lang w:eastAsia="cs-CZ"/>
        </w:rPr>
        <w:t>Předpokládaný harmonogram projednávání v orgánech EU:</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Projednávání návrhu nařízení průběžně probíhá v jednotlivých sektorových Radách EU, klíčovou roli má Rada pro obecné záležitosti, která toto projednávání zaštiťuje a zajišťuje celkovou koordinaci diskusí mezi členskými státy. V současnosti se návrh projednává v pracovních skupinách Rady.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 Evropském parlamentu se návrh nařízení nachází v tzv. přípravné fázi, návrh byl přidělen rozpočtovému výboru (BUDG) jako gesčně příslušnému výboru.</w:t>
      </w:r>
    </w:p>
    <w:p w:rsidR="009E3B02" w:rsidRPr="009E3B02" w:rsidRDefault="009E3B02" w:rsidP="00D066DF">
      <w:pPr>
        <w:spacing w:after="0" w:line="240" w:lineRule="auto"/>
        <w:rPr>
          <w:rFonts w:ascii="Times New Roman" w:hAnsi="Times New Roman"/>
          <w:sz w:val="24"/>
        </w:rPr>
      </w:pPr>
    </w:p>
    <w:p w:rsidR="009E3B02" w:rsidRPr="009E3B02" w:rsidRDefault="009E3B02" w:rsidP="00D066DF">
      <w:pPr>
        <w:spacing w:after="0" w:line="240" w:lineRule="auto"/>
        <w:rPr>
          <w:rFonts w:ascii="Times New Roman" w:hAnsi="Times New Roman"/>
          <w:sz w:val="24"/>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4A2C5E" w:rsidRDefault="004A2C5E" w:rsidP="009E3B02">
      <w:pPr>
        <w:spacing w:after="0" w:line="240" w:lineRule="auto"/>
        <w:jc w:val="center"/>
        <w:rPr>
          <w:rFonts w:ascii="Times New Roman" w:hAnsi="Times New Roman"/>
          <w:color w:val="1F4E79" w:themeColor="accent1" w:themeShade="80"/>
          <w:sz w:val="28"/>
          <w:szCs w:val="28"/>
        </w:rPr>
      </w:pP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lastRenderedPageBreak/>
        <w:t>Návrh rozhodnutí Rady o systému vlastních zdrojů Evropské unie</w:t>
      </w: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t>KOM(2018) 325 v konečném znění, kód Rady 8357/18</w:t>
      </w:r>
    </w:p>
    <w:p w:rsidR="002B270D"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Interinstitucionální spis 2018/0135/CNS</w:t>
      </w:r>
    </w:p>
    <w:p w:rsidR="009E3B02" w:rsidRDefault="009E3B02" w:rsidP="009E3B02">
      <w:pPr>
        <w:spacing w:after="0" w:line="240" w:lineRule="auto"/>
        <w:jc w:val="center"/>
        <w:rPr>
          <w:rFonts w:ascii="Times New Roman" w:hAnsi="Times New Roman"/>
          <w:b/>
          <w:sz w:val="28"/>
          <w:szCs w:val="28"/>
        </w:rPr>
      </w:pPr>
    </w:p>
    <w:p w:rsidR="002B270D" w:rsidRPr="009E3B02"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t>Návrh nařízení Rady o metodách a postupu pro poskytování vlastních zdrojů ze společného konsolidovaného základu daně z příjmů právnických osob, ze systému Evropské unie pro obchodování s emisemi a z plastových obalových odpadů, které nejsou recyklovány, a o opatřeních ke krytí hotovostních nároků</w:t>
      </w:r>
    </w:p>
    <w:p w:rsidR="002B270D"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KOM(2018) 326 v konečném znění, kód Rady 8358/18</w:t>
      </w: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Interinstitucionální spis 2018/0131/NLE</w:t>
      </w:r>
    </w:p>
    <w:p w:rsidR="009E3B02" w:rsidRDefault="009E3B02" w:rsidP="009E3B02">
      <w:pPr>
        <w:spacing w:after="0" w:line="240" w:lineRule="auto"/>
        <w:jc w:val="center"/>
        <w:rPr>
          <w:rFonts w:ascii="Times New Roman" w:hAnsi="Times New Roman"/>
          <w:b/>
          <w:sz w:val="28"/>
          <w:szCs w:val="28"/>
        </w:rPr>
      </w:pPr>
    </w:p>
    <w:p w:rsidR="002B270D" w:rsidRPr="009E3B02"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t>Návrh nařízení Rady, kterým se stanoví prováděcí opatření pro systém vlastních zdrojů Evropské unie</w:t>
      </w:r>
    </w:p>
    <w:p w:rsidR="002B270D"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KOM(2018) 327 v konečném znění, kód Rady 8359/18</w:t>
      </w: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Interinstitucionální spis 2018/0132/APP</w:t>
      </w:r>
    </w:p>
    <w:p w:rsidR="009E3B02" w:rsidRDefault="009E3B02" w:rsidP="009E3B02">
      <w:pPr>
        <w:spacing w:after="0" w:line="240" w:lineRule="auto"/>
        <w:jc w:val="center"/>
        <w:rPr>
          <w:rFonts w:ascii="Times New Roman" w:hAnsi="Times New Roman"/>
          <w:b/>
          <w:sz w:val="28"/>
          <w:szCs w:val="28"/>
        </w:rPr>
      </w:pPr>
    </w:p>
    <w:p w:rsidR="002B270D" w:rsidRPr="009E3B02"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8"/>
          <w:szCs w:val="28"/>
        </w:rPr>
      </w:pPr>
      <w:r w:rsidRPr="009E3B02">
        <w:rPr>
          <w:rFonts w:ascii="Times New Roman" w:hAnsi="Times New Roman"/>
          <w:b/>
          <w:sz w:val="28"/>
          <w:szCs w:val="28"/>
        </w:rPr>
        <w:t>Návrh nařízení Rady, kterým se mění nařízení (EHS, Euratom) č. 1553/89 o konečné jednotné úpravě vybírání vlastních zdrojů vycházejících z daně z přidané hodnoty</w:t>
      </w:r>
    </w:p>
    <w:p w:rsidR="002B270D" w:rsidRDefault="002B270D" w:rsidP="009E3B02">
      <w:pPr>
        <w:spacing w:after="0" w:line="240" w:lineRule="auto"/>
        <w:jc w:val="center"/>
        <w:rPr>
          <w:rFonts w:ascii="Times New Roman" w:hAnsi="Times New Roman"/>
          <w:b/>
          <w:sz w:val="28"/>
          <w:szCs w:val="28"/>
        </w:rPr>
      </w:pP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KOM(2018) 328 v konečném znění, kód Rady 8360/18</w:t>
      </w:r>
    </w:p>
    <w:p w:rsidR="009E3B02" w:rsidRPr="009E3B02" w:rsidRDefault="009E3B02" w:rsidP="009E3B02">
      <w:pPr>
        <w:spacing w:after="0" w:line="240" w:lineRule="auto"/>
        <w:jc w:val="center"/>
        <w:rPr>
          <w:rFonts w:ascii="Times New Roman" w:hAnsi="Times New Roman"/>
          <w:b/>
          <w:sz w:val="24"/>
          <w:szCs w:val="24"/>
        </w:rPr>
      </w:pPr>
      <w:r w:rsidRPr="009E3B02">
        <w:rPr>
          <w:rFonts w:ascii="Times New Roman" w:hAnsi="Times New Roman"/>
          <w:b/>
          <w:sz w:val="24"/>
          <w:szCs w:val="24"/>
        </w:rPr>
        <w:t>Interinstitucionální spis 2018/0133/NLE</w:t>
      </w:r>
    </w:p>
    <w:p w:rsidR="009E3B02" w:rsidRPr="009E3B02" w:rsidRDefault="009E3B02" w:rsidP="009E3B02">
      <w:pPr>
        <w:spacing w:after="0" w:line="240" w:lineRule="auto"/>
        <w:jc w:val="both"/>
        <w:rPr>
          <w:rFonts w:ascii="Times New Roman" w:eastAsia="Times New Roman" w:hAnsi="Times New Roman"/>
          <w:caps/>
          <w:sz w:val="20"/>
          <w:szCs w:val="20"/>
          <w:lang w:eastAsia="cs-CZ"/>
        </w:rPr>
      </w:pPr>
    </w:p>
    <w:p w:rsidR="009E3B02" w:rsidRDefault="009E3B02" w:rsidP="009E3B02">
      <w:pPr>
        <w:spacing w:after="0" w:line="240" w:lineRule="auto"/>
        <w:jc w:val="both"/>
        <w:rPr>
          <w:rFonts w:ascii="Times New Roman" w:eastAsia="Times New Roman" w:hAnsi="Times New Roman"/>
          <w:b/>
          <w:bCs/>
          <w:sz w:val="24"/>
          <w:szCs w:val="20"/>
          <w:lang w:eastAsia="cs-CZ"/>
        </w:rPr>
      </w:pPr>
    </w:p>
    <w:p w:rsidR="002B270D" w:rsidRDefault="002B270D" w:rsidP="009E3B02">
      <w:pPr>
        <w:spacing w:after="0" w:line="240" w:lineRule="auto"/>
        <w:jc w:val="both"/>
        <w:rPr>
          <w:rFonts w:ascii="Times New Roman" w:eastAsia="Times New Roman" w:hAnsi="Times New Roman"/>
          <w:b/>
          <w:bCs/>
          <w:sz w:val="24"/>
          <w:szCs w:val="20"/>
          <w:lang w:eastAsia="cs-CZ"/>
        </w:rPr>
      </w:pPr>
    </w:p>
    <w:p w:rsidR="002B270D" w:rsidRPr="009E3B02" w:rsidRDefault="002B270D" w:rsidP="009E3B02">
      <w:pPr>
        <w:spacing w:after="0" w:line="240" w:lineRule="auto"/>
        <w:jc w:val="both"/>
        <w:rPr>
          <w:rFonts w:ascii="Times New Roman" w:eastAsia="Times New Roman" w:hAnsi="Times New Roman"/>
          <w:b/>
          <w:bCs/>
          <w:sz w:val="24"/>
          <w:szCs w:val="20"/>
          <w:lang w:eastAsia="cs-CZ"/>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Právní základ:</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Článek 311 odst. 3 Smlouvy o fungování Evropské unie, článek 106a Smlouvy o založení Evropského společenství pro atomovou energii. (KOM(2018) 325)</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Článek 322 odst. 2 Smlouvy o fungování Evropské unie, článek 106a Smlouvy o založení Evropského společenství pro atomovou energii. (KOM(2018) 326, KOM(2018) 328)</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Článek 311 čtvrtý pododstavec Smlouvy o fungování Evropské unie, článek 106a Smlouvy o založení Evropského společenství pro atomovou energii. (KOM(2018) 327)</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Datum zaslání Poslanecké sněmovně prostřednictvím VEZ:</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7. 5. 2018</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Datum projednání ve VEZ:</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24. 5. 2018 (1. kolo)</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lastRenderedPageBreak/>
        <w:t>Procedura:</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Postup konzultace. (KOM(2018) 325)</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Nelegislativní postup. (KOM(2018) 326, KOM(2018) 328)</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Zvláštní legislativní postup. Rada rozhoduje po obdržení souhlasu Evropského parlamentu. (KOM(2018) 327)</w:t>
      </w:r>
    </w:p>
    <w:p w:rsidR="009E3B02" w:rsidRPr="009E3B02" w:rsidRDefault="009E3B02" w:rsidP="009E3B02">
      <w:pPr>
        <w:keepNext/>
        <w:keepLines/>
        <w:numPr>
          <w:ilvl w:val="0"/>
          <w:numId w:val="19"/>
        </w:numPr>
        <w:suppressAutoHyphens/>
        <w:autoSpaceDN w:val="0"/>
        <w:spacing w:after="0" w:line="254" w:lineRule="auto"/>
        <w:ind w:left="0"/>
        <w:jc w:val="both"/>
        <w:textAlignment w:val="baseline"/>
        <w:rPr>
          <w:rFonts w:ascii="Times New Roman" w:hAnsi="Times New Roman"/>
          <w:b/>
          <w:sz w:val="24"/>
        </w:rPr>
      </w:pPr>
      <w:r w:rsidRPr="009E3B02">
        <w:rPr>
          <w:rFonts w:ascii="Times New Roman" w:hAnsi="Times New Roman"/>
          <w:b/>
          <w:sz w:val="24"/>
        </w:rPr>
        <w:t>Předběžné stanovisko vlády (dle § 109a odst. 1 jednacího řádu PS):</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Ke dni zpracování tohoto materiálu nebylo doručeno prostřednictvím systému ISAP.</w:t>
      </w:r>
    </w:p>
    <w:p w:rsidR="009E3B02" w:rsidRPr="009E3B02" w:rsidRDefault="009E3B02" w:rsidP="009E3B02">
      <w:pPr>
        <w:spacing w:after="0" w:line="240" w:lineRule="auto"/>
        <w:jc w:val="both"/>
        <w:rPr>
          <w:rFonts w:ascii="Times New Roman" w:hAnsi="Times New Roman"/>
          <w:sz w:val="24"/>
        </w:rPr>
      </w:pPr>
    </w:p>
    <w:p w:rsidR="009E3B02" w:rsidRPr="00A07307" w:rsidRDefault="009E3B02" w:rsidP="00A07307">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A07307">
        <w:rPr>
          <w:rFonts w:ascii="Times New Roman" w:eastAsia="Times New Roman" w:hAnsi="Times New Roman"/>
          <w:b/>
          <w:sz w:val="24"/>
          <w:szCs w:val="20"/>
          <w:lang w:eastAsia="cs-CZ"/>
        </w:rPr>
        <w:t>Hodnocení z hlediska principu</w:t>
      </w:r>
      <w:r w:rsidRPr="00A07307">
        <w:rPr>
          <w:rFonts w:ascii="Times New Roman" w:eastAsia="Times New Roman" w:hAnsi="Times New Roman"/>
          <w:sz w:val="24"/>
          <w:szCs w:val="20"/>
          <w:lang w:eastAsia="cs-CZ"/>
        </w:rPr>
        <w:t xml:space="preserve"> </w:t>
      </w:r>
      <w:r w:rsidRPr="00A07307">
        <w:rPr>
          <w:rFonts w:ascii="Times New Roman" w:eastAsia="Times New Roman" w:hAnsi="Times New Roman"/>
          <w:b/>
          <w:sz w:val="24"/>
          <w:szCs w:val="20"/>
          <w:lang w:eastAsia="cs-CZ"/>
        </w:rPr>
        <w:t>subsidiarity: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Návrhy jsou v souladu s principem subsidiarity.</w:t>
      </w:r>
    </w:p>
    <w:p w:rsidR="009E3B02" w:rsidRPr="009E3B02" w:rsidRDefault="009E3B02" w:rsidP="009E3B02">
      <w:pPr>
        <w:spacing w:after="0" w:line="240" w:lineRule="auto"/>
        <w:jc w:val="both"/>
        <w:rPr>
          <w:rFonts w:ascii="Times New Roman" w:hAnsi="Times New Roman"/>
          <w:sz w:val="24"/>
        </w:rPr>
      </w:pPr>
    </w:p>
    <w:p w:rsidR="009E3B02" w:rsidRPr="00A07307" w:rsidRDefault="009E3B02" w:rsidP="00A07307">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A07307">
        <w:rPr>
          <w:rFonts w:ascii="Times New Roman" w:eastAsia="Times New Roman" w:hAnsi="Times New Roman"/>
          <w:b/>
          <w:sz w:val="24"/>
          <w:szCs w:val="20"/>
          <w:lang w:eastAsia="cs-CZ"/>
        </w:rPr>
        <w:t>Odůvodnění a předmět:</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dne 2. května 2018 představila balíček legislativních a nelegislativních návrhů k víceletému finančnímu rámci EU na období 2021-2027. Tento balíček, kromě jiného, obsahuje:</w:t>
      </w:r>
    </w:p>
    <w:p w:rsidR="009E3B02" w:rsidRPr="009E3B02" w:rsidRDefault="009E3B02" w:rsidP="009E3B02">
      <w:pPr>
        <w:keepNext/>
        <w:keepLines/>
        <w:numPr>
          <w:ilvl w:val="0"/>
          <w:numId w:val="33"/>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návrh rozhodnutí Rady o systému vlastních zdrojů Evropské unie;</w:t>
      </w:r>
    </w:p>
    <w:p w:rsidR="009E3B02" w:rsidRPr="009E3B02" w:rsidRDefault="009E3B02" w:rsidP="009E3B02">
      <w:pPr>
        <w:keepNext/>
        <w:keepLines/>
        <w:numPr>
          <w:ilvl w:val="0"/>
          <w:numId w:val="33"/>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návrh nařízení Rady o metodách a postupu pro poskytování vlastních zdrojů ze společného konsolidovaného základu daně z příjmů právnických osob, ze systému Evropské unie pro obchodování s emisemi a z plastových obalových odpadů, které nejsou recyklovány, a o opatřeních ke krytí hotovostních nároků;</w:t>
      </w:r>
    </w:p>
    <w:p w:rsidR="009E3B02" w:rsidRPr="009E3B02" w:rsidRDefault="009E3B02" w:rsidP="009E3B02">
      <w:pPr>
        <w:keepNext/>
        <w:keepLines/>
        <w:numPr>
          <w:ilvl w:val="0"/>
          <w:numId w:val="33"/>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návrh nařízení Rady, kterým se stanoví prováděcí opatření pro systém vlastních zdrojů Evropské unie;</w:t>
      </w:r>
    </w:p>
    <w:p w:rsidR="009E3B02" w:rsidRPr="009E3B02" w:rsidRDefault="009E3B02" w:rsidP="009E3B02">
      <w:pPr>
        <w:keepNext/>
        <w:keepLines/>
        <w:numPr>
          <w:ilvl w:val="0"/>
          <w:numId w:val="33"/>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návrh nařízení Rady, kterým se mění nařízení (EHS, Euratom) č. 1553/89 o konečné jednotné úpravě vybírání vlastních zdrojů vycházejících z daně z přidané hodnoty.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Komise navrhuje modernizovat a zjednodušit stávající celkový systém financování rozpočtu EU – „vlastní zdroje“ a diverzifikovat zdroje příjmů rozpočtu EU.</w:t>
      </w:r>
    </w:p>
    <w:p w:rsidR="009E3B02" w:rsidRPr="009E3B02" w:rsidRDefault="009E3B02" w:rsidP="009E3B02">
      <w:pPr>
        <w:spacing w:after="0" w:line="240" w:lineRule="auto"/>
        <w:jc w:val="both"/>
        <w:rPr>
          <w:rFonts w:ascii="Times New Roman" w:hAnsi="Times New Roman"/>
          <w:sz w:val="24"/>
        </w:rPr>
      </w:pPr>
    </w:p>
    <w:p w:rsidR="009E3B02" w:rsidRPr="00A07307" w:rsidRDefault="009E3B02" w:rsidP="00A07307">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A07307">
        <w:rPr>
          <w:rFonts w:ascii="Times New Roman" w:eastAsia="Times New Roman" w:hAnsi="Times New Roman"/>
          <w:b/>
          <w:sz w:val="24"/>
          <w:szCs w:val="20"/>
          <w:lang w:eastAsia="cs-CZ"/>
        </w:rPr>
        <w:t>Obsah a dopad:</w:t>
      </w:r>
    </w:p>
    <w:p w:rsidR="009E3B02" w:rsidRPr="009E3B02" w:rsidRDefault="009E3B02" w:rsidP="009E3B02">
      <w:pPr>
        <w:spacing w:after="60" w:line="240" w:lineRule="auto"/>
        <w:jc w:val="both"/>
        <w:rPr>
          <w:rFonts w:ascii="Times New Roman" w:hAnsi="Times New Roman"/>
          <w:sz w:val="24"/>
          <w:u w:val="single"/>
        </w:rPr>
      </w:pPr>
      <w:r w:rsidRPr="009E3B02">
        <w:rPr>
          <w:rFonts w:ascii="Times New Roman" w:hAnsi="Times New Roman"/>
          <w:sz w:val="24"/>
          <w:u w:val="single"/>
        </w:rPr>
        <w:t>Návrh rozhodnutí Rady o systému vlastních zdrojů Evropské unie</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Komise navrhuje: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1. modernizovat stávající vlastní zdroje</w:t>
      </w:r>
    </w:p>
    <w:p w:rsidR="009E3B02" w:rsidRPr="009E3B02" w:rsidRDefault="009E3B02" w:rsidP="009E3B02">
      <w:pPr>
        <w:keepNext/>
        <w:keepLines/>
        <w:numPr>
          <w:ilvl w:val="0"/>
          <w:numId w:val="34"/>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zachováním cel jako tradičních vlastních zdrojů EU beze změny, ale procentní podíl, který si členské státy ponechávají jako „náklady na výběr“ se sníží z 20 % na 10 %;</w:t>
      </w:r>
    </w:p>
    <w:p w:rsidR="009E3B02" w:rsidRPr="009E3B02" w:rsidRDefault="009E3B02" w:rsidP="009E3B02">
      <w:pPr>
        <w:keepNext/>
        <w:keepLines/>
        <w:numPr>
          <w:ilvl w:val="0"/>
          <w:numId w:val="34"/>
        </w:numPr>
        <w:suppressAutoHyphens/>
        <w:autoSpaceDN w:val="0"/>
        <w:spacing w:after="0" w:line="254" w:lineRule="auto"/>
        <w:ind w:left="709" w:hanging="357"/>
        <w:jc w:val="both"/>
        <w:textAlignment w:val="baseline"/>
        <w:rPr>
          <w:rFonts w:ascii="Times New Roman" w:hAnsi="Times New Roman"/>
          <w:sz w:val="24"/>
        </w:rPr>
      </w:pPr>
      <w:r w:rsidRPr="009E3B02">
        <w:rPr>
          <w:rFonts w:ascii="Times New Roman" w:hAnsi="Times New Roman"/>
          <w:sz w:val="24"/>
        </w:rPr>
        <w:t>zachováním vlastního zdroje z hrubého národního důchodu, který bude nadále fungovat jako vyrovnávací zdroj;</w:t>
      </w:r>
    </w:p>
    <w:p w:rsidR="009E3B02" w:rsidRPr="009E3B02" w:rsidRDefault="009E3B02" w:rsidP="009E3B02">
      <w:pPr>
        <w:keepNext/>
        <w:keepLines/>
        <w:numPr>
          <w:ilvl w:val="0"/>
          <w:numId w:val="34"/>
        </w:numPr>
        <w:suppressAutoHyphens/>
        <w:autoSpaceDN w:val="0"/>
        <w:spacing w:after="60" w:line="254" w:lineRule="auto"/>
        <w:jc w:val="both"/>
        <w:textAlignment w:val="baseline"/>
        <w:rPr>
          <w:rFonts w:ascii="Times New Roman" w:hAnsi="Times New Roman"/>
          <w:sz w:val="24"/>
        </w:rPr>
      </w:pPr>
      <w:r w:rsidRPr="009E3B02">
        <w:rPr>
          <w:rFonts w:ascii="Times New Roman" w:hAnsi="Times New Roman"/>
          <w:sz w:val="24"/>
        </w:rPr>
        <w:t>zjednodušením vlastního zdroje z daně z přidané hodnoty. Navržené zjednodušení vychází z následujících zásad: i) zaměření na dodávky zatížené základní sazbou; ii) zjednodušení postupu pro výpočet základu daně z přidané hodnoty a iii) použití jednotné sazby na základ zatížený základní sazbou. Skutečná sazba nesmí překročit 2 %. (Příjmy do rozpočtu EU plynoucí z vlastního zdroje z daně z přidané hodnoty činí v současné době přibližně 15–20 miliard EUR ročně, což je úroveň, která by mohla být při zjednodušeném výpočtu zachována tím, že se odpovídajícím způsobem zvýší uplatňovaná sazba);</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2. zavést tři nové kategorie vlastních zdrojů sestávající z:</w:t>
      </w:r>
    </w:p>
    <w:p w:rsidR="009E3B02" w:rsidRPr="009E3B02" w:rsidRDefault="009E3B02" w:rsidP="009E3B02">
      <w:pPr>
        <w:numPr>
          <w:ilvl w:val="0"/>
          <w:numId w:val="35"/>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podílu z obnoveného společného konsolidovaného základu daně z příjmů právnických osob, který má být postupně zaveden, jakmile budou přijaty nezbytné právní předpisy. Tím dojde k propojení financování rozpočtu EU přímo s výhodami, ze kterých těží společnosti působící na jednotném trhu. Skutečná sazba nesmí překročit 6 %;</w:t>
      </w:r>
    </w:p>
    <w:p w:rsidR="009E3B02" w:rsidRPr="009E3B02" w:rsidRDefault="009E3B02" w:rsidP="009E3B02">
      <w:pPr>
        <w:numPr>
          <w:ilvl w:val="0"/>
          <w:numId w:val="35"/>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lastRenderedPageBreak/>
        <w:t>podílu z příjmů z dražeb z evropského systému obchodování s emisemi. Evropský systém obchodování s emisemi představuje klíčový nástroj činnosti EU na snížení emisí skleníkových plynů nákladově efektivním způsobem a má přímou spojitost s fungováním jednotného trhu. Skutečná sazba nesmí překročit 30 %;</w:t>
      </w:r>
    </w:p>
    <w:p w:rsidR="009E3B02" w:rsidRPr="009E3B02" w:rsidRDefault="009E3B02" w:rsidP="009E3B02">
      <w:pPr>
        <w:numPr>
          <w:ilvl w:val="0"/>
          <w:numId w:val="35"/>
        </w:numPr>
        <w:suppressAutoHyphens/>
        <w:autoSpaceDN w:val="0"/>
        <w:spacing w:after="60" w:line="254" w:lineRule="auto"/>
        <w:ind w:left="714" w:hanging="357"/>
        <w:jc w:val="both"/>
        <w:textAlignment w:val="baseline"/>
        <w:rPr>
          <w:rFonts w:ascii="Times New Roman" w:hAnsi="Times New Roman"/>
          <w:sz w:val="24"/>
        </w:rPr>
      </w:pPr>
      <w:r w:rsidRPr="009E3B02">
        <w:rPr>
          <w:rFonts w:ascii="Times New Roman" w:hAnsi="Times New Roman"/>
          <w:sz w:val="24"/>
        </w:rPr>
        <w:t>příspěvků členských států vypočítaných na základě množství nerecyklovaných plastových obalových odpadů. Tím se vytvoří pobídka pro členské státy, aby snižovaly množství obalových odpadů, a pobídka pro přechod Evropy k oběhovému hospodářství realizací evropské strategie pro plasty. Skutečná sazba nesmí překročit 1,00 EUR na kg;</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3. zavést zásadu, že budoucí příjmy plynoucí přímo z politik EU by měly přitékat do rozpočtu EU. Tyto příjmy jsou bezprostředně spojeny s politikami EU a zákonnými pravomocemi, snadno se spravují a pokud jsou určené na zvláštní účely, nejdou na úkor výdajů ohraničených stropy víceletého finančního rámce nebo vlastních zdrojů ohraničených stropem vlastních zdrojů. Kromě toho, protože nejsou převáděny ze státních rozpočtů/státních pokladen členských států, nejsou zahrnuty do příspěvků členských států, které by byly začleněny do provozních rozpočtových bilancí, a proto tvoří nezávislý „skutečný“ zdroj příjmů EU;</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4. postupně zrušit systém oprav a slev, které si některé členské státy vyjednaly (Dánsko, Německo, Nizozemsko, Rakousko, Švédsko a Spojené království);</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 xml:space="preserve">5. zvýšit </w:t>
      </w:r>
      <w:r w:rsidRPr="009E3B02">
        <w:rPr>
          <w:rFonts w:ascii="Times New Roman" w:hAnsi="Times New Roman"/>
          <w:b/>
          <w:sz w:val="24"/>
        </w:rPr>
        <w:t>strop vlastních zdrojů pro platby na 1,29 %</w:t>
      </w:r>
      <w:r w:rsidRPr="009E3B02">
        <w:rPr>
          <w:rFonts w:ascii="Times New Roman" w:hAnsi="Times New Roman"/>
          <w:sz w:val="24"/>
        </w:rPr>
        <w:t xml:space="preserve"> a pro závazky na 1,35 % hrubého národního důchodu EU-27.</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60" w:line="240" w:lineRule="auto"/>
        <w:jc w:val="both"/>
        <w:rPr>
          <w:rFonts w:ascii="Times New Roman" w:hAnsi="Times New Roman"/>
          <w:sz w:val="24"/>
          <w:u w:val="single"/>
        </w:rPr>
      </w:pPr>
      <w:r w:rsidRPr="009E3B02">
        <w:rPr>
          <w:rFonts w:ascii="Times New Roman" w:hAnsi="Times New Roman"/>
          <w:sz w:val="24"/>
          <w:u w:val="single"/>
        </w:rPr>
        <w:t>Návrh nařízení Rady o metodách a postupu pro poskytování vlastních zdrojů ze společného konsolidovaného základu daně z příjmů právnických osob, ze systému Evropské unie pro obchodování s emisemi a z plastových obalových odpadů, které nejsou recyklovány, a o opatřeních ke krytí hotovostních nároků</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nařízení stanoví pravidla pro výpočet nových vlastních zdrojů Unie a pro výpočet použitelné sazby vlastního zdroje z hrubého národního důchodu a ukládá členským státům, aby podklady týkající se výpočtu, stanovení a poskytování vlastních zdrojů ze systému Evropské unie pro obchodování s emisemi byly uchovávány nejméně po dobu tří kalendářních let od konce roku, k němuž se tyto podklady vztahují, a podklady týkající se vlastních zdrojů ze společného konsolidovaného základu daně z příjmů právnických osob a z plastových obalových odpadů byly uchovávány do 31. července šestého roku následujícího po dotčeném rozpočtovém roce.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pravidla pro vedení účtů pro vlastní zdroje, pro výpočet vlastních zdrojů a pro poskytování vlastních zdrojů.</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60" w:line="240" w:lineRule="auto"/>
        <w:jc w:val="both"/>
        <w:rPr>
          <w:rFonts w:ascii="Times New Roman" w:hAnsi="Times New Roman"/>
          <w:sz w:val="24"/>
          <w:u w:val="single"/>
        </w:rPr>
      </w:pPr>
      <w:r w:rsidRPr="009E3B02">
        <w:rPr>
          <w:rFonts w:ascii="Times New Roman" w:hAnsi="Times New Roman"/>
          <w:sz w:val="24"/>
          <w:u w:val="single"/>
        </w:rPr>
        <w:t>Návrh nařízení Rady, kterým se stanoví prováděcí opatření pro systém vlastních zdrojů Evropské unie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zejména stanoví jednotné sazby, jež se použijí pro výpočet jednotlivých kategorií vlastních zdrojů:</w:t>
      </w:r>
    </w:p>
    <w:p w:rsidR="009E3B02" w:rsidRPr="009E3B02" w:rsidRDefault="009E3B02" w:rsidP="009E3B02">
      <w:pPr>
        <w:numPr>
          <w:ilvl w:val="0"/>
          <w:numId w:val="36"/>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 xml:space="preserve">jednotná sazba ve výši </w:t>
      </w:r>
      <w:r w:rsidRPr="009E3B02">
        <w:rPr>
          <w:rFonts w:ascii="Times New Roman" w:hAnsi="Times New Roman"/>
          <w:b/>
          <w:sz w:val="24"/>
        </w:rPr>
        <w:t>1 %</w:t>
      </w:r>
      <w:r w:rsidRPr="009E3B02">
        <w:rPr>
          <w:rFonts w:ascii="Times New Roman" w:hAnsi="Times New Roman"/>
          <w:sz w:val="24"/>
        </w:rPr>
        <w:t xml:space="preserve">, jež se použije </w:t>
      </w:r>
      <w:r w:rsidRPr="009E3B02">
        <w:rPr>
          <w:rFonts w:ascii="Times New Roman" w:hAnsi="Times New Roman"/>
          <w:b/>
          <w:sz w:val="24"/>
        </w:rPr>
        <w:t>na podíl příjmů z daně z přidané hodnoty</w:t>
      </w:r>
      <w:r w:rsidRPr="009E3B02">
        <w:rPr>
          <w:rFonts w:ascii="Times New Roman" w:hAnsi="Times New Roman"/>
          <w:sz w:val="24"/>
        </w:rPr>
        <w:t xml:space="preserve"> vybrané ze zdanitelných plnění podléhajících základní sazbě vydělený vnitrostátní základní sazbou daně z přidané hodnoty;</w:t>
      </w:r>
    </w:p>
    <w:p w:rsidR="009E3B02" w:rsidRPr="009E3B02" w:rsidRDefault="009E3B02" w:rsidP="009E3B02">
      <w:pPr>
        <w:numPr>
          <w:ilvl w:val="0"/>
          <w:numId w:val="36"/>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 xml:space="preserve">jednotná sazba ve výši </w:t>
      </w:r>
      <w:r w:rsidRPr="009E3B02">
        <w:rPr>
          <w:rFonts w:ascii="Times New Roman" w:hAnsi="Times New Roman"/>
          <w:b/>
          <w:sz w:val="24"/>
        </w:rPr>
        <w:t>3 %</w:t>
      </w:r>
      <w:r w:rsidRPr="009E3B02">
        <w:rPr>
          <w:rFonts w:ascii="Times New Roman" w:hAnsi="Times New Roman"/>
          <w:sz w:val="24"/>
        </w:rPr>
        <w:t xml:space="preserve">, jež se použije </w:t>
      </w:r>
      <w:r w:rsidRPr="009E3B02">
        <w:rPr>
          <w:rFonts w:ascii="Times New Roman" w:hAnsi="Times New Roman"/>
          <w:b/>
          <w:sz w:val="24"/>
        </w:rPr>
        <w:t>na podíl zdanitelných zisků připsaných jednotlivým členským státům</w:t>
      </w:r>
      <w:r w:rsidRPr="009E3B02">
        <w:rPr>
          <w:rFonts w:ascii="Times New Roman" w:hAnsi="Times New Roman"/>
          <w:sz w:val="24"/>
        </w:rPr>
        <w:t xml:space="preserve"> podle pravidel Unie o </w:t>
      </w:r>
      <w:r w:rsidRPr="009E3B02">
        <w:rPr>
          <w:rFonts w:ascii="Times New Roman" w:hAnsi="Times New Roman"/>
          <w:b/>
          <w:sz w:val="24"/>
        </w:rPr>
        <w:t>společném konsolidovaném základu daně z příjmů právnických osob</w:t>
      </w:r>
      <w:r w:rsidRPr="009E3B02">
        <w:rPr>
          <w:rFonts w:ascii="Times New Roman" w:hAnsi="Times New Roman"/>
          <w:sz w:val="24"/>
        </w:rPr>
        <w:t>;</w:t>
      </w:r>
    </w:p>
    <w:p w:rsidR="009E3B02" w:rsidRPr="009E3B02" w:rsidRDefault="009E3B02" w:rsidP="009E3B02">
      <w:pPr>
        <w:numPr>
          <w:ilvl w:val="0"/>
          <w:numId w:val="36"/>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t xml:space="preserve">jednotná sazba ve výši </w:t>
      </w:r>
      <w:r w:rsidRPr="009E3B02">
        <w:rPr>
          <w:rFonts w:ascii="Times New Roman" w:hAnsi="Times New Roman"/>
          <w:b/>
          <w:sz w:val="24"/>
        </w:rPr>
        <w:t>20 %</w:t>
      </w:r>
      <w:r w:rsidRPr="009E3B02">
        <w:rPr>
          <w:rFonts w:ascii="Times New Roman" w:hAnsi="Times New Roman"/>
          <w:sz w:val="24"/>
        </w:rPr>
        <w:t xml:space="preserve">, jež se použije </w:t>
      </w:r>
      <w:r w:rsidRPr="009E3B02">
        <w:rPr>
          <w:rFonts w:ascii="Times New Roman" w:hAnsi="Times New Roman"/>
          <w:b/>
          <w:sz w:val="24"/>
        </w:rPr>
        <w:t>na částku představující příjem z povolenek</w:t>
      </w:r>
      <w:r w:rsidRPr="009E3B02">
        <w:rPr>
          <w:rFonts w:ascii="Times New Roman" w:hAnsi="Times New Roman"/>
          <w:sz w:val="24"/>
        </w:rPr>
        <w:t>, které mají být vydraženy, a na tržní hodnotu přechodně přidělených bezplatných povolenek na modernizaci odvětví energetiky;</w:t>
      </w:r>
    </w:p>
    <w:p w:rsidR="009E3B02" w:rsidRPr="009E3B02" w:rsidRDefault="009E3B02" w:rsidP="009E3B02">
      <w:pPr>
        <w:numPr>
          <w:ilvl w:val="0"/>
          <w:numId w:val="36"/>
        </w:numPr>
        <w:suppressAutoHyphens/>
        <w:autoSpaceDN w:val="0"/>
        <w:spacing w:after="0" w:line="254" w:lineRule="auto"/>
        <w:ind w:left="714" w:hanging="357"/>
        <w:jc w:val="both"/>
        <w:textAlignment w:val="baseline"/>
        <w:rPr>
          <w:rFonts w:ascii="Times New Roman" w:hAnsi="Times New Roman"/>
          <w:sz w:val="24"/>
        </w:rPr>
      </w:pPr>
      <w:r w:rsidRPr="009E3B02">
        <w:rPr>
          <w:rFonts w:ascii="Times New Roman" w:hAnsi="Times New Roman"/>
          <w:sz w:val="24"/>
        </w:rPr>
        <w:lastRenderedPageBreak/>
        <w:t xml:space="preserve">jednotná sazba ve výši </w:t>
      </w:r>
      <w:r w:rsidRPr="009E3B02">
        <w:rPr>
          <w:rFonts w:ascii="Times New Roman" w:hAnsi="Times New Roman"/>
          <w:b/>
          <w:sz w:val="24"/>
        </w:rPr>
        <w:t>0,80 EUR na kilogram</w:t>
      </w:r>
      <w:r w:rsidRPr="009E3B02">
        <w:rPr>
          <w:rFonts w:ascii="Times New Roman" w:hAnsi="Times New Roman"/>
          <w:sz w:val="24"/>
        </w:rPr>
        <w:t xml:space="preserve">, jež se použije </w:t>
      </w:r>
      <w:r w:rsidRPr="009E3B02">
        <w:rPr>
          <w:rFonts w:ascii="Times New Roman" w:hAnsi="Times New Roman"/>
          <w:b/>
          <w:sz w:val="24"/>
        </w:rPr>
        <w:t>na hmotnost plastových obalových odpadů, které nejsou recyklovány</w:t>
      </w:r>
      <w:r w:rsidRPr="009E3B02">
        <w:rPr>
          <w:rFonts w:ascii="Times New Roman" w:hAnsi="Times New Roman"/>
          <w:sz w:val="24"/>
        </w:rPr>
        <w:t>.</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opatření týkající se výpočtu zůstatku daného rozpočtového roku a jeho zahrnutí do rozpočtu a kontroly výpočtu, stanovování a poskytování vlastních zdrojů a dohledu nad těmito činnostmi. Dále stanoví pravomoci a povinnosti pověřených zástupců Komise při provádění kontrol vlastních zdrojů v členském státě.</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60" w:line="240" w:lineRule="auto"/>
        <w:jc w:val="both"/>
        <w:rPr>
          <w:rFonts w:ascii="Times New Roman" w:hAnsi="Times New Roman"/>
          <w:sz w:val="24"/>
          <w:u w:val="single"/>
        </w:rPr>
      </w:pPr>
      <w:r w:rsidRPr="009E3B02">
        <w:rPr>
          <w:rFonts w:ascii="Times New Roman" w:hAnsi="Times New Roman"/>
          <w:sz w:val="24"/>
          <w:u w:val="single"/>
        </w:rPr>
        <w:t>Návrh nařízení Rady, kterým se mění nařízení (EHS, Euratom) č. 1553/89 o konečné jednotné úpravě vybírání vlastních zdrojů vycházejících z daně z přidané hodnoty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Návrh stanoví, aby vlastní zdroj z daně z přidané hodnoty pocházel z dodávek na konečnou spotřebu, na které se uplatňuje základní sazba daně. Dále návrh stanoví mechanismus výpočtu vlastního zdroje z daně z přidané hodnoty, který se vypočte uplatněním jednotné sazby na základ vlastního zdroje z daně z přidané hodnoty se základní sazbou. Výpočet se provádí jednotně ze skutečně vybraných příjmů za každý kalendářní rok.</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0" w:line="240" w:lineRule="auto"/>
        <w:jc w:val="both"/>
        <w:rPr>
          <w:rFonts w:ascii="Times New Roman" w:hAnsi="Times New Roman"/>
          <w:i/>
          <w:sz w:val="24"/>
          <w:u w:val="single"/>
        </w:rPr>
      </w:pPr>
      <w:r w:rsidRPr="009E3B02">
        <w:rPr>
          <w:rFonts w:ascii="Times New Roman" w:hAnsi="Times New Roman"/>
          <w:i/>
          <w:sz w:val="24"/>
          <w:u w:val="single"/>
        </w:rPr>
        <w:t>Dopad na státní rozpočet a právní řád ČR:</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Ministerstvo financí ČR předpokládá postupné navýšení odvodů vlastních zdrojů do rozpočtu EU oproti současnému stavu řádově o třetinu, tj. až na cca 60 mld. Kč ročně. Dopad zvýšení národního spolufinancování programů na státní rozpočet bude záviset na tom, jak se v programovém období rozdělí břemeno národního podílu na spolufinancování mezi státní rozpočet a konečné příjemce.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Schválené rozhodnutí o systému vlastních zdrojů EU bude mít dopad na právní řád ČR, bude zejména vyžadovat úpravu zákona č. 218/2000 Sb., o rozpočtových pravidlech.</w:t>
      </w:r>
    </w:p>
    <w:p w:rsidR="009E3B02" w:rsidRPr="009E3B02" w:rsidRDefault="009E3B02" w:rsidP="009E3B02">
      <w:pPr>
        <w:spacing w:after="0" w:line="240" w:lineRule="auto"/>
        <w:jc w:val="both"/>
        <w:rPr>
          <w:rFonts w:ascii="Times New Roman" w:hAnsi="Times New Roman"/>
          <w:sz w:val="24"/>
        </w:rPr>
      </w:pPr>
    </w:p>
    <w:p w:rsidR="009E3B02" w:rsidRPr="00A07307" w:rsidRDefault="009E3B02" w:rsidP="00A07307">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A07307">
        <w:rPr>
          <w:rFonts w:ascii="Times New Roman" w:eastAsia="Times New Roman" w:hAnsi="Times New Roman"/>
          <w:b/>
          <w:sz w:val="24"/>
          <w:szCs w:val="20"/>
          <w:lang w:eastAsia="cs-CZ"/>
        </w:rPr>
        <w:t>Stanovisko vlády ČR:</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b/>
          <w:sz w:val="24"/>
        </w:rPr>
        <w:t xml:space="preserve">Podle předběžné verze rámcové pozice vláda ČR považuje </w:t>
      </w:r>
      <w:r w:rsidRPr="009E3B02">
        <w:rPr>
          <w:rFonts w:ascii="Times New Roman" w:hAnsi="Times New Roman"/>
          <w:sz w:val="24"/>
        </w:rPr>
        <w:t>hrubý národní důchod (HND) za nejvhodnější kritérium pro stanovení výše odvodů/příspěvků jednotlivých členských států do rozpočtu EU</w:t>
      </w:r>
      <w:r w:rsidRPr="009E3B02">
        <w:rPr>
          <w:rFonts w:ascii="Times New Roman" w:hAnsi="Times New Roman"/>
          <w:b/>
          <w:sz w:val="24"/>
        </w:rPr>
        <w:t xml:space="preserve">, </w:t>
      </w:r>
      <w:r w:rsidRPr="009E3B02">
        <w:rPr>
          <w:rFonts w:ascii="Times New Roman" w:hAnsi="Times New Roman"/>
          <w:sz w:val="24"/>
        </w:rPr>
        <w:t>neboť HND</w:t>
      </w:r>
      <w:r w:rsidRPr="009E3B02">
        <w:rPr>
          <w:rFonts w:ascii="Times New Roman" w:hAnsi="Times New Roman"/>
          <w:b/>
          <w:sz w:val="24"/>
        </w:rPr>
        <w:t xml:space="preserve"> nejlépe vystihuje jejich ekonomickou vyspělost, a představuje tak spravedlivý klíč. </w:t>
      </w:r>
      <w:r w:rsidRPr="009E3B02">
        <w:rPr>
          <w:rFonts w:ascii="Times New Roman" w:hAnsi="Times New Roman"/>
          <w:sz w:val="24"/>
        </w:rPr>
        <w:t>Vláda ČR je připravena diskutovat n</w:t>
      </w:r>
      <w:r w:rsidRPr="009E3B02">
        <w:rPr>
          <w:rFonts w:ascii="Times New Roman" w:hAnsi="Times New Roman"/>
          <w:b/>
          <w:sz w:val="24"/>
        </w:rPr>
        <w:t xml:space="preserve">ávrhy na úpravy stávajících zdrojů a zavedení nových v širším kontextu podoby VFR 2021-2027, obecně se však domnívá, že rozšiřování škály zdrojů financování jde spíše proti snaze o zjednodušení systému. </w:t>
      </w:r>
      <w:r w:rsidRPr="009E3B02">
        <w:rPr>
          <w:rFonts w:ascii="Times New Roman" w:hAnsi="Times New Roman"/>
          <w:sz w:val="24"/>
        </w:rPr>
        <w:t>Je názoru, že</w:t>
      </w:r>
      <w:r w:rsidRPr="009E3B02">
        <w:rPr>
          <w:rFonts w:ascii="Times New Roman" w:hAnsi="Times New Roman"/>
          <w:b/>
          <w:sz w:val="24"/>
        </w:rPr>
        <w:t xml:space="preserve"> by jejich zavedení nebylo efektivní z důvodu, že navrhované tři nové vlastní zdroje mají dle Komise do rozpočtu EU přinést souhrnně pouze 12 % celkových příjmů (stejný objem jako stávající zdroj z DPH či tradiční vlastní zdroje).</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souhlasí s navrhovaným navýšením podílu tradičních vlastních zdrojů pro EU z 80 na 90 % a podporuje odstranění veškerých korekcí na příjmové straně rozpočtu EU.</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by upřednostnila úplné zrušení zdroje z DPH (bez náhrady). Je však připravena diskutovat navržené zjednodušení tohoto zdroje za předpokladu, že nebude narušen princip subsidiarity a úprava nepovede k dodatečným administrativním nákladům pro členské státy.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 případě zdroje ze společného konsolidovaného základu daně z příjmů právnických osob (CCCTB) se vláda ČR domnívá, že je vzhledem k současné fázi projednávání návrhů příslušných směrnic značně předčasné plánovat jeho zavedení. Uvažovat by se mělo pouze o již reálně existujících zdrojích, případně o zdrojích, které nejsou kontroverzní a nevyžadují složité úpravy systému a komplikovaná jednání.</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není nakloněna k zavedení nových vlastních zdrojů pramenících z nerecyklovaných plastových odpadových materiálů a z části příjmů z dražeb z evropského systému obchodování s emisemi.</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Vláda ČR je připravena zvážit navýšení stropu vlastních zdrojů tak, aby bylo zajištěno, že EU bude v každém okamžiku schopna dostát svým závazkům.</w:t>
      </w:r>
    </w:p>
    <w:p w:rsidR="009E3B02" w:rsidRPr="009E3B02" w:rsidRDefault="009E3B02" w:rsidP="009E3B02">
      <w:pPr>
        <w:spacing w:after="0" w:line="240" w:lineRule="auto"/>
        <w:jc w:val="both"/>
        <w:rPr>
          <w:rFonts w:ascii="Times New Roman" w:hAnsi="Times New Roman"/>
          <w:sz w:val="24"/>
        </w:rPr>
      </w:pPr>
    </w:p>
    <w:p w:rsidR="009E3B02" w:rsidRPr="009E3B02" w:rsidRDefault="009E3B02" w:rsidP="009E3B02">
      <w:pPr>
        <w:spacing w:after="0" w:line="240" w:lineRule="auto"/>
        <w:ind w:hanging="360"/>
        <w:outlineLvl w:val="0"/>
        <w:rPr>
          <w:rFonts w:ascii="Times New Roman" w:eastAsia="Times New Roman" w:hAnsi="Times New Roman"/>
          <w:b/>
          <w:sz w:val="24"/>
          <w:szCs w:val="20"/>
          <w:lang w:eastAsia="cs-CZ"/>
        </w:rPr>
      </w:pPr>
      <w:r w:rsidRPr="009E3B02">
        <w:rPr>
          <w:rFonts w:ascii="Times New Roman" w:eastAsia="Times New Roman" w:hAnsi="Times New Roman"/>
          <w:b/>
          <w:sz w:val="24"/>
          <w:szCs w:val="20"/>
          <w:lang w:eastAsia="cs-CZ"/>
        </w:rPr>
        <w:br w:type="page"/>
      </w:r>
    </w:p>
    <w:p w:rsidR="009E3B02" w:rsidRPr="00A07307" w:rsidRDefault="009E3B02" w:rsidP="00A07307">
      <w:pPr>
        <w:pStyle w:val="Odstavecseseznamem"/>
        <w:numPr>
          <w:ilvl w:val="0"/>
          <w:numId w:val="19"/>
        </w:numPr>
        <w:spacing w:after="0" w:line="240" w:lineRule="auto"/>
        <w:ind w:left="0"/>
        <w:outlineLvl w:val="0"/>
        <w:rPr>
          <w:rFonts w:ascii="Times New Roman" w:eastAsia="Times New Roman" w:hAnsi="Times New Roman"/>
          <w:b/>
          <w:sz w:val="24"/>
          <w:szCs w:val="20"/>
          <w:lang w:eastAsia="cs-CZ"/>
        </w:rPr>
      </w:pPr>
      <w:r w:rsidRPr="00A07307">
        <w:rPr>
          <w:rFonts w:ascii="Times New Roman" w:eastAsia="Times New Roman" w:hAnsi="Times New Roman"/>
          <w:b/>
          <w:sz w:val="24"/>
          <w:szCs w:val="20"/>
          <w:lang w:eastAsia="cs-CZ"/>
        </w:rPr>
        <w:lastRenderedPageBreak/>
        <w:t>Předpokládaný harmonogram projednávání v orgánech EU:</w:t>
      </w:r>
    </w:p>
    <w:p w:rsidR="009E3B02" w:rsidRPr="009E3B02" w:rsidRDefault="009E3B02" w:rsidP="009E3B02">
      <w:pPr>
        <w:spacing w:after="60" w:line="240" w:lineRule="auto"/>
        <w:jc w:val="both"/>
        <w:rPr>
          <w:rFonts w:ascii="Times New Roman" w:hAnsi="Times New Roman"/>
          <w:sz w:val="24"/>
        </w:rPr>
      </w:pPr>
      <w:r w:rsidRPr="009E3B02">
        <w:rPr>
          <w:rFonts w:ascii="Times New Roman" w:hAnsi="Times New Roman"/>
          <w:sz w:val="24"/>
        </w:rPr>
        <w:t>Projednávání návrhů Rady týkajících se vlastních zdrojů EU průběžně probíhá v jednotlivých sektorových Radách EU, klíčovou roli má Rada pro obecné záležitosti, která toto projednávání zaštiťuje a zajišťuje celkovou koordinaci diskusí mezi členskými státy. V současnosti se návrhy projednávají v pracovních skupinách Rady.</w:t>
      </w:r>
    </w:p>
    <w:p w:rsidR="009E3B02" w:rsidRPr="009E3B02" w:rsidRDefault="009E3B02" w:rsidP="009E3B02">
      <w:pPr>
        <w:spacing w:after="0" w:line="240" w:lineRule="auto"/>
        <w:jc w:val="both"/>
        <w:rPr>
          <w:rFonts w:ascii="Times New Roman" w:hAnsi="Times New Roman"/>
          <w:sz w:val="24"/>
        </w:rPr>
      </w:pPr>
      <w:r w:rsidRPr="009E3B02">
        <w:rPr>
          <w:rFonts w:ascii="Times New Roman" w:hAnsi="Times New Roman"/>
          <w:sz w:val="24"/>
        </w:rPr>
        <w:t>V Evropském parlamentu se návrhy nachází v tzv. přípravné fázi, návrh VFR byl přidělen rozpočtovému výboru (BUDG) jako gesčně příslušnému výboru.</w:t>
      </w:r>
    </w:p>
    <w:p w:rsidR="00B4108A" w:rsidRPr="009E3B02" w:rsidRDefault="00B4108A" w:rsidP="00D066DF">
      <w:pPr>
        <w:spacing w:after="0" w:line="240" w:lineRule="auto"/>
        <w:rPr>
          <w:rFonts w:ascii="Times New Roman" w:hAnsi="Times New Roman"/>
          <w:sz w:val="24"/>
        </w:rPr>
      </w:pPr>
    </w:p>
    <w:p w:rsidR="006D769E" w:rsidRDefault="006D769E" w:rsidP="006D769E">
      <w:pPr>
        <w:pStyle w:val="Odstavecseseznamem"/>
        <w:numPr>
          <w:ilvl w:val="0"/>
          <w:numId w:val="14"/>
        </w:numPr>
        <w:spacing w:before="240" w:after="0" w:line="240" w:lineRule="auto"/>
        <w:ind w:left="0"/>
        <w:outlineLvl w:val="0"/>
        <w:rPr>
          <w:rFonts w:ascii="Times New Roman" w:eastAsia="Times New Roman" w:hAnsi="Times New Roman"/>
          <w:b/>
          <w:sz w:val="24"/>
          <w:szCs w:val="20"/>
          <w:lang w:eastAsia="cs-CZ"/>
        </w:rPr>
      </w:pPr>
      <w:bookmarkStart w:id="15" w:name="_Toc448302193"/>
      <w:bookmarkStart w:id="16" w:name="_Toc445380614"/>
      <w:r>
        <w:rPr>
          <w:rFonts w:ascii="Times New Roman" w:eastAsia="Times New Roman" w:hAnsi="Times New Roman"/>
          <w:b/>
          <w:sz w:val="24"/>
          <w:szCs w:val="20"/>
          <w:lang w:eastAsia="cs-CZ"/>
        </w:rPr>
        <w:t>Závěr:</w:t>
      </w:r>
      <w:bookmarkEnd w:id="15"/>
      <w:bookmarkEnd w:id="16"/>
      <w:r>
        <w:rPr>
          <w:rFonts w:ascii="Times New Roman" w:eastAsia="Times New Roman" w:hAnsi="Times New Roman"/>
          <w:b/>
          <w:sz w:val="24"/>
          <w:szCs w:val="20"/>
          <w:lang w:eastAsia="cs-CZ"/>
        </w:rPr>
        <w:t xml:space="preserve"> </w:t>
      </w:r>
    </w:p>
    <w:p w:rsidR="006D769E" w:rsidRDefault="006D769E" w:rsidP="006D769E">
      <w:pPr>
        <w:spacing w:after="0" w:line="240" w:lineRule="auto"/>
        <w:jc w:val="both"/>
        <w:rPr>
          <w:rFonts w:ascii="Times New Roman" w:hAnsi="Times New Roman"/>
          <w:sz w:val="24"/>
        </w:rPr>
      </w:pPr>
    </w:p>
    <w:p w:rsidR="006D769E" w:rsidRDefault="006D769E" w:rsidP="006D769E">
      <w:pPr>
        <w:spacing w:after="0" w:line="240" w:lineRule="auto"/>
        <w:rPr>
          <w:rFonts w:ascii="Times New Roman" w:eastAsia="Times New Roman" w:hAnsi="Times New Roman"/>
          <w:iCs/>
          <w:sz w:val="24"/>
          <w:szCs w:val="20"/>
          <w:lang w:eastAsia="cs-CZ"/>
        </w:rPr>
      </w:pPr>
      <w:r>
        <w:rPr>
          <w:rFonts w:ascii="Times New Roman" w:eastAsia="Times New Roman" w:hAnsi="Times New Roman"/>
          <w:iCs/>
          <w:sz w:val="24"/>
          <w:szCs w:val="20"/>
          <w:lang w:eastAsia="cs-CZ"/>
        </w:rPr>
        <w:t>Výbor pro evropské záležitosti</w:t>
      </w:r>
    </w:p>
    <w:p w:rsidR="006D769E" w:rsidRDefault="006D769E" w:rsidP="006D769E">
      <w:pPr>
        <w:spacing w:after="0" w:line="240" w:lineRule="auto"/>
        <w:rPr>
          <w:rFonts w:ascii="Times New Roman" w:eastAsia="Times New Roman" w:hAnsi="Times New Roman"/>
          <w:i/>
          <w:iCs/>
          <w:sz w:val="24"/>
          <w:szCs w:val="20"/>
          <w:lang w:eastAsia="cs-CZ"/>
        </w:rPr>
      </w:pPr>
    </w:p>
    <w:p w:rsidR="00DC2697" w:rsidRDefault="00DC2697" w:rsidP="00DC2697">
      <w:pPr>
        <w:numPr>
          <w:ilvl w:val="0"/>
          <w:numId w:val="16"/>
        </w:numPr>
        <w:spacing w:after="0"/>
        <w:ind w:left="360"/>
        <w:contextualSpacing/>
        <w:jc w:val="both"/>
        <w:rPr>
          <w:rFonts w:ascii="Times New Roman" w:eastAsiaTheme="minorHAnsi" w:hAnsi="Times New Roman"/>
          <w:sz w:val="24"/>
          <w:szCs w:val="24"/>
        </w:rPr>
      </w:pPr>
      <w:r>
        <w:rPr>
          <w:rFonts w:ascii="Times New Roman" w:eastAsiaTheme="minorHAnsi" w:hAnsi="Times New Roman"/>
          <w:b/>
          <w:spacing w:val="40"/>
          <w:sz w:val="24"/>
          <w:szCs w:val="24"/>
        </w:rPr>
        <w:t xml:space="preserve">bere na vědomí  </w:t>
      </w:r>
      <w:r w:rsidRPr="00DC2697">
        <w:rPr>
          <w:rFonts w:ascii="Times New Roman" w:eastAsiaTheme="minorHAnsi" w:hAnsi="Times New Roman"/>
          <w:sz w:val="24"/>
          <w:szCs w:val="24"/>
        </w:rPr>
        <w:t xml:space="preserve"> rá</w:t>
      </w:r>
      <w:r w:rsidR="005F58EC">
        <w:rPr>
          <w:rFonts w:ascii="Times New Roman" w:eastAsiaTheme="minorHAnsi" w:hAnsi="Times New Roman"/>
          <w:sz w:val="24"/>
          <w:szCs w:val="24"/>
        </w:rPr>
        <w:t>mcové pozice</w:t>
      </w:r>
      <w:r w:rsidR="002F1128">
        <w:rPr>
          <w:rFonts w:ascii="Times New Roman" w:eastAsiaTheme="minorHAnsi" w:hAnsi="Times New Roman"/>
          <w:sz w:val="24"/>
          <w:szCs w:val="24"/>
        </w:rPr>
        <w:t xml:space="preserve"> vlády ČR ze dne 12</w:t>
      </w:r>
      <w:r w:rsidRPr="00DC2697">
        <w:rPr>
          <w:rFonts w:ascii="Times New Roman" w:eastAsiaTheme="minorHAnsi" w:hAnsi="Times New Roman"/>
          <w:sz w:val="24"/>
          <w:szCs w:val="24"/>
        </w:rPr>
        <w:t>.</w:t>
      </w:r>
      <w:r w:rsidR="002F1128">
        <w:rPr>
          <w:rFonts w:ascii="Times New Roman" w:eastAsiaTheme="minorHAnsi" w:hAnsi="Times New Roman"/>
          <w:sz w:val="24"/>
          <w:szCs w:val="24"/>
        </w:rPr>
        <w:t xml:space="preserve"> a 18. </w:t>
      </w:r>
      <w:bookmarkStart w:id="17" w:name="_GoBack"/>
      <w:bookmarkEnd w:id="17"/>
      <w:r w:rsidRPr="00DC2697">
        <w:rPr>
          <w:rFonts w:ascii="Times New Roman" w:eastAsiaTheme="minorHAnsi" w:hAnsi="Times New Roman"/>
          <w:sz w:val="24"/>
          <w:szCs w:val="24"/>
        </w:rPr>
        <w:t>června 2018</w:t>
      </w:r>
    </w:p>
    <w:p w:rsidR="00DC2697" w:rsidRPr="00DC2697" w:rsidRDefault="00DC2697" w:rsidP="00DC2697">
      <w:pPr>
        <w:spacing w:after="0"/>
        <w:ind w:left="360"/>
        <w:contextualSpacing/>
        <w:jc w:val="both"/>
        <w:rPr>
          <w:rFonts w:ascii="Times New Roman" w:eastAsiaTheme="minorHAnsi" w:hAnsi="Times New Roman"/>
          <w:sz w:val="24"/>
          <w:szCs w:val="24"/>
        </w:rPr>
      </w:pP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 xml:space="preserve">ke sdělení Komise – Moderní rozpočet pro Unii, která chrání, posiluje a brání: víceletý finanční rámec na období 2021 – 2027, kód Rady 8353/18 </w:t>
      </w: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 xml:space="preserve">k návrhu nařízení Rady, kterým se stanoví víceletý finanční rámec na období 2021 – 2027, kód Rady 8354/18 </w:t>
      </w: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 xml:space="preserve">k návrhu nařízení Evropského parlamentu a Rady o ochraně rozpočtu Unie v případě všeobecných nedostatků týkajících se právního státu v členských státech, kód Rady 8356/18 </w:t>
      </w: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k návrhu rozhodnutí Rady o systému vlastních zdrojů Evropské unie, kód Rady 8357/18</w:t>
      </w: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k návrhu nařízení Rady o metodách a postupu pro poskytování vlastních zdrojů ze společného konsolidovaného základu daně z příjmů právnických osob, ze systému Evropské unie pro obchodování s emisemi a z plastových obalových odpadů, které nejsou recyklovány, a o opatřeních ke krytí hotovostních nároků, kód Rady 8358/18</w:t>
      </w: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k návrhu nařízení Rady, kterým se stanoví prováděcí opatření pro systém vlastních zdrojů Evropské unie, kód Rady 8359/18</w:t>
      </w:r>
    </w:p>
    <w:p w:rsidR="00DC2697" w:rsidRPr="00DC2697" w:rsidRDefault="00DC2697" w:rsidP="00DC2697">
      <w:pPr>
        <w:keepNext/>
        <w:keepLines/>
        <w:numPr>
          <w:ilvl w:val="0"/>
          <w:numId w:val="17"/>
        </w:numPr>
        <w:suppressAutoHyphens/>
        <w:autoSpaceDN w:val="0"/>
        <w:spacing w:after="0" w:line="252" w:lineRule="auto"/>
        <w:ind w:left="1080"/>
        <w:contextualSpacing/>
        <w:jc w:val="both"/>
        <w:rPr>
          <w:rFonts w:ascii="Times New Roman" w:eastAsiaTheme="minorHAnsi" w:hAnsi="Times New Roman" w:cs="Calibri"/>
          <w:sz w:val="24"/>
          <w:szCs w:val="24"/>
        </w:rPr>
      </w:pPr>
      <w:r w:rsidRPr="00DC2697">
        <w:rPr>
          <w:rFonts w:ascii="Times New Roman" w:eastAsiaTheme="minorHAnsi" w:hAnsi="Times New Roman" w:cs="Calibri"/>
          <w:sz w:val="24"/>
          <w:szCs w:val="24"/>
        </w:rPr>
        <w:t>k návrhu nařízení Rady, kterým se mění nařízení (EHS, Euratom) č. 1553/89 o konečné jednotné úpravě vybírání vlastních zdrojů vycházejících z daně z přidané hodnoty, kód Rady 8360/18;</w:t>
      </w:r>
    </w:p>
    <w:p w:rsidR="00DC2697" w:rsidRPr="00DC2697" w:rsidRDefault="00DC2697" w:rsidP="00DC2697">
      <w:pPr>
        <w:ind w:left="354"/>
        <w:contextualSpacing/>
        <w:jc w:val="both"/>
        <w:rPr>
          <w:rFonts w:ascii="Times New Roman" w:eastAsiaTheme="minorHAnsi" w:hAnsi="Times New Roman"/>
          <w:sz w:val="24"/>
          <w:szCs w:val="24"/>
        </w:rPr>
      </w:pPr>
    </w:p>
    <w:p w:rsidR="00DC2697" w:rsidRPr="00DC2697" w:rsidRDefault="00DC2697" w:rsidP="00DC2697">
      <w:pPr>
        <w:numPr>
          <w:ilvl w:val="0"/>
          <w:numId w:val="16"/>
        </w:numPr>
        <w:spacing w:after="0"/>
        <w:ind w:left="354" w:hanging="357"/>
        <w:contextualSpacing/>
        <w:jc w:val="both"/>
        <w:rPr>
          <w:rFonts w:ascii="Times New Roman" w:eastAsiaTheme="minorHAnsi" w:hAnsi="Times New Roman"/>
          <w:sz w:val="24"/>
          <w:szCs w:val="24"/>
        </w:rPr>
      </w:pPr>
      <w:r w:rsidRPr="00DC2697">
        <w:rPr>
          <w:rFonts w:ascii="Times New Roman" w:eastAsiaTheme="minorHAnsi" w:hAnsi="Times New Roman"/>
          <w:b/>
          <w:spacing w:val="40"/>
          <w:sz w:val="24"/>
          <w:szCs w:val="24"/>
        </w:rPr>
        <w:t xml:space="preserve">odmítá </w:t>
      </w:r>
      <w:r w:rsidRPr="00DC2697">
        <w:rPr>
          <w:rFonts w:ascii="Times New Roman" w:eastAsiaTheme="minorHAnsi" w:hAnsi="Times New Roman"/>
          <w:sz w:val="24"/>
          <w:szCs w:val="24"/>
        </w:rPr>
        <w:t>navrhované zavádění nových vlastních zdrojů EU;</w:t>
      </w:r>
    </w:p>
    <w:p w:rsidR="00DC2697" w:rsidRPr="00DC2697" w:rsidRDefault="00DC2697" w:rsidP="00DC2697">
      <w:pPr>
        <w:spacing w:after="0"/>
        <w:ind w:left="354"/>
        <w:contextualSpacing/>
        <w:jc w:val="both"/>
        <w:rPr>
          <w:rFonts w:ascii="Times New Roman" w:eastAsiaTheme="minorHAnsi" w:hAnsi="Times New Roman"/>
          <w:sz w:val="24"/>
          <w:szCs w:val="24"/>
        </w:rPr>
      </w:pPr>
    </w:p>
    <w:p w:rsidR="00DC2697" w:rsidRDefault="00DC2697" w:rsidP="00DC2697">
      <w:pPr>
        <w:numPr>
          <w:ilvl w:val="0"/>
          <w:numId w:val="16"/>
        </w:numPr>
        <w:spacing w:before="240"/>
        <w:ind w:left="354" w:hanging="357"/>
        <w:contextualSpacing/>
        <w:jc w:val="both"/>
        <w:rPr>
          <w:rFonts w:ascii="Times New Roman" w:eastAsiaTheme="minorHAnsi" w:hAnsi="Times New Roman"/>
          <w:sz w:val="24"/>
          <w:szCs w:val="24"/>
        </w:rPr>
      </w:pPr>
      <w:r w:rsidRPr="00DC2697">
        <w:rPr>
          <w:rFonts w:ascii="Times New Roman" w:eastAsiaTheme="minorHAnsi" w:hAnsi="Times New Roman"/>
          <w:b/>
          <w:spacing w:val="40"/>
          <w:sz w:val="24"/>
          <w:szCs w:val="24"/>
        </w:rPr>
        <w:t>doporučuje</w:t>
      </w:r>
      <w:r w:rsidRPr="00DC2697">
        <w:rPr>
          <w:rFonts w:ascii="Times New Roman" w:eastAsiaTheme="minorHAnsi" w:hAnsi="Times New Roman"/>
          <w:sz w:val="24"/>
          <w:szCs w:val="24"/>
        </w:rPr>
        <w:t>, aby dodatečné možnosti financování rozpočtu EU byly hledány v rámci stávajícího nastavení prostřednictvím úspor v provozu a optimalizace rozpočtů institucí EU;</w:t>
      </w:r>
    </w:p>
    <w:p w:rsidR="00DC2697" w:rsidRDefault="00DC2697" w:rsidP="00DC2697">
      <w:pPr>
        <w:spacing w:after="0"/>
        <w:ind w:left="354"/>
        <w:contextualSpacing/>
        <w:jc w:val="both"/>
        <w:rPr>
          <w:rFonts w:ascii="Times New Roman" w:eastAsiaTheme="minorHAnsi" w:hAnsi="Times New Roman"/>
          <w:sz w:val="24"/>
          <w:szCs w:val="24"/>
        </w:rPr>
      </w:pPr>
    </w:p>
    <w:p w:rsidR="00DC2697" w:rsidRPr="00DC2697" w:rsidRDefault="00DC2697" w:rsidP="00DC2697">
      <w:pPr>
        <w:numPr>
          <w:ilvl w:val="0"/>
          <w:numId w:val="16"/>
        </w:numPr>
        <w:spacing w:before="240"/>
        <w:ind w:left="360"/>
        <w:jc w:val="both"/>
        <w:rPr>
          <w:rFonts w:ascii="Times New Roman" w:eastAsiaTheme="minorHAnsi" w:hAnsi="Times New Roman"/>
          <w:spacing w:val="60"/>
          <w:sz w:val="24"/>
          <w:szCs w:val="24"/>
        </w:rPr>
      </w:pPr>
      <w:r w:rsidRPr="00DC2697">
        <w:rPr>
          <w:rFonts w:ascii="Times New Roman" w:eastAsiaTheme="minorHAnsi" w:hAnsi="Times New Roman"/>
          <w:b/>
          <w:spacing w:val="60"/>
          <w:sz w:val="24"/>
          <w:szCs w:val="24"/>
        </w:rPr>
        <w:t>bere na vědomí</w:t>
      </w:r>
    </w:p>
    <w:p w:rsidR="00DC2697" w:rsidRPr="00DC2697" w:rsidRDefault="00DC2697" w:rsidP="00DC2697">
      <w:pPr>
        <w:numPr>
          <w:ilvl w:val="0"/>
          <w:numId w:val="17"/>
        </w:numPr>
        <w:spacing w:after="0"/>
        <w:ind w:left="1080"/>
        <w:jc w:val="both"/>
        <w:rPr>
          <w:rFonts w:ascii="Times New Roman" w:eastAsiaTheme="minorHAnsi" w:hAnsi="Times New Roman"/>
          <w:sz w:val="24"/>
          <w:szCs w:val="24"/>
        </w:rPr>
      </w:pPr>
      <w:r w:rsidRPr="00DC2697">
        <w:rPr>
          <w:rFonts w:ascii="Times New Roman" w:eastAsiaTheme="minorHAnsi" w:hAnsi="Times New Roman"/>
          <w:sz w:val="24"/>
          <w:szCs w:val="24"/>
        </w:rPr>
        <w:t xml:space="preserve">sdělení Komise – Moderní rozpočet pro Unii, která chrání, posiluje a brání: víceletý finanční rámec na období 2021 – 2027, kód Rady 8353/18 </w:t>
      </w:r>
    </w:p>
    <w:p w:rsidR="00DC2697" w:rsidRPr="00DC2697" w:rsidRDefault="00DC2697" w:rsidP="00DC2697">
      <w:pPr>
        <w:numPr>
          <w:ilvl w:val="0"/>
          <w:numId w:val="17"/>
        </w:numPr>
        <w:spacing w:after="0"/>
        <w:ind w:left="1080"/>
        <w:jc w:val="both"/>
        <w:rPr>
          <w:rFonts w:ascii="Times New Roman" w:eastAsiaTheme="minorHAnsi" w:hAnsi="Times New Roman"/>
          <w:sz w:val="24"/>
          <w:szCs w:val="24"/>
        </w:rPr>
      </w:pPr>
      <w:r w:rsidRPr="00DC2697">
        <w:rPr>
          <w:rFonts w:ascii="Times New Roman" w:eastAsiaTheme="minorHAnsi" w:hAnsi="Times New Roman"/>
          <w:sz w:val="24"/>
          <w:szCs w:val="24"/>
        </w:rPr>
        <w:t xml:space="preserve">návrh nařízení Rady, kterým se stanoví víceletý finanční rámec na období 2021 – 2027, kód Rady 8354/18 </w:t>
      </w:r>
    </w:p>
    <w:p w:rsidR="00DC2697" w:rsidRPr="00DC2697" w:rsidRDefault="00DC2697" w:rsidP="00DC2697">
      <w:pPr>
        <w:numPr>
          <w:ilvl w:val="0"/>
          <w:numId w:val="17"/>
        </w:numPr>
        <w:spacing w:after="0"/>
        <w:ind w:left="1080"/>
        <w:jc w:val="both"/>
        <w:rPr>
          <w:rFonts w:ascii="Times New Roman" w:eastAsiaTheme="minorHAnsi" w:hAnsi="Times New Roman"/>
          <w:sz w:val="24"/>
          <w:szCs w:val="24"/>
        </w:rPr>
      </w:pPr>
      <w:r w:rsidRPr="00DC2697">
        <w:rPr>
          <w:rFonts w:ascii="Times New Roman" w:eastAsiaTheme="minorHAnsi" w:hAnsi="Times New Roman"/>
          <w:sz w:val="24"/>
          <w:szCs w:val="24"/>
        </w:rPr>
        <w:t xml:space="preserve">návrh nařízení Evropského parlamentu a Rady o ochraně rozpočtu Unie v případě všeobecných nedostatků týkajících se právního státu v členských státech, kód Rady 8356/18 </w:t>
      </w:r>
    </w:p>
    <w:p w:rsidR="00DC2697" w:rsidRPr="00DC2697" w:rsidRDefault="00DC2697" w:rsidP="00DC2697">
      <w:pPr>
        <w:numPr>
          <w:ilvl w:val="0"/>
          <w:numId w:val="18"/>
        </w:numPr>
        <w:spacing w:after="0"/>
        <w:ind w:left="1004"/>
        <w:jc w:val="both"/>
        <w:rPr>
          <w:rFonts w:ascii="Times New Roman" w:eastAsiaTheme="minorHAnsi" w:hAnsi="Times New Roman"/>
          <w:sz w:val="24"/>
          <w:szCs w:val="24"/>
        </w:rPr>
      </w:pPr>
      <w:r w:rsidRPr="00DC2697">
        <w:rPr>
          <w:rFonts w:ascii="Times New Roman" w:eastAsiaTheme="minorHAnsi" w:hAnsi="Times New Roman"/>
          <w:sz w:val="24"/>
          <w:szCs w:val="24"/>
        </w:rPr>
        <w:lastRenderedPageBreak/>
        <w:t xml:space="preserve">návrh rozhodnutí Rady o systému vlastních zdrojů </w:t>
      </w:r>
      <w:r w:rsidR="005F15B1">
        <w:rPr>
          <w:rFonts w:ascii="Times New Roman" w:eastAsiaTheme="minorHAnsi" w:hAnsi="Times New Roman"/>
          <w:sz w:val="24"/>
          <w:szCs w:val="24"/>
        </w:rPr>
        <w:t>Evropské unie, kód Rady 8357/18</w:t>
      </w:r>
    </w:p>
    <w:p w:rsidR="00DC2697" w:rsidRPr="00DC2697" w:rsidRDefault="00DC2697" w:rsidP="00DC2697">
      <w:pPr>
        <w:numPr>
          <w:ilvl w:val="0"/>
          <w:numId w:val="18"/>
        </w:numPr>
        <w:spacing w:after="0"/>
        <w:ind w:left="1004"/>
        <w:jc w:val="both"/>
        <w:rPr>
          <w:rFonts w:ascii="Times New Roman" w:eastAsiaTheme="minorHAnsi" w:hAnsi="Times New Roman"/>
          <w:sz w:val="24"/>
          <w:szCs w:val="24"/>
        </w:rPr>
      </w:pPr>
      <w:r w:rsidRPr="00DC2697">
        <w:rPr>
          <w:rFonts w:ascii="Times New Roman" w:eastAsiaTheme="minorHAnsi" w:hAnsi="Times New Roman"/>
          <w:sz w:val="24"/>
          <w:szCs w:val="24"/>
        </w:rPr>
        <w:t>návrh nařízení Rady o metodách a postupu pro poskytování vlastních zdrojů ze společného konsolidovaného základu daně z příjmů právnických osob, ze systému Evropské unie pro obchodování s emisemi a z plastových obalových odpadů, které nejsou recyklovány, a o opatřeních ke krytí hotovo</w:t>
      </w:r>
      <w:r w:rsidR="005F15B1">
        <w:rPr>
          <w:rFonts w:ascii="Times New Roman" w:eastAsiaTheme="minorHAnsi" w:hAnsi="Times New Roman"/>
          <w:sz w:val="24"/>
          <w:szCs w:val="24"/>
        </w:rPr>
        <w:t>stních nároků, kód Rady 8358/18</w:t>
      </w:r>
    </w:p>
    <w:p w:rsidR="00DC2697" w:rsidRPr="00DC2697" w:rsidRDefault="00DC2697" w:rsidP="00DC2697">
      <w:pPr>
        <w:numPr>
          <w:ilvl w:val="0"/>
          <w:numId w:val="18"/>
        </w:numPr>
        <w:spacing w:after="0"/>
        <w:ind w:left="1004"/>
        <w:jc w:val="both"/>
        <w:rPr>
          <w:rFonts w:ascii="Times New Roman" w:eastAsiaTheme="minorHAnsi" w:hAnsi="Times New Roman"/>
          <w:sz w:val="24"/>
          <w:szCs w:val="24"/>
        </w:rPr>
      </w:pPr>
      <w:r w:rsidRPr="00DC2697">
        <w:rPr>
          <w:rFonts w:ascii="Times New Roman" w:eastAsiaTheme="minorHAnsi" w:hAnsi="Times New Roman"/>
          <w:sz w:val="24"/>
          <w:szCs w:val="24"/>
        </w:rPr>
        <w:t>návrh nařízení Rady, kterým se stanoví prováděcí opatření pro systém vlastních zdrojů Evropské u</w:t>
      </w:r>
      <w:r w:rsidR="005F15B1">
        <w:rPr>
          <w:rFonts w:ascii="Times New Roman" w:eastAsiaTheme="minorHAnsi" w:hAnsi="Times New Roman"/>
          <w:sz w:val="24"/>
          <w:szCs w:val="24"/>
        </w:rPr>
        <w:t>nie, kód Rady 8359/18</w:t>
      </w:r>
    </w:p>
    <w:p w:rsidR="00DC2697" w:rsidRDefault="00DC2697" w:rsidP="00DC2697">
      <w:pPr>
        <w:numPr>
          <w:ilvl w:val="0"/>
          <w:numId w:val="18"/>
        </w:numPr>
        <w:spacing w:after="0"/>
        <w:ind w:left="1004"/>
        <w:jc w:val="both"/>
        <w:rPr>
          <w:rFonts w:ascii="Times New Roman" w:eastAsiaTheme="minorHAnsi" w:hAnsi="Times New Roman"/>
          <w:sz w:val="24"/>
          <w:szCs w:val="24"/>
        </w:rPr>
      </w:pPr>
      <w:r w:rsidRPr="00DC2697">
        <w:rPr>
          <w:rFonts w:ascii="Times New Roman" w:eastAsiaTheme="minorHAnsi" w:hAnsi="Times New Roman"/>
          <w:sz w:val="24"/>
          <w:szCs w:val="24"/>
        </w:rPr>
        <w:t>návrh nařízení Rady, kterým se mění nařízení (EHS, Euratom) č. 1553/89 o konečné jednotné úpravě vybírání vlastních zdrojů vycházejících z daně z přidané hodnoty, kód Rady 8360/18;</w:t>
      </w:r>
    </w:p>
    <w:p w:rsidR="00DC2697" w:rsidRPr="00DC2697" w:rsidRDefault="00DC2697" w:rsidP="00DC2697">
      <w:pPr>
        <w:spacing w:after="0"/>
        <w:ind w:left="1004"/>
        <w:jc w:val="both"/>
        <w:rPr>
          <w:rFonts w:ascii="Times New Roman" w:eastAsiaTheme="minorHAnsi" w:hAnsi="Times New Roman"/>
          <w:sz w:val="24"/>
          <w:szCs w:val="24"/>
        </w:rPr>
      </w:pPr>
    </w:p>
    <w:p w:rsidR="00DC2697" w:rsidRDefault="00DC2697" w:rsidP="00DC2697">
      <w:pPr>
        <w:numPr>
          <w:ilvl w:val="0"/>
          <w:numId w:val="16"/>
        </w:numPr>
        <w:ind w:left="360"/>
        <w:jc w:val="both"/>
        <w:rPr>
          <w:rFonts w:ascii="Times New Roman" w:eastAsiaTheme="minorHAnsi" w:hAnsi="Times New Roman"/>
          <w:sz w:val="24"/>
          <w:szCs w:val="24"/>
        </w:rPr>
      </w:pPr>
      <w:r w:rsidRPr="00DC2697">
        <w:rPr>
          <w:rFonts w:ascii="Times New Roman" w:eastAsiaTheme="minorHAnsi" w:hAnsi="Times New Roman"/>
          <w:b/>
          <w:spacing w:val="60"/>
          <w:sz w:val="24"/>
          <w:szCs w:val="24"/>
        </w:rPr>
        <w:t>žádá předsedu Poslanecké sněmovny</w:t>
      </w:r>
      <w:r w:rsidRPr="00DC2697">
        <w:rPr>
          <w:rFonts w:ascii="Times New Roman" w:eastAsiaTheme="minorHAnsi" w:hAnsi="Times New Roman"/>
          <w:sz w:val="24"/>
          <w:szCs w:val="24"/>
        </w:rPr>
        <w:t>, aby v souladu s ustanovením § 109a, odst. 3 zákona č. 90/1995 Sb., o jednacím řádu Poslanecké sněmovny zařadil projednání těchto návrhů Rady na pořad nejbližší schůze Sněmovny;</w:t>
      </w:r>
    </w:p>
    <w:p w:rsidR="00DC2697" w:rsidRPr="00DC2697" w:rsidRDefault="00DC2697" w:rsidP="00DC2697">
      <w:pPr>
        <w:spacing w:after="0"/>
        <w:ind w:left="360"/>
        <w:jc w:val="both"/>
        <w:rPr>
          <w:rFonts w:ascii="Times New Roman" w:eastAsiaTheme="minorHAnsi" w:hAnsi="Times New Roman"/>
          <w:sz w:val="24"/>
          <w:szCs w:val="24"/>
        </w:rPr>
      </w:pPr>
    </w:p>
    <w:p w:rsidR="00DC2697" w:rsidRDefault="00DC2697" w:rsidP="00DC2697">
      <w:pPr>
        <w:numPr>
          <w:ilvl w:val="0"/>
          <w:numId w:val="16"/>
        </w:numPr>
        <w:ind w:left="360"/>
        <w:jc w:val="both"/>
        <w:rPr>
          <w:rFonts w:ascii="Times New Roman" w:eastAsiaTheme="minorHAnsi" w:hAnsi="Times New Roman"/>
          <w:sz w:val="24"/>
          <w:szCs w:val="24"/>
        </w:rPr>
      </w:pPr>
      <w:r w:rsidRPr="00DC2697">
        <w:rPr>
          <w:rFonts w:ascii="Times New Roman" w:eastAsiaTheme="minorHAnsi" w:hAnsi="Times New Roman"/>
          <w:b/>
          <w:spacing w:val="60"/>
          <w:sz w:val="24"/>
          <w:szCs w:val="24"/>
        </w:rPr>
        <w:t>pověřuje</w:t>
      </w:r>
      <w:r w:rsidRPr="00DC2697">
        <w:rPr>
          <w:rFonts w:ascii="Times New Roman" w:eastAsiaTheme="minorHAnsi" w:hAnsi="Times New Roman"/>
          <w:sz w:val="24"/>
          <w:szCs w:val="24"/>
        </w:rPr>
        <w:t xml:space="preserve"> předsedu výboru, aby toto usnesení zaslal předsedovi Evropské komise v rámci politického dialogu;</w:t>
      </w:r>
    </w:p>
    <w:p w:rsidR="00DC2697" w:rsidRPr="00DC2697" w:rsidRDefault="00DC2697" w:rsidP="00DC2697">
      <w:pPr>
        <w:spacing w:after="0"/>
        <w:ind w:left="360"/>
        <w:jc w:val="both"/>
        <w:rPr>
          <w:rFonts w:ascii="Times New Roman" w:eastAsiaTheme="minorHAnsi" w:hAnsi="Times New Roman"/>
          <w:sz w:val="24"/>
          <w:szCs w:val="24"/>
        </w:rPr>
      </w:pPr>
    </w:p>
    <w:p w:rsidR="00DC2697" w:rsidRPr="00DC2697" w:rsidRDefault="00DC2697" w:rsidP="00DC2697">
      <w:pPr>
        <w:numPr>
          <w:ilvl w:val="0"/>
          <w:numId w:val="16"/>
        </w:numPr>
        <w:ind w:left="360"/>
        <w:jc w:val="both"/>
        <w:rPr>
          <w:rFonts w:ascii="Times New Roman" w:eastAsiaTheme="minorHAnsi" w:hAnsi="Times New Roman"/>
          <w:sz w:val="24"/>
          <w:szCs w:val="24"/>
        </w:rPr>
      </w:pPr>
      <w:r w:rsidRPr="00DC2697">
        <w:rPr>
          <w:rFonts w:ascii="Times New Roman" w:eastAsiaTheme="minorHAnsi" w:hAnsi="Times New Roman"/>
          <w:b/>
          <w:spacing w:val="60"/>
          <w:sz w:val="24"/>
          <w:szCs w:val="24"/>
        </w:rPr>
        <w:t>usnáší se</w:t>
      </w:r>
      <w:r w:rsidRPr="00DC2697">
        <w:rPr>
          <w:rFonts w:ascii="Times New Roman" w:eastAsiaTheme="minorHAnsi" w:hAnsi="Times New Roman"/>
          <w:sz w:val="24"/>
          <w:szCs w:val="24"/>
        </w:rPr>
        <w:t xml:space="preserve"> se postoupit tyto dokumenty spolu se svým usnesením a rámcovou pozicí vlády ČR </w:t>
      </w:r>
      <w:r w:rsidRPr="00DC2697">
        <w:rPr>
          <w:rFonts w:ascii="Times New Roman" w:eastAsiaTheme="minorHAnsi" w:hAnsi="Times New Roman"/>
          <w:sz w:val="24"/>
          <w:szCs w:val="24"/>
          <w:u w:val="single"/>
        </w:rPr>
        <w:t>k informaci</w:t>
      </w:r>
      <w:r w:rsidRPr="00DC2697">
        <w:rPr>
          <w:rFonts w:ascii="Times New Roman" w:eastAsiaTheme="minorHAnsi" w:hAnsi="Times New Roman"/>
          <w:sz w:val="24"/>
          <w:szCs w:val="24"/>
        </w:rPr>
        <w:t xml:space="preserve"> rozpočtovému výboru.</w:t>
      </w:r>
    </w:p>
    <w:p w:rsidR="00B4108A" w:rsidRDefault="00B4108A" w:rsidP="00D066DF">
      <w:pPr>
        <w:spacing w:after="0" w:line="240" w:lineRule="auto"/>
        <w:rPr>
          <w:rFonts w:ascii="Times New Roman" w:hAnsi="Times New Roman"/>
          <w:sz w:val="24"/>
        </w:rPr>
      </w:pPr>
    </w:p>
    <w:p w:rsidR="00B85709" w:rsidRDefault="00B85709" w:rsidP="00D066DF">
      <w:pPr>
        <w:spacing w:after="0" w:line="240" w:lineRule="auto"/>
        <w:rPr>
          <w:rFonts w:ascii="Times New Roman" w:hAnsi="Times New Roman"/>
          <w:sz w:val="24"/>
        </w:rPr>
      </w:pPr>
    </w:p>
    <w:p w:rsidR="00B85709" w:rsidRDefault="00B85709" w:rsidP="00D066DF">
      <w:pPr>
        <w:spacing w:after="0" w:line="240" w:lineRule="auto"/>
        <w:rPr>
          <w:rFonts w:ascii="Times New Roman" w:hAnsi="Times New Roman"/>
          <w:sz w:val="24"/>
        </w:rPr>
      </w:pPr>
    </w:p>
    <w:p w:rsidR="00B85709" w:rsidRDefault="00B85709"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905C52" w:rsidRDefault="00905C52" w:rsidP="00D066DF">
      <w:pPr>
        <w:spacing w:after="0" w:line="240" w:lineRule="auto"/>
        <w:rPr>
          <w:rFonts w:ascii="Times New Roman" w:hAnsi="Times New Roman"/>
          <w:sz w:val="24"/>
        </w:rPr>
      </w:pPr>
    </w:p>
    <w:p w:rsidR="00B85709" w:rsidRPr="00106842" w:rsidRDefault="00B85709" w:rsidP="00B85709">
      <w:pPr>
        <w:keepNext/>
        <w:tabs>
          <w:tab w:val="center" w:pos="1701"/>
          <w:tab w:val="center" w:pos="4536"/>
          <w:tab w:val="center" w:pos="7371"/>
        </w:tabs>
        <w:spacing w:before="1000" w:after="0" w:line="240" w:lineRule="auto"/>
        <w:rPr>
          <w:rFonts w:ascii="Times New Roman" w:hAnsi="Times New Roman"/>
          <w:sz w:val="24"/>
        </w:rPr>
      </w:pPr>
      <w:r>
        <w:rPr>
          <w:rFonts w:ascii="Times New Roman" w:hAnsi="Times New Roman"/>
          <w:sz w:val="24"/>
        </w:rPr>
        <w:tab/>
        <w:t>Jiří Kobza</w:t>
      </w:r>
      <w:r w:rsidR="00C922DD">
        <w:rPr>
          <w:rFonts w:ascii="Times New Roman" w:hAnsi="Times New Roman"/>
          <w:sz w:val="24"/>
        </w:rPr>
        <w:t xml:space="preserve"> v. r.</w:t>
      </w:r>
      <w:r w:rsidRPr="00106842">
        <w:rPr>
          <w:rFonts w:ascii="Times New Roman" w:hAnsi="Times New Roman"/>
          <w:sz w:val="24"/>
        </w:rPr>
        <w:tab/>
        <w:t xml:space="preserve"> </w:t>
      </w:r>
      <w:r>
        <w:rPr>
          <w:rFonts w:ascii="Times New Roman" w:hAnsi="Times New Roman"/>
          <w:sz w:val="24"/>
        </w:rPr>
        <w:tab/>
        <w:t>Adam Kalous</w:t>
      </w:r>
      <w:r w:rsidR="00C922DD">
        <w:rPr>
          <w:rFonts w:ascii="Times New Roman" w:hAnsi="Times New Roman"/>
          <w:sz w:val="24"/>
        </w:rPr>
        <w:t xml:space="preserve"> v. r.</w:t>
      </w:r>
    </w:p>
    <w:p w:rsidR="00B85709" w:rsidRPr="00106842" w:rsidRDefault="00B85709" w:rsidP="00B85709">
      <w:pPr>
        <w:keepNext/>
        <w:tabs>
          <w:tab w:val="center" w:pos="1701"/>
          <w:tab w:val="center" w:pos="4536"/>
          <w:tab w:val="center" w:pos="7371"/>
        </w:tabs>
        <w:spacing w:after="0" w:line="240" w:lineRule="auto"/>
        <w:rPr>
          <w:rFonts w:ascii="Times New Roman" w:hAnsi="Times New Roman"/>
          <w:sz w:val="24"/>
        </w:rPr>
      </w:pPr>
      <w:r w:rsidRPr="00106842">
        <w:rPr>
          <w:rFonts w:ascii="Times New Roman" w:hAnsi="Times New Roman"/>
          <w:sz w:val="24"/>
        </w:rPr>
        <w:tab/>
      </w:r>
      <w:r>
        <w:rPr>
          <w:rFonts w:ascii="Times New Roman" w:hAnsi="Times New Roman"/>
          <w:sz w:val="24"/>
        </w:rPr>
        <w:t>o</w:t>
      </w:r>
      <w:r w:rsidRPr="00106842">
        <w:rPr>
          <w:rFonts w:ascii="Times New Roman" w:hAnsi="Times New Roman"/>
          <w:sz w:val="24"/>
        </w:rPr>
        <w:t>věřovatel</w:t>
      </w:r>
      <w:r w:rsidRPr="00106842">
        <w:rPr>
          <w:rFonts w:ascii="Times New Roman" w:hAnsi="Times New Roman"/>
          <w:sz w:val="24"/>
        </w:rPr>
        <w:tab/>
      </w:r>
      <w:r w:rsidRPr="00106842">
        <w:rPr>
          <w:rFonts w:ascii="Times New Roman" w:hAnsi="Times New Roman"/>
          <w:sz w:val="24"/>
        </w:rPr>
        <w:tab/>
        <w:t>zpravodaj</w:t>
      </w:r>
    </w:p>
    <w:p w:rsidR="00B85709" w:rsidRPr="00254049" w:rsidRDefault="00B85709" w:rsidP="00B85709">
      <w:pPr>
        <w:tabs>
          <w:tab w:val="center" w:pos="1701"/>
          <w:tab w:val="center" w:pos="4536"/>
          <w:tab w:val="center" w:pos="7371"/>
        </w:tabs>
        <w:spacing w:before="1000" w:after="0" w:line="240" w:lineRule="auto"/>
        <w:rPr>
          <w:rFonts w:ascii="Times New Roman" w:hAnsi="Times New Roman"/>
          <w:caps/>
          <w:sz w:val="24"/>
        </w:rPr>
      </w:pPr>
      <w:r w:rsidRPr="00106842">
        <w:rPr>
          <w:rFonts w:ascii="Times New Roman" w:hAnsi="Times New Roman"/>
          <w:sz w:val="24"/>
        </w:rPr>
        <w:tab/>
      </w:r>
      <w:r w:rsidRPr="00106842">
        <w:rPr>
          <w:rFonts w:ascii="Times New Roman" w:hAnsi="Times New Roman"/>
          <w:sz w:val="24"/>
        </w:rPr>
        <w:tab/>
      </w:r>
      <w:r>
        <w:rPr>
          <w:rFonts w:ascii="Times New Roman" w:hAnsi="Times New Roman"/>
          <w:sz w:val="24"/>
        </w:rPr>
        <w:t>Ondřej Benešík</w:t>
      </w:r>
      <w:r w:rsidRPr="00106842">
        <w:rPr>
          <w:rFonts w:ascii="Times New Roman" w:hAnsi="Times New Roman"/>
          <w:sz w:val="24"/>
        </w:rPr>
        <w:t xml:space="preserve"> </w:t>
      </w:r>
      <w:r w:rsidR="00C922DD">
        <w:rPr>
          <w:rFonts w:ascii="Times New Roman" w:hAnsi="Times New Roman"/>
          <w:sz w:val="24"/>
        </w:rPr>
        <w:t>v. r.</w:t>
      </w:r>
    </w:p>
    <w:p w:rsidR="00B85709" w:rsidRDefault="00B85709" w:rsidP="00B85709">
      <w:pPr>
        <w:tabs>
          <w:tab w:val="center" w:pos="1701"/>
          <w:tab w:val="center" w:pos="4536"/>
          <w:tab w:val="center" w:pos="7371"/>
        </w:tabs>
        <w:spacing w:after="0" w:line="240" w:lineRule="auto"/>
        <w:rPr>
          <w:rFonts w:ascii="Times New Roman" w:hAnsi="Times New Roman"/>
          <w:sz w:val="24"/>
        </w:rPr>
      </w:pPr>
      <w:r w:rsidRPr="00106842">
        <w:rPr>
          <w:rFonts w:ascii="Times New Roman" w:hAnsi="Times New Roman"/>
          <w:sz w:val="24"/>
        </w:rPr>
        <w:tab/>
      </w:r>
      <w:r w:rsidRPr="00106842">
        <w:rPr>
          <w:rFonts w:ascii="Times New Roman" w:hAnsi="Times New Roman"/>
          <w:sz w:val="24"/>
        </w:rPr>
        <w:tab/>
      </w:r>
      <w:r>
        <w:rPr>
          <w:rFonts w:ascii="Times New Roman" w:hAnsi="Times New Roman"/>
          <w:sz w:val="24"/>
        </w:rPr>
        <w:t>p</w:t>
      </w:r>
      <w:r w:rsidRPr="00106842">
        <w:rPr>
          <w:rFonts w:ascii="Times New Roman" w:hAnsi="Times New Roman"/>
          <w:sz w:val="24"/>
        </w:rPr>
        <w:t>ředseda</w:t>
      </w:r>
    </w:p>
    <w:p w:rsidR="00B85709" w:rsidRDefault="00B85709" w:rsidP="00D066DF">
      <w:pPr>
        <w:spacing w:after="0" w:line="240" w:lineRule="auto"/>
        <w:rPr>
          <w:rFonts w:ascii="Times New Roman" w:hAnsi="Times New Roman"/>
          <w:sz w:val="24"/>
        </w:rPr>
      </w:pPr>
    </w:p>
    <w:p w:rsidR="00B85709" w:rsidRDefault="00B85709" w:rsidP="00D066DF">
      <w:pPr>
        <w:spacing w:after="0" w:line="240" w:lineRule="auto"/>
        <w:rPr>
          <w:rFonts w:ascii="Times New Roman" w:hAnsi="Times New Roman"/>
          <w:sz w:val="24"/>
        </w:rPr>
      </w:pPr>
    </w:p>
    <w:p w:rsidR="00B85709" w:rsidRDefault="00B85709" w:rsidP="00D066DF">
      <w:pPr>
        <w:spacing w:after="0" w:line="240" w:lineRule="auto"/>
        <w:rPr>
          <w:rFonts w:ascii="Times New Roman" w:hAnsi="Times New Roman"/>
          <w:sz w:val="24"/>
        </w:rPr>
      </w:pPr>
    </w:p>
    <w:sectPr w:rsidR="00B85709" w:rsidSect="00563B5A">
      <w:pgSz w:w="11906" w:h="16838"/>
      <w:pgMar w:top="113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B5A" w:rsidRDefault="00563B5A" w:rsidP="00563B5A">
      <w:pPr>
        <w:spacing w:after="0" w:line="240" w:lineRule="auto"/>
      </w:pPr>
      <w:r>
        <w:separator/>
      </w:r>
    </w:p>
  </w:endnote>
  <w:endnote w:type="continuationSeparator" w:id="0">
    <w:p w:rsidR="00563B5A" w:rsidRDefault="00563B5A" w:rsidP="00563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652567428"/>
      <w:docPartObj>
        <w:docPartGallery w:val="Page Numbers (Bottom of Page)"/>
        <w:docPartUnique/>
      </w:docPartObj>
    </w:sdtPr>
    <w:sdtEndPr/>
    <w:sdtContent>
      <w:p w:rsidR="00563B5A" w:rsidRPr="00563B5A" w:rsidRDefault="00563B5A">
        <w:pPr>
          <w:pStyle w:val="Zpat"/>
          <w:jc w:val="center"/>
          <w:rPr>
            <w:rFonts w:ascii="Times New Roman" w:hAnsi="Times New Roman"/>
            <w:sz w:val="24"/>
            <w:szCs w:val="24"/>
          </w:rPr>
        </w:pPr>
        <w:r w:rsidRPr="00563B5A">
          <w:rPr>
            <w:rFonts w:ascii="Times New Roman" w:hAnsi="Times New Roman"/>
            <w:sz w:val="24"/>
            <w:szCs w:val="24"/>
          </w:rPr>
          <w:fldChar w:fldCharType="begin"/>
        </w:r>
        <w:r w:rsidRPr="00563B5A">
          <w:rPr>
            <w:rFonts w:ascii="Times New Roman" w:hAnsi="Times New Roman"/>
            <w:sz w:val="24"/>
            <w:szCs w:val="24"/>
          </w:rPr>
          <w:instrText>PAGE   \* MERGEFORMAT</w:instrText>
        </w:r>
        <w:r w:rsidRPr="00563B5A">
          <w:rPr>
            <w:rFonts w:ascii="Times New Roman" w:hAnsi="Times New Roman"/>
            <w:sz w:val="24"/>
            <w:szCs w:val="24"/>
          </w:rPr>
          <w:fldChar w:fldCharType="separate"/>
        </w:r>
        <w:r w:rsidR="009F54D2">
          <w:rPr>
            <w:rFonts w:ascii="Times New Roman" w:hAnsi="Times New Roman"/>
            <w:noProof/>
            <w:sz w:val="24"/>
            <w:szCs w:val="24"/>
          </w:rPr>
          <w:t>18</w:t>
        </w:r>
        <w:r w:rsidRPr="00563B5A">
          <w:rPr>
            <w:rFonts w:ascii="Times New Roman" w:hAnsi="Times New Roman"/>
            <w:sz w:val="24"/>
            <w:szCs w:val="24"/>
          </w:rPr>
          <w:fldChar w:fldCharType="end"/>
        </w:r>
      </w:p>
    </w:sdtContent>
  </w:sdt>
  <w:p w:rsidR="00563B5A" w:rsidRDefault="00563B5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B5A" w:rsidRDefault="00563B5A" w:rsidP="00563B5A">
      <w:pPr>
        <w:spacing w:after="0" w:line="240" w:lineRule="auto"/>
      </w:pPr>
      <w:r>
        <w:separator/>
      </w:r>
    </w:p>
  </w:footnote>
  <w:footnote w:type="continuationSeparator" w:id="0">
    <w:p w:rsidR="00563B5A" w:rsidRDefault="00563B5A" w:rsidP="00563B5A">
      <w:pPr>
        <w:spacing w:after="0" w:line="240" w:lineRule="auto"/>
      </w:pPr>
      <w:r>
        <w:continuationSeparator/>
      </w:r>
    </w:p>
  </w:footnote>
  <w:footnote w:id="1">
    <w:p w:rsidR="009E3B02" w:rsidRPr="004A2C5E" w:rsidRDefault="009E3B02" w:rsidP="009E3B02">
      <w:pPr>
        <w:pStyle w:val="Textpoznpodarou"/>
        <w:rPr>
          <w:rFonts w:ascii="Times New Roman" w:hAnsi="Times New Roman"/>
        </w:rPr>
      </w:pPr>
      <w:r w:rsidRPr="004A2C5E">
        <w:rPr>
          <w:rStyle w:val="Znakapoznpodarou"/>
          <w:rFonts w:ascii="Times New Roman" w:hAnsi="Times New Roman"/>
        </w:rPr>
        <w:footnoteRef/>
      </w:r>
      <w:r w:rsidRPr="004A2C5E">
        <w:rPr>
          <w:rFonts w:ascii="Times New Roman" w:hAnsi="Times New Roman"/>
        </w:rPr>
        <w:t xml:space="preserve"> </w:t>
      </w:r>
      <w:hyperlink r:id="rId1" w:history="1">
        <w:r w:rsidRPr="004A2C5E">
          <w:rPr>
            <w:rStyle w:val="Hypertextovodkaz"/>
            <w:rFonts w:ascii="Times New Roman" w:hAnsi="Times New Roman"/>
          </w:rPr>
          <w:t>http://data.consilium.europa.eu/doc/document/ST-8354-2018-ADD-1/cs/pdf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6576F70"/>
    <w:multiLevelType w:val="hybridMultilevel"/>
    <w:tmpl w:val="A080C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8973260"/>
    <w:multiLevelType w:val="hybridMultilevel"/>
    <w:tmpl w:val="8E803384"/>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3">
    <w:nsid w:val="0D2612CD"/>
    <w:multiLevelType w:val="hybridMultilevel"/>
    <w:tmpl w:val="F282FE6A"/>
    <w:lvl w:ilvl="0" w:tplc="08090001">
      <w:start w:val="1"/>
      <w:numFmt w:val="bullet"/>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4">
    <w:nsid w:val="1A55643D"/>
    <w:multiLevelType w:val="hybridMultilevel"/>
    <w:tmpl w:val="A73C2C8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nsid w:val="1AA97A7B"/>
    <w:multiLevelType w:val="hybridMultilevel"/>
    <w:tmpl w:val="15F26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D5D3261"/>
    <w:multiLevelType w:val="hybridMultilevel"/>
    <w:tmpl w:val="7B305CA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D30C65"/>
    <w:multiLevelType w:val="hybridMultilevel"/>
    <w:tmpl w:val="4EACA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3095B5B"/>
    <w:multiLevelType w:val="hybridMultilevel"/>
    <w:tmpl w:val="1862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3DB49BB"/>
    <w:multiLevelType w:val="hybridMultilevel"/>
    <w:tmpl w:val="92902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nsid w:val="26927828"/>
    <w:multiLevelType w:val="hybridMultilevel"/>
    <w:tmpl w:val="7A5231C0"/>
    <w:lvl w:ilvl="0" w:tplc="0D664076">
      <w:start w:val="1"/>
      <w:numFmt w:val="lowerLetter"/>
      <w:lvlText w:val="%1)"/>
      <w:lvlJc w:val="left"/>
      <w:pPr>
        <w:ind w:left="720" w:hanging="360"/>
      </w:pPr>
      <w:rPr>
        <w:rFonts w:asciiTheme="majorHAnsi" w:eastAsia="Calibri" w:hAnsiTheme="majorHAns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ACC1EE4"/>
    <w:multiLevelType w:val="hybridMultilevel"/>
    <w:tmpl w:val="A79C9F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B00685B"/>
    <w:multiLevelType w:val="hybridMultilevel"/>
    <w:tmpl w:val="4E6CDBF0"/>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4">
    <w:nsid w:val="316A5FF0"/>
    <w:multiLevelType w:val="hybridMultilevel"/>
    <w:tmpl w:val="A43ADBCA"/>
    <w:lvl w:ilvl="0" w:tplc="5A0CF2E6">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nsid w:val="31956327"/>
    <w:multiLevelType w:val="hybridMultilevel"/>
    <w:tmpl w:val="4C664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B4E6877"/>
    <w:multiLevelType w:val="hybridMultilevel"/>
    <w:tmpl w:val="7C74D018"/>
    <w:lvl w:ilvl="0" w:tplc="AAB6B2BC">
      <w:start w:val="1"/>
      <w:numFmt w:val="upperRoman"/>
      <w:pStyle w:val="PS-slovanseznam"/>
      <w:lvlText w:val="%1."/>
      <w:lvlJc w:val="left"/>
      <w:pPr>
        <w:ind w:left="4046"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7">
    <w:nsid w:val="452C60E0"/>
    <w:multiLevelType w:val="hybridMultilevel"/>
    <w:tmpl w:val="7688DAD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8">
    <w:nsid w:val="47A30805"/>
    <w:multiLevelType w:val="hybridMultilevel"/>
    <w:tmpl w:val="E3585E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4D305CDD"/>
    <w:multiLevelType w:val="hybridMultilevel"/>
    <w:tmpl w:val="9404C21C"/>
    <w:lvl w:ilvl="0" w:tplc="08090001">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0">
    <w:nsid w:val="4F117804"/>
    <w:multiLevelType w:val="hybridMultilevel"/>
    <w:tmpl w:val="14986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5D3232"/>
    <w:multiLevelType w:val="hybridMultilevel"/>
    <w:tmpl w:val="AB0679C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2">
    <w:nsid w:val="5EEC4136"/>
    <w:multiLevelType w:val="hybridMultilevel"/>
    <w:tmpl w:val="0E88F3AC"/>
    <w:lvl w:ilvl="0" w:tplc="08090001">
      <w:start w:val="1"/>
      <w:numFmt w:val="bullet"/>
      <w:lvlText w:val=""/>
      <w:lvlJc w:val="left"/>
      <w:pPr>
        <w:ind w:left="695" w:hanging="360"/>
      </w:pPr>
      <w:rPr>
        <w:rFonts w:ascii="Symbol" w:hAnsi="Symbol" w:hint="default"/>
      </w:rPr>
    </w:lvl>
    <w:lvl w:ilvl="1" w:tplc="08090003" w:tentative="1">
      <w:start w:val="1"/>
      <w:numFmt w:val="bullet"/>
      <w:lvlText w:val="o"/>
      <w:lvlJc w:val="left"/>
      <w:pPr>
        <w:ind w:left="1415" w:hanging="360"/>
      </w:pPr>
      <w:rPr>
        <w:rFonts w:ascii="Courier New" w:hAnsi="Courier New" w:cs="Courier New" w:hint="default"/>
      </w:rPr>
    </w:lvl>
    <w:lvl w:ilvl="2" w:tplc="08090005" w:tentative="1">
      <w:start w:val="1"/>
      <w:numFmt w:val="bullet"/>
      <w:lvlText w:val=""/>
      <w:lvlJc w:val="left"/>
      <w:pPr>
        <w:ind w:left="2135" w:hanging="360"/>
      </w:pPr>
      <w:rPr>
        <w:rFonts w:ascii="Wingdings" w:hAnsi="Wingdings" w:hint="default"/>
      </w:rPr>
    </w:lvl>
    <w:lvl w:ilvl="3" w:tplc="08090001" w:tentative="1">
      <w:start w:val="1"/>
      <w:numFmt w:val="bullet"/>
      <w:lvlText w:val=""/>
      <w:lvlJc w:val="left"/>
      <w:pPr>
        <w:ind w:left="2855" w:hanging="360"/>
      </w:pPr>
      <w:rPr>
        <w:rFonts w:ascii="Symbol" w:hAnsi="Symbol" w:hint="default"/>
      </w:rPr>
    </w:lvl>
    <w:lvl w:ilvl="4" w:tplc="08090003" w:tentative="1">
      <w:start w:val="1"/>
      <w:numFmt w:val="bullet"/>
      <w:lvlText w:val="o"/>
      <w:lvlJc w:val="left"/>
      <w:pPr>
        <w:ind w:left="3575" w:hanging="360"/>
      </w:pPr>
      <w:rPr>
        <w:rFonts w:ascii="Courier New" w:hAnsi="Courier New" w:cs="Courier New" w:hint="default"/>
      </w:rPr>
    </w:lvl>
    <w:lvl w:ilvl="5" w:tplc="08090005" w:tentative="1">
      <w:start w:val="1"/>
      <w:numFmt w:val="bullet"/>
      <w:lvlText w:val=""/>
      <w:lvlJc w:val="left"/>
      <w:pPr>
        <w:ind w:left="4295" w:hanging="360"/>
      </w:pPr>
      <w:rPr>
        <w:rFonts w:ascii="Wingdings" w:hAnsi="Wingdings" w:hint="default"/>
      </w:rPr>
    </w:lvl>
    <w:lvl w:ilvl="6" w:tplc="08090001" w:tentative="1">
      <w:start w:val="1"/>
      <w:numFmt w:val="bullet"/>
      <w:lvlText w:val=""/>
      <w:lvlJc w:val="left"/>
      <w:pPr>
        <w:ind w:left="5015" w:hanging="360"/>
      </w:pPr>
      <w:rPr>
        <w:rFonts w:ascii="Symbol" w:hAnsi="Symbol" w:hint="default"/>
      </w:rPr>
    </w:lvl>
    <w:lvl w:ilvl="7" w:tplc="08090003" w:tentative="1">
      <w:start w:val="1"/>
      <w:numFmt w:val="bullet"/>
      <w:lvlText w:val="o"/>
      <w:lvlJc w:val="left"/>
      <w:pPr>
        <w:ind w:left="5735" w:hanging="360"/>
      </w:pPr>
      <w:rPr>
        <w:rFonts w:ascii="Courier New" w:hAnsi="Courier New" w:cs="Courier New" w:hint="default"/>
      </w:rPr>
    </w:lvl>
    <w:lvl w:ilvl="8" w:tplc="08090005" w:tentative="1">
      <w:start w:val="1"/>
      <w:numFmt w:val="bullet"/>
      <w:lvlText w:val=""/>
      <w:lvlJc w:val="left"/>
      <w:pPr>
        <w:ind w:left="6455" w:hanging="360"/>
      </w:pPr>
      <w:rPr>
        <w:rFonts w:ascii="Wingdings" w:hAnsi="Wingdings" w:hint="default"/>
      </w:rPr>
    </w:lvl>
  </w:abstractNum>
  <w:abstractNum w:abstractNumId="33">
    <w:nsid w:val="700376BA"/>
    <w:multiLevelType w:val="hybridMultilevel"/>
    <w:tmpl w:val="AB30CA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62C39D0"/>
    <w:multiLevelType w:val="hybridMultilevel"/>
    <w:tmpl w:val="9E3CD30A"/>
    <w:lvl w:ilvl="0" w:tplc="D6088A4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B6E7D49"/>
    <w:multiLevelType w:val="hybridMultilevel"/>
    <w:tmpl w:val="D5328982"/>
    <w:lvl w:ilvl="0" w:tplc="08090001">
      <w:start w:val="1"/>
      <w:numFmt w:val="bullet"/>
      <w:lvlText w:val=""/>
      <w:lvlJc w:val="left"/>
      <w:pPr>
        <w:ind w:left="1086" w:hanging="360"/>
      </w:pPr>
      <w:rPr>
        <w:rFonts w:ascii="Symbol" w:hAnsi="Symbol" w:hint="default"/>
      </w:rPr>
    </w:lvl>
    <w:lvl w:ilvl="1" w:tplc="08090003" w:tentative="1">
      <w:start w:val="1"/>
      <w:numFmt w:val="bullet"/>
      <w:lvlText w:val="o"/>
      <w:lvlJc w:val="left"/>
      <w:pPr>
        <w:ind w:left="1806" w:hanging="360"/>
      </w:pPr>
      <w:rPr>
        <w:rFonts w:ascii="Courier New" w:hAnsi="Courier New" w:cs="Courier New" w:hint="default"/>
      </w:rPr>
    </w:lvl>
    <w:lvl w:ilvl="2" w:tplc="08090005" w:tentative="1">
      <w:start w:val="1"/>
      <w:numFmt w:val="bullet"/>
      <w:lvlText w:val=""/>
      <w:lvlJc w:val="left"/>
      <w:pPr>
        <w:ind w:left="2526" w:hanging="360"/>
      </w:pPr>
      <w:rPr>
        <w:rFonts w:ascii="Wingdings" w:hAnsi="Wingdings" w:hint="default"/>
      </w:rPr>
    </w:lvl>
    <w:lvl w:ilvl="3" w:tplc="08090001" w:tentative="1">
      <w:start w:val="1"/>
      <w:numFmt w:val="bullet"/>
      <w:lvlText w:val=""/>
      <w:lvlJc w:val="left"/>
      <w:pPr>
        <w:ind w:left="3246" w:hanging="360"/>
      </w:pPr>
      <w:rPr>
        <w:rFonts w:ascii="Symbol" w:hAnsi="Symbol" w:hint="default"/>
      </w:rPr>
    </w:lvl>
    <w:lvl w:ilvl="4" w:tplc="08090003" w:tentative="1">
      <w:start w:val="1"/>
      <w:numFmt w:val="bullet"/>
      <w:lvlText w:val="o"/>
      <w:lvlJc w:val="left"/>
      <w:pPr>
        <w:ind w:left="3966" w:hanging="360"/>
      </w:pPr>
      <w:rPr>
        <w:rFonts w:ascii="Courier New" w:hAnsi="Courier New" w:cs="Courier New" w:hint="default"/>
      </w:rPr>
    </w:lvl>
    <w:lvl w:ilvl="5" w:tplc="08090005" w:tentative="1">
      <w:start w:val="1"/>
      <w:numFmt w:val="bullet"/>
      <w:lvlText w:val=""/>
      <w:lvlJc w:val="left"/>
      <w:pPr>
        <w:ind w:left="4686" w:hanging="360"/>
      </w:pPr>
      <w:rPr>
        <w:rFonts w:ascii="Wingdings" w:hAnsi="Wingdings" w:hint="default"/>
      </w:rPr>
    </w:lvl>
    <w:lvl w:ilvl="6" w:tplc="08090001" w:tentative="1">
      <w:start w:val="1"/>
      <w:numFmt w:val="bullet"/>
      <w:lvlText w:val=""/>
      <w:lvlJc w:val="left"/>
      <w:pPr>
        <w:ind w:left="5406" w:hanging="360"/>
      </w:pPr>
      <w:rPr>
        <w:rFonts w:ascii="Symbol" w:hAnsi="Symbol" w:hint="default"/>
      </w:rPr>
    </w:lvl>
    <w:lvl w:ilvl="7" w:tplc="08090003" w:tentative="1">
      <w:start w:val="1"/>
      <w:numFmt w:val="bullet"/>
      <w:lvlText w:val="o"/>
      <w:lvlJc w:val="left"/>
      <w:pPr>
        <w:ind w:left="6126" w:hanging="360"/>
      </w:pPr>
      <w:rPr>
        <w:rFonts w:ascii="Courier New" w:hAnsi="Courier New" w:cs="Courier New" w:hint="default"/>
      </w:rPr>
    </w:lvl>
    <w:lvl w:ilvl="8" w:tplc="08090005" w:tentative="1">
      <w:start w:val="1"/>
      <w:numFmt w:val="bullet"/>
      <w:lvlText w:val=""/>
      <w:lvlJc w:val="left"/>
      <w:pPr>
        <w:ind w:left="6846"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26"/>
  </w:num>
  <w:num w:numId="7">
    <w:abstractNumId w:val="20"/>
  </w:num>
  <w:num w:numId="8">
    <w:abstractNumId w:val="11"/>
  </w:num>
  <w:num w:numId="9">
    <w:abstractNumId w:val="4"/>
  </w:num>
  <w:num w:numId="10">
    <w:abstractNumId w:val="5"/>
  </w:num>
  <w:num w:numId="11">
    <w:abstractNumId w:val="6"/>
  </w:num>
  <w:num w:numId="12">
    <w:abstractNumId w:val="7"/>
  </w:num>
  <w:num w:numId="13">
    <w:abstractNumId w:val="9"/>
  </w:num>
  <w:num w:numId="14">
    <w:abstractNumId w:val="27"/>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28"/>
  </w:num>
  <w:num w:numId="18">
    <w:abstractNumId w:val="23"/>
  </w:num>
  <w:num w:numId="19">
    <w:abstractNumId w:val="33"/>
  </w:num>
  <w:num w:numId="20">
    <w:abstractNumId w:val="17"/>
  </w:num>
  <w:num w:numId="21">
    <w:abstractNumId w:val="10"/>
  </w:num>
  <w:num w:numId="22">
    <w:abstractNumId w:val="32"/>
  </w:num>
  <w:num w:numId="23">
    <w:abstractNumId w:val="31"/>
  </w:num>
  <w:num w:numId="24">
    <w:abstractNumId w:val="13"/>
  </w:num>
  <w:num w:numId="25">
    <w:abstractNumId w:val="12"/>
  </w:num>
  <w:num w:numId="26">
    <w:abstractNumId w:val="25"/>
  </w:num>
  <w:num w:numId="27">
    <w:abstractNumId w:val="21"/>
  </w:num>
  <w:num w:numId="28">
    <w:abstractNumId w:val="16"/>
  </w:num>
  <w:num w:numId="29">
    <w:abstractNumId w:val="22"/>
  </w:num>
  <w:num w:numId="30">
    <w:abstractNumId w:val="14"/>
  </w:num>
  <w:num w:numId="31">
    <w:abstractNumId w:val="29"/>
  </w:num>
  <w:num w:numId="32">
    <w:abstractNumId w:val="35"/>
  </w:num>
  <w:num w:numId="33">
    <w:abstractNumId w:val="15"/>
  </w:num>
  <w:num w:numId="34">
    <w:abstractNumId w:val="18"/>
  </w:num>
  <w:num w:numId="35">
    <w:abstractNumId w:val="30"/>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E20"/>
    <w:rsid w:val="000476E4"/>
    <w:rsid w:val="000C5278"/>
    <w:rsid w:val="000E730C"/>
    <w:rsid w:val="00103C04"/>
    <w:rsid w:val="00106842"/>
    <w:rsid w:val="00136646"/>
    <w:rsid w:val="001B45F3"/>
    <w:rsid w:val="001E6E20"/>
    <w:rsid w:val="001F12E8"/>
    <w:rsid w:val="00230024"/>
    <w:rsid w:val="00254049"/>
    <w:rsid w:val="00272E1B"/>
    <w:rsid w:val="002A2F32"/>
    <w:rsid w:val="002B0FB6"/>
    <w:rsid w:val="002B270D"/>
    <w:rsid w:val="002B60B3"/>
    <w:rsid w:val="002C6BED"/>
    <w:rsid w:val="002F1128"/>
    <w:rsid w:val="00356011"/>
    <w:rsid w:val="00377253"/>
    <w:rsid w:val="00396F6C"/>
    <w:rsid w:val="003A1DF9"/>
    <w:rsid w:val="003D2033"/>
    <w:rsid w:val="004A2C5E"/>
    <w:rsid w:val="005227BF"/>
    <w:rsid w:val="00555AFB"/>
    <w:rsid w:val="00563B5A"/>
    <w:rsid w:val="00566A4C"/>
    <w:rsid w:val="00597608"/>
    <w:rsid w:val="005C30D7"/>
    <w:rsid w:val="005E094C"/>
    <w:rsid w:val="005F15B1"/>
    <w:rsid w:val="005F58EC"/>
    <w:rsid w:val="005F6CAE"/>
    <w:rsid w:val="0061035F"/>
    <w:rsid w:val="00620764"/>
    <w:rsid w:val="00630AC0"/>
    <w:rsid w:val="00656C37"/>
    <w:rsid w:val="006D769E"/>
    <w:rsid w:val="00740C4E"/>
    <w:rsid w:val="007C62DA"/>
    <w:rsid w:val="007D5EE1"/>
    <w:rsid w:val="007E1D0B"/>
    <w:rsid w:val="00812496"/>
    <w:rsid w:val="00830BFE"/>
    <w:rsid w:val="00893C29"/>
    <w:rsid w:val="00903269"/>
    <w:rsid w:val="00905C52"/>
    <w:rsid w:val="009E3B02"/>
    <w:rsid w:val="009F54D2"/>
    <w:rsid w:val="00A07307"/>
    <w:rsid w:val="00A46CDA"/>
    <w:rsid w:val="00A93982"/>
    <w:rsid w:val="00AA0D27"/>
    <w:rsid w:val="00AE5D86"/>
    <w:rsid w:val="00B13892"/>
    <w:rsid w:val="00B4108A"/>
    <w:rsid w:val="00B53E8D"/>
    <w:rsid w:val="00B715B6"/>
    <w:rsid w:val="00B85709"/>
    <w:rsid w:val="00BA00F3"/>
    <w:rsid w:val="00BA0357"/>
    <w:rsid w:val="00C42100"/>
    <w:rsid w:val="00C56014"/>
    <w:rsid w:val="00C922DD"/>
    <w:rsid w:val="00D066DF"/>
    <w:rsid w:val="00D42C98"/>
    <w:rsid w:val="00D46ACA"/>
    <w:rsid w:val="00D76FB3"/>
    <w:rsid w:val="00DC2697"/>
    <w:rsid w:val="00DC29E4"/>
    <w:rsid w:val="00EB1EFC"/>
    <w:rsid w:val="00ED15A8"/>
    <w:rsid w:val="00EF0C30"/>
    <w:rsid w:val="00EF3B15"/>
    <w:rsid w:val="00EF679B"/>
    <w:rsid w:val="00FB7B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026CB-5D64-4419-954A-44FF3EA1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character" w:styleId="Zdraznn">
    <w:name w:val="Emphasis"/>
    <w:uiPriority w:val="20"/>
    <w:qFormat/>
    <w:rsid w:val="00B4108A"/>
    <w:rPr>
      <w:rFonts w:ascii="Times New Roman" w:hAnsi="Times New Roman" w:cs="Times New Roman" w:hint="default"/>
      <w:i/>
      <w:iCs/>
    </w:rPr>
  </w:style>
  <w:style w:type="paragraph" w:customStyle="1" w:styleId="rmeek">
    <w:name w:val="rámeček"/>
    <w:basedOn w:val="Normln"/>
    <w:qFormat/>
    <w:rsid w:val="00B4108A"/>
    <w:pPr>
      <w:pBdr>
        <w:top w:val="single" w:sz="4" w:space="1" w:color="auto"/>
        <w:left w:val="single" w:sz="4" w:space="4" w:color="auto"/>
        <w:bottom w:val="single" w:sz="4" w:space="1" w:color="auto"/>
        <w:right w:val="single" w:sz="4" w:space="4" w:color="auto"/>
      </w:pBdr>
      <w:spacing w:after="0" w:line="240" w:lineRule="auto"/>
      <w:ind w:left="709"/>
      <w:jc w:val="both"/>
    </w:pPr>
    <w:rPr>
      <w:rFonts w:ascii="Times New Roman" w:hAnsi="Times New Roman"/>
      <w:sz w:val="24"/>
    </w:rPr>
  </w:style>
  <w:style w:type="character" w:customStyle="1" w:styleId="rozen">
    <w:name w:val="rozšířené"/>
    <w:uiPriority w:val="1"/>
    <w:qFormat/>
    <w:rsid w:val="00B4108A"/>
    <w:rPr>
      <w:b/>
      <w:bCs w:val="0"/>
      <w:spacing w:val="60"/>
    </w:rPr>
  </w:style>
  <w:style w:type="paragraph" w:styleId="Odstavecseseznamem">
    <w:name w:val="List Paragraph"/>
    <w:basedOn w:val="Normln"/>
    <w:uiPriority w:val="34"/>
    <w:qFormat/>
    <w:rsid w:val="006D769E"/>
    <w:pPr>
      <w:spacing w:line="256" w:lineRule="auto"/>
      <w:ind w:left="720"/>
      <w:contextualSpacing/>
    </w:pPr>
  </w:style>
  <w:style w:type="paragraph" w:styleId="Zhlav">
    <w:name w:val="header"/>
    <w:basedOn w:val="Normln"/>
    <w:link w:val="ZhlavChar"/>
    <w:uiPriority w:val="99"/>
    <w:unhideWhenUsed/>
    <w:rsid w:val="00563B5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63B5A"/>
    <w:rPr>
      <w:sz w:val="22"/>
      <w:szCs w:val="22"/>
      <w:lang w:eastAsia="en-US"/>
    </w:rPr>
  </w:style>
  <w:style w:type="paragraph" w:styleId="Zpat">
    <w:name w:val="footer"/>
    <w:basedOn w:val="Normln"/>
    <w:link w:val="ZpatChar"/>
    <w:uiPriority w:val="99"/>
    <w:unhideWhenUsed/>
    <w:rsid w:val="00563B5A"/>
    <w:pPr>
      <w:tabs>
        <w:tab w:val="center" w:pos="4536"/>
        <w:tab w:val="right" w:pos="9072"/>
      </w:tabs>
      <w:spacing w:after="0" w:line="240" w:lineRule="auto"/>
    </w:pPr>
  </w:style>
  <w:style w:type="character" w:customStyle="1" w:styleId="ZpatChar">
    <w:name w:val="Zápatí Char"/>
    <w:basedOn w:val="Standardnpsmoodstavce"/>
    <w:link w:val="Zpat"/>
    <w:uiPriority w:val="99"/>
    <w:rsid w:val="00563B5A"/>
    <w:rPr>
      <w:sz w:val="22"/>
      <w:szCs w:val="22"/>
      <w:lang w:eastAsia="en-US"/>
    </w:rPr>
  </w:style>
  <w:style w:type="character" w:styleId="Znakapoznpodarou">
    <w:name w:val="footnote reference"/>
    <w:uiPriority w:val="99"/>
    <w:rsid w:val="009E3B02"/>
    <w:rPr>
      <w:vertAlign w:val="superscript"/>
    </w:rPr>
  </w:style>
  <w:style w:type="paragraph" w:styleId="Textpoznpodarou">
    <w:name w:val="footnote text"/>
    <w:basedOn w:val="Normln"/>
    <w:link w:val="TextpoznpodarouChar"/>
    <w:uiPriority w:val="99"/>
    <w:rsid w:val="009E3B02"/>
    <w:pPr>
      <w:spacing w:after="0" w:line="240" w:lineRule="auto"/>
    </w:pPr>
    <w:rPr>
      <w:rFonts w:asciiTheme="majorHAnsi" w:eastAsia="Times New Roman" w:hAnsiTheme="majorHAnsi"/>
      <w:sz w:val="20"/>
      <w:szCs w:val="20"/>
      <w:lang w:eastAsia="cs-CZ"/>
    </w:rPr>
  </w:style>
  <w:style w:type="character" w:customStyle="1" w:styleId="TextpoznpodarouChar">
    <w:name w:val="Text pozn. pod čarou Char"/>
    <w:basedOn w:val="Standardnpsmoodstavce"/>
    <w:link w:val="Textpoznpodarou"/>
    <w:uiPriority w:val="99"/>
    <w:rsid w:val="009E3B02"/>
    <w:rPr>
      <w:rFonts w:asciiTheme="majorHAnsi" w:eastAsia="Times New Roman" w:hAnsiTheme="majorHAnsi"/>
    </w:rPr>
  </w:style>
  <w:style w:type="character" w:styleId="Hypertextovodkaz">
    <w:name w:val="Hyperlink"/>
    <w:uiPriority w:val="99"/>
    <w:rsid w:val="009E3B02"/>
    <w:rPr>
      <w:color w:val="0000FF"/>
      <w:u w:val="single"/>
    </w:rPr>
  </w:style>
  <w:style w:type="table" w:styleId="Mkatabulky">
    <w:name w:val="Table Grid"/>
    <w:basedOn w:val="Normlntabulka"/>
    <w:uiPriority w:val="39"/>
    <w:rsid w:val="009E3B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467434451">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7737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consilium.europa.eu/doc/document/ST-8354-2018-ADD-1/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V&#253;bor\VEZ\SEKRETARIAT\&#353;ablony\usnesen&#237;.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usnesení.dotx</Template>
  <TotalTime>67</TotalTime>
  <Pages>21</Pages>
  <Words>7975</Words>
  <Characters>47055</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Koubova Blanka</dc:creator>
  <cp:keywords/>
  <dc:description/>
  <cp:lastModifiedBy>Koubova Blanka</cp:lastModifiedBy>
  <cp:revision>35</cp:revision>
  <dcterms:created xsi:type="dcterms:W3CDTF">2015-09-22T08:40:00Z</dcterms:created>
  <dcterms:modified xsi:type="dcterms:W3CDTF">2018-06-28T13:43:00Z</dcterms:modified>
</cp:coreProperties>
</file>