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D85" w:rsidRDefault="00A92050" w:rsidP="00A92050">
      <w:pPr>
        <w:jc w:val="center"/>
        <w:rPr>
          <w:b/>
        </w:rPr>
      </w:pPr>
      <w:r>
        <w:rPr>
          <w:b/>
        </w:rPr>
        <w:t>Pozměňovací a jiné návrhy</w:t>
      </w:r>
    </w:p>
    <w:p w:rsidR="00A92050" w:rsidRDefault="00A92050" w:rsidP="00A92050">
      <w:pPr>
        <w:jc w:val="center"/>
        <w:rPr>
          <w:b/>
        </w:rPr>
      </w:pPr>
      <w:r>
        <w:rPr>
          <w:b/>
        </w:rPr>
        <w:t xml:space="preserve">k vládnímu návrhu zákona, </w:t>
      </w:r>
      <w:r w:rsidR="00022F25">
        <w:rPr>
          <w:b/>
        </w:rPr>
        <w:t>kterým se mění zákon č.190/2004 Sb., o dluhopisech, ve znění pozdějších předpisů, a další související zákony</w:t>
      </w:r>
    </w:p>
    <w:p w:rsidR="00A92050" w:rsidRDefault="00A92050" w:rsidP="00A92050">
      <w:pPr>
        <w:jc w:val="center"/>
        <w:rPr>
          <w:b/>
        </w:rPr>
      </w:pPr>
      <w:r>
        <w:rPr>
          <w:b/>
        </w:rPr>
        <w:t xml:space="preserve">(tisk </w:t>
      </w:r>
      <w:r w:rsidR="00B65891">
        <w:rPr>
          <w:b/>
        </w:rPr>
        <w:t>93</w:t>
      </w:r>
      <w:r>
        <w:rPr>
          <w:b/>
        </w:rPr>
        <w:t>)</w:t>
      </w: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w:t>
      </w:r>
      <w:r w:rsidR="00B65891">
        <w:t xml:space="preserve">rozpočtového </w:t>
      </w:r>
      <w:r>
        <w:t xml:space="preserve">výboru č. </w:t>
      </w:r>
      <w:r w:rsidR="00B65891">
        <w:t>68</w:t>
      </w:r>
      <w:r>
        <w:t xml:space="preserve"> ze </w:t>
      </w:r>
      <w:r w:rsidR="00B65891">
        <w:t>7.</w:t>
      </w:r>
      <w:r>
        <w:t xml:space="preserve"> schůze konané dne </w:t>
      </w:r>
      <w:r w:rsidR="00B65891">
        <w:t xml:space="preserve">25. dubna 2018 </w:t>
      </w:r>
      <w:r>
        <w:t xml:space="preserve">(tisk </w:t>
      </w:r>
      <w:r w:rsidR="00B65891">
        <w:t>93</w:t>
      </w:r>
      <w:r>
        <w:t>/</w:t>
      </w:r>
      <w:r w:rsidR="00B65891">
        <w:t>1</w:t>
      </w:r>
      <w:r>
        <w:t>)</w:t>
      </w:r>
    </w:p>
    <w:p w:rsidR="00A92050" w:rsidRDefault="00A92050" w:rsidP="00A92050"/>
    <w:p w:rsidR="00B65891" w:rsidRPr="00A75E3E" w:rsidRDefault="00B65891" w:rsidP="00B65891">
      <w:pPr>
        <w:pStyle w:val="Odsazentlatextu"/>
        <w:numPr>
          <w:ilvl w:val="0"/>
          <w:numId w:val="6"/>
        </w:numPr>
        <w:tabs>
          <w:tab w:val="clear" w:pos="709"/>
          <w:tab w:val="left" w:pos="284"/>
        </w:tabs>
        <w:ind w:left="0" w:firstLine="0"/>
        <w:rPr>
          <w:b/>
          <w:szCs w:val="24"/>
          <w:u w:val="single"/>
        </w:rPr>
      </w:pPr>
      <w:r w:rsidRPr="00A75E3E">
        <w:rPr>
          <w:b/>
          <w:szCs w:val="24"/>
          <w:u w:val="single"/>
        </w:rPr>
        <w:t>K části první, článku I</w:t>
      </w:r>
    </w:p>
    <w:p w:rsidR="00B65891" w:rsidRDefault="00B65891" w:rsidP="00B65891">
      <w:pPr>
        <w:pStyle w:val="Odsazentlatextu"/>
        <w:ind w:firstLine="0"/>
        <w:rPr>
          <w:b/>
          <w:szCs w:val="24"/>
          <w:u w:val="single"/>
        </w:rPr>
      </w:pPr>
    </w:p>
    <w:p w:rsidR="00B65891" w:rsidRDefault="00B65891" w:rsidP="00B65891">
      <w:pPr>
        <w:pStyle w:val="Odsazentlatextu"/>
        <w:tabs>
          <w:tab w:val="clear" w:pos="709"/>
          <w:tab w:val="left" w:pos="426"/>
        </w:tabs>
        <w:ind w:left="426" w:hanging="426"/>
        <w:jc w:val="both"/>
        <w:rPr>
          <w:szCs w:val="24"/>
        </w:rPr>
      </w:pPr>
      <w:r w:rsidRPr="00FA3CE9">
        <w:rPr>
          <w:b/>
          <w:szCs w:val="24"/>
        </w:rPr>
        <w:t>1.</w:t>
      </w:r>
      <w:r w:rsidRPr="00FA3CE9">
        <w:rPr>
          <w:szCs w:val="24"/>
        </w:rPr>
        <w:t xml:space="preserve"> V</w:t>
      </w:r>
      <w:r>
        <w:rPr>
          <w:szCs w:val="24"/>
        </w:rPr>
        <w:t xml:space="preserve"> novelizačním bodu 69 § </w:t>
      </w:r>
      <w:r w:rsidRPr="00FA3CE9">
        <w:rPr>
          <w:szCs w:val="24"/>
        </w:rPr>
        <w:t xml:space="preserve">28a odstavec 1 </w:t>
      </w:r>
      <w:r>
        <w:rPr>
          <w:szCs w:val="24"/>
        </w:rPr>
        <w:t>zní</w:t>
      </w:r>
      <w:r w:rsidRPr="00FA3CE9">
        <w:rPr>
          <w:szCs w:val="24"/>
        </w:rPr>
        <w:t>:</w:t>
      </w:r>
    </w:p>
    <w:p w:rsidR="00B65891" w:rsidRPr="00FA3CE9" w:rsidRDefault="00B65891" w:rsidP="00B65891">
      <w:pPr>
        <w:pStyle w:val="Odsazentlatextu"/>
        <w:tabs>
          <w:tab w:val="clear" w:pos="709"/>
        </w:tabs>
        <w:ind w:left="0" w:firstLine="709"/>
        <w:jc w:val="both"/>
        <w:rPr>
          <w:szCs w:val="24"/>
          <w:lang w:eastAsia="cs-CZ"/>
        </w:rPr>
      </w:pPr>
      <w:r w:rsidRPr="00FA3CE9">
        <w:rPr>
          <w:szCs w:val="24"/>
        </w:rPr>
        <w:t>„(1) Souhrnná hodnota všech krycích aktiv (§ 30a) v krycím portfoliu (§ 30c odst. 1) musí být rovna alespoň 102 % souhrnné hodnoty všech dluhů, k jejichž krytí toto krycí portfolio slouží (§ 31a odst. 1) a které s ním tvoří krytý blok, nestanoví-li emisní podmínky vyšší limit. Při plnění povinnosti podle věty první se krycí aktiva, s výjimkou derivátů, vyjadřují v jejich jmenovité hodnotě, a deriváty v krytém bloku se vyjadřují v jejich reálné hodnotě podle mezinárodních účetních standardů upravených nařízením Komise (ES) č. 1126/2008 ze dne 3. listopadu 2008, kterým se přijímají některé mezinárodní účetní standardy v souladu s nařízením Evropského parlamentu a Rady (ES) č. 1606/2002, v</w:t>
      </w:r>
      <w:r>
        <w:rPr>
          <w:szCs w:val="24"/>
        </w:rPr>
        <w:t> platném znění, přičemž</w:t>
      </w:r>
    </w:p>
    <w:p w:rsidR="00B65891" w:rsidRDefault="00B65891" w:rsidP="00B65891">
      <w:pPr>
        <w:keepLines/>
        <w:widowControl w:val="0"/>
        <w:tabs>
          <w:tab w:val="left" w:pos="284"/>
        </w:tabs>
        <w:ind w:left="284" w:hanging="284"/>
      </w:pPr>
      <w:r w:rsidRPr="00FA3CE9">
        <w:t>a)</w:t>
      </w:r>
      <w:r w:rsidRPr="00FA3CE9">
        <w:tab/>
        <w:t>pro emitenta krytých dluhopisů kladná reálná hodnota derivátů se v krycím portfoliu zohlední pouze do výše přijatého zajištění derivátů ve formě peněžních prostředků nebo věcí podle § 31 odst. 2 písm. b) nebo c), které je součástí krytého bloku, a</w:t>
      </w:r>
    </w:p>
    <w:p w:rsidR="00B65891" w:rsidRPr="00FA3CE9" w:rsidRDefault="00B65891" w:rsidP="00745604">
      <w:pPr>
        <w:keepLines/>
        <w:widowControl w:val="0"/>
        <w:tabs>
          <w:tab w:val="left" w:pos="284"/>
        </w:tabs>
        <w:spacing w:after="200"/>
        <w:ind w:left="284" w:hanging="284"/>
      </w:pPr>
      <w:r w:rsidRPr="00FA3CE9">
        <w:t>b)</w:t>
      </w:r>
      <w:r w:rsidRPr="00FA3CE9">
        <w:tab/>
        <w:t>pro emitenta krytých dluhopisů se k záporné reálné hodnotě derivátů v krycím portfoliu nepřihlíží a do krytého bloku tato záporná reálná hodnota derivátů vstupuje jako dluh, k jehož krytí toto krycí portfolio slouží [§ 31a odst. 4 písm. e)], ledaže emitent poskytnul druhé smluvní straně zajištění derivátů ve formě peněžních prostředků nebo věcí podle § 31 odst. 2 písm. b) nebo c), které je součástí krytého bloku.“.</w:t>
      </w:r>
    </w:p>
    <w:p w:rsidR="00B65891" w:rsidRPr="00FA3CE9" w:rsidRDefault="00B65891" w:rsidP="00745604">
      <w:pPr>
        <w:pStyle w:val="Odstavecseseznamem"/>
        <w:keepLines/>
        <w:widowControl w:val="0"/>
        <w:tabs>
          <w:tab w:val="left" w:pos="426"/>
        </w:tabs>
        <w:spacing w:line="240" w:lineRule="auto"/>
        <w:ind w:left="425" w:hanging="425"/>
        <w:jc w:val="both"/>
        <w:rPr>
          <w:rFonts w:ascii="Times New Roman" w:hAnsi="Times New Roman" w:cs="Times New Roman"/>
          <w:sz w:val="24"/>
          <w:szCs w:val="24"/>
        </w:rPr>
      </w:pPr>
      <w:r>
        <w:rPr>
          <w:rFonts w:ascii="Times New Roman" w:hAnsi="Times New Roman" w:cs="Times New Roman"/>
          <w:b/>
          <w:sz w:val="24"/>
          <w:szCs w:val="24"/>
        </w:rPr>
        <w:t>2.</w:t>
      </w:r>
      <w:r w:rsidRPr="00FA3CE9">
        <w:rPr>
          <w:rFonts w:ascii="Times New Roman" w:hAnsi="Times New Roman" w:cs="Times New Roman"/>
          <w:sz w:val="24"/>
          <w:szCs w:val="24"/>
        </w:rPr>
        <w:t xml:space="preserve"> </w:t>
      </w:r>
      <w:r>
        <w:rPr>
          <w:rFonts w:ascii="Times New Roman" w:hAnsi="Times New Roman" w:cs="Times New Roman"/>
          <w:sz w:val="24"/>
          <w:szCs w:val="24"/>
        </w:rPr>
        <w:tab/>
      </w:r>
      <w:r w:rsidRPr="00641669">
        <w:rPr>
          <w:rFonts w:ascii="Times New Roman" w:hAnsi="Times New Roman" w:cs="Times New Roman"/>
          <w:sz w:val="24"/>
          <w:szCs w:val="24"/>
        </w:rPr>
        <w:t>V</w:t>
      </w:r>
      <w:r>
        <w:rPr>
          <w:rFonts w:ascii="Times New Roman" w:hAnsi="Times New Roman" w:cs="Times New Roman"/>
          <w:sz w:val="24"/>
          <w:szCs w:val="24"/>
        </w:rPr>
        <w:t xml:space="preserve"> novelizačním </w:t>
      </w:r>
      <w:r w:rsidRPr="00641669">
        <w:rPr>
          <w:rFonts w:ascii="Times New Roman" w:hAnsi="Times New Roman" w:cs="Times New Roman"/>
          <w:sz w:val="24"/>
          <w:szCs w:val="24"/>
        </w:rPr>
        <w:t>bodu 69</w:t>
      </w:r>
      <w:r>
        <w:rPr>
          <w:rFonts w:ascii="Times New Roman" w:hAnsi="Times New Roman" w:cs="Times New Roman"/>
          <w:sz w:val="24"/>
          <w:szCs w:val="24"/>
        </w:rPr>
        <w:t xml:space="preserve"> v</w:t>
      </w:r>
      <w:r w:rsidRPr="00641669">
        <w:rPr>
          <w:rFonts w:ascii="Times New Roman" w:hAnsi="Times New Roman" w:cs="Times New Roman"/>
          <w:sz w:val="24"/>
          <w:szCs w:val="24"/>
        </w:rPr>
        <w:t xml:space="preserve"> §</w:t>
      </w:r>
      <w:r>
        <w:rPr>
          <w:szCs w:val="24"/>
        </w:rPr>
        <w:t xml:space="preserve"> </w:t>
      </w:r>
      <w:r>
        <w:rPr>
          <w:rFonts w:ascii="Times New Roman" w:hAnsi="Times New Roman" w:cs="Times New Roman"/>
          <w:sz w:val="24"/>
          <w:szCs w:val="24"/>
        </w:rPr>
        <w:t>28a odstavci 2</w:t>
      </w:r>
      <w:r w:rsidRPr="00FA3CE9">
        <w:rPr>
          <w:rFonts w:ascii="Times New Roman" w:hAnsi="Times New Roman" w:cs="Times New Roman"/>
          <w:sz w:val="24"/>
          <w:szCs w:val="24"/>
        </w:rPr>
        <w:t xml:space="preserve"> </w:t>
      </w:r>
      <w:r>
        <w:rPr>
          <w:rFonts w:ascii="Times New Roman" w:hAnsi="Times New Roman" w:cs="Times New Roman"/>
          <w:sz w:val="24"/>
          <w:szCs w:val="24"/>
        </w:rPr>
        <w:t>se slova „Celková jmenovitá“ nahrazují</w:t>
      </w:r>
      <w:r w:rsidRPr="00FA3CE9">
        <w:rPr>
          <w:rFonts w:ascii="Times New Roman" w:hAnsi="Times New Roman" w:cs="Times New Roman"/>
          <w:sz w:val="24"/>
          <w:szCs w:val="24"/>
        </w:rPr>
        <w:t xml:space="preserve"> slovem „Souhrnná“¨, sl</w:t>
      </w:r>
      <w:r>
        <w:rPr>
          <w:rFonts w:ascii="Times New Roman" w:hAnsi="Times New Roman" w:cs="Times New Roman"/>
          <w:sz w:val="24"/>
          <w:szCs w:val="24"/>
        </w:rPr>
        <w:t>ova „celkové jmenovité“ nahrazují</w:t>
      </w:r>
      <w:r w:rsidRPr="00FA3CE9">
        <w:rPr>
          <w:rFonts w:ascii="Times New Roman" w:hAnsi="Times New Roman" w:cs="Times New Roman"/>
          <w:sz w:val="24"/>
          <w:szCs w:val="24"/>
        </w:rPr>
        <w:t xml:space="preserve"> slovem „souhrnné“ a slova „z krytých dluhopisů v oběhu“</w:t>
      </w:r>
      <w:r>
        <w:rPr>
          <w:rFonts w:ascii="Times New Roman" w:hAnsi="Times New Roman" w:cs="Times New Roman"/>
          <w:sz w:val="24"/>
          <w:szCs w:val="24"/>
        </w:rPr>
        <w:t xml:space="preserve"> se zrušují</w:t>
      </w:r>
      <w:r w:rsidRPr="00FA3CE9">
        <w:rPr>
          <w:rFonts w:ascii="Times New Roman" w:hAnsi="Times New Roman" w:cs="Times New Roman"/>
          <w:sz w:val="24"/>
          <w:szCs w:val="24"/>
        </w:rPr>
        <w:t>.</w:t>
      </w:r>
    </w:p>
    <w:p w:rsidR="00B65891" w:rsidRPr="00FA3CE9" w:rsidRDefault="00B65891" w:rsidP="00B65891">
      <w:pPr>
        <w:pStyle w:val="Odstavecseseznamem"/>
        <w:keepLines/>
        <w:widowControl w:val="0"/>
        <w:tabs>
          <w:tab w:val="left" w:pos="426"/>
        </w:tabs>
        <w:ind w:left="426" w:hanging="426"/>
        <w:jc w:val="both"/>
        <w:rPr>
          <w:rFonts w:ascii="Times New Roman" w:hAnsi="Times New Roman" w:cs="Times New Roman"/>
          <w:sz w:val="24"/>
          <w:szCs w:val="24"/>
        </w:rPr>
      </w:pPr>
      <w:r>
        <w:rPr>
          <w:rFonts w:ascii="Times New Roman" w:hAnsi="Times New Roman" w:cs="Times New Roman"/>
          <w:b/>
          <w:sz w:val="24"/>
          <w:szCs w:val="24"/>
        </w:rPr>
        <w:t>3.</w:t>
      </w:r>
      <w:r w:rsidRPr="00FA3CE9">
        <w:rPr>
          <w:rFonts w:ascii="Times New Roman" w:hAnsi="Times New Roman" w:cs="Times New Roman"/>
          <w:sz w:val="24"/>
          <w:szCs w:val="24"/>
        </w:rPr>
        <w:t xml:space="preserve"> </w:t>
      </w:r>
      <w:r>
        <w:rPr>
          <w:rFonts w:ascii="Times New Roman" w:hAnsi="Times New Roman" w:cs="Times New Roman"/>
          <w:sz w:val="24"/>
          <w:szCs w:val="24"/>
        </w:rPr>
        <w:tab/>
      </w:r>
      <w:r w:rsidRPr="00FA3CE9">
        <w:rPr>
          <w:rFonts w:ascii="Times New Roman" w:hAnsi="Times New Roman" w:cs="Times New Roman"/>
          <w:sz w:val="24"/>
          <w:szCs w:val="24"/>
        </w:rPr>
        <w:t>V</w:t>
      </w:r>
      <w:r>
        <w:rPr>
          <w:rFonts w:ascii="Times New Roman" w:hAnsi="Times New Roman" w:cs="Times New Roman"/>
          <w:sz w:val="24"/>
          <w:szCs w:val="24"/>
        </w:rPr>
        <w:t xml:space="preserve"> novelizačním bodu 69 v </w:t>
      </w:r>
      <w:r w:rsidRPr="00FA3CE9">
        <w:rPr>
          <w:rFonts w:ascii="Times New Roman" w:hAnsi="Times New Roman" w:cs="Times New Roman"/>
          <w:sz w:val="24"/>
          <w:szCs w:val="24"/>
        </w:rPr>
        <w:t xml:space="preserve">§ 28a </w:t>
      </w:r>
      <w:r>
        <w:rPr>
          <w:rFonts w:ascii="Times New Roman" w:hAnsi="Times New Roman" w:cs="Times New Roman"/>
          <w:sz w:val="24"/>
          <w:szCs w:val="24"/>
        </w:rPr>
        <w:t>se doplňuje nový odstavec 4, který zní</w:t>
      </w:r>
      <w:r w:rsidRPr="00FA3CE9">
        <w:rPr>
          <w:rFonts w:ascii="Times New Roman" w:hAnsi="Times New Roman" w:cs="Times New Roman"/>
          <w:sz w:val="24"/>
          <w:szCs w:val="24"/>
        </w:rPr>
        <w:t>:</w:t>
      </w:r>
    </w:p>
    <w:p w:rsidR="00B65891" w:rsidRPr="00FA3CE9" w:rsidRDefault="00B65891" w:rsidP="00B65891">
      <w:pPr>
        <w:keepLines/>
        <w:ind w:firstLine="709"/>
      </w:pPr>
      <w:r w:rsidRPr="00FA3CE9">
        <w:t>„(4) Pro účely odstavců 1 a 2 se jmenovitá hodnota pohledávky z hypotečního úvěru v krycím portfoliu v případě selhání dlužníka podle čl. 178 nařízení Evropského parlamentu a Rady (EU) č. 575/2013, nebo při splnění přísnější podmínky podle emisních podmínek, sníží o 100 %.“.</w:t>
      </w:r>
    </w:p>
    <w:p w:rsidR="00B65891" w:rsidRPr="00FA3CE9" w:rsidRDefault="00B65891" w:rsidP="00B65891">
      <w:pPr>
        <w:keepLines/>
        <w:ind w:firstLine="709"/>
      </w:pPr>
    </w:p>
    <w:p w:rsidR="00B65891" w:rsidRPr="00FA3CE9" w:rsidRDefault="00B65891" w:rsidP="00B65891">
      <w:pPr>
        <w:keepLines/>
        <w:tabs>
          <w:tab w:val="left" w:pos="426"/>
        </w:tabs>
        <w:ind w:left="426" w:hanging="426"/>
      </w:pPr>
      <w:r>
        <w:rPr>
          <w:b/>
        </w:rPr>
        <w:t>4</w:t>
      </w:r>
      <w:r w:rsidRPr="00FA3CE9">
        <w:rPr>
          <w:b/>
        </w:rPr>
        <w:t>.</w:t>
      </w:r>
      <w:r w:rsidRPr="00FA3CE9">
        <w:t xml:space="preserve"> </w:t>
      </w:r>
      <w:r>
        <w:tab/>
      </w:r>
      <w:r w:rsidRPr="00FA3CE9">
        <w:t xml:space="preserve">V novelizačním bodu 77 v § 30b odst. 3 a 4 slova „celkové jmenovité“ </w:t>
      </w:r>
      <w:r>
        <w:t xml:space="preserve">se nahrazují </w:t>
      </w:r>
      <w:r w:rsidRPr="00FA3CE9">
        <w:t xml:space="preserve">slovem „souhrnné“, slova „celková jmenovitá“ </w:t>
      </w:r>
      <w:r>
        <w:t>se nahrazují</w:t>
      </w:r>
      <w:r w:rsidRPr="00FA3CE9">
        <w:t xml:space="preserve"> slovem „souhrnná“ a slova „z krytých dluhopisů“ </w:t>
      </w:r>
      <w:r>
        <w:t>se zrušují</w:t>
      </w:r>
      <w:r w:rsidRPr="00FA3CE9">
        <w:t>.</w:t>
      </w:r>
    </w:p>
    <w:p w:rsidR="00B65891" w:rsidRPr="00FA3CE9" w:rsidRDefault="00B65891" w:rsidP="00745604">
      <w:pPr>
        <w:pStyle w:val="Odstavecseseznamem"/>
        <w:keepNext/>
        <w:keepLines/>
        <w:widowControl w:val="0"/>
        <w:tabs>
          <w:tab w:val="left" w:pos="426"/>
        </w:tabs>
        <w:ind w:left="425" w:hanging="425"/>
        <w:jc w:val="both"/>
        <w:rPr>
          <w:rFonts w:ascii="Times New Roman" w:hAnsi="Times New Roman" w:cs="Times New Roman"/>
          <w:sz w:val="24"/>
          <w:szCs w:val="24"/>
        </w:rPr>
      </w:pPr>
      <w:r>
        <w:rPr>
          <w:rFonts w:ascii="Times New Roman" w:hAnsi="Times New Roman" w:cs="Times New Roman"/>
          <w:b/>
          <w:sz w:val="24"/>
          <w:szCs w:val="24"/>
        </w:rPr>
        <w:lastRenderedPageBreak/>
        <w:t>5</w:t>
      </w:r>
      <w:r w:rsidRPr="00FA3CE9">
        <w:rPr>
          <w:rFonts w:ascii="Times New Roman" w:hAnsi="Times New Roman" w:cs="Times New Roman"/>
          <w:b/>
          <w:sz w:val="24"/>
          <w:szCs w:val="24"/>
        </w:rPr>
        <w:t>.</w:t>
      </w:r>
      <w:r w:rsidRPr="00FA3CE9">
        <w:rPr>
          <w:rFonts w:ascii="Times New Roman" w:hAnsi="Times New Roman" w:cs="Times New Roman"/>
          <w:sz w:val="24"/>
          <w:szCs w:val="24"/>
        </w:rPr>
        <w:t xml:space="preserve"> </w:t>
      </w:r>
      <w:r>
        <w:rPr>
          <w:rFonts w:ascii="Times New Roman" w:hAnsi="Times New Roman" w:cs="Times New Roman"/>
          <w:sz w:val="24"/>
          <w:szCs w:val="24"/>
        </w:rPr>
        <w:tab/>
      </w:r>
      <w:r w:rsidRPr="00FA3CE9">
        <w:rPr>
          <w:rFonts w:ascii="Times New Roman" w:hAnsi="Times New Roman" w:cs="Times New Roman"/>
          <w:sz w:val="24"/>
          <w:szCs w:val="24"/>
        </w:rPr>
        <w:t xml:space="preserve">V novelizačním bodu 78 </w:t>
      </w:r>
      <w:r>
        <w:rPr>
          <w:rFonts w:ascii="Times New Roman" w:hAnsi="Times New Roman" w:cs="Times New Roman"/>
          <w:sz w:val="24"/>
          <w:szCs w:val="24"/>
        </w:rPr>
        <w:t>v § 31 na konci textu odstavce 1 se doplňují</w:t>
      </w:r>
      <w:r w:rsidRPr="00FA3CE9">
        <w:rPr>
          <w:rFonts w:ascii="Times New Roman" w:hAnsi="Times New Roman" w:cs="Times New Roman"/>
          <w:sz w:val="24"/>
          <w:szCs w:val="24"/>
        </w:rPr>
        <w:t xml:space="preserve"> slova „, přičemž derivát musí splňovat podmínky podle odstavce 2 písm. e) a odstavce 3“.</w:t>
      </w:r>
    </w:p>
    <w:p w:rsidR="00B65891" w:rsidRPr="00FA3CE9" w:rsidRDefault="00B65891" w:rsidP="00745604">
      <w:pPr>
        <w:pStyle w:val="Odstavecseseznamem"/>
        <w:keepNext/>
        <w:keepLines/>
        <w:widowControl w:val="0"/>
        <w:ind w:left="425" w:hanging="425"/>
        <w:jc w:val="both"/>
        <w:rPr>
          <w:rFonts w:ascii="Times New Roman" w:hAnsi="Times New Roman" w:cs="Times New Roman"/>
          <w:sz w:val="24"/>
          <w:szCs w:val="24"/>
        </w:rPr>
      </w:pPr>
      <w:r>
        <w:rPr>
          <w:rFonts w:ascii="Times New Roman" w:hAnsi="Times New Roman" w:cs="Times New Roman"/>
          <w:b/>
          <w:sz w:val="24"/>
          <w:szCs w:val="24"/>
        </w:rPr>
        <w:t>6.</w:t>
      </w:r>
      <w:r w:rsidRPr="00FA3CE9">
        <w:rPr>
          <w:rFonts w:ascii="Times New Roman" w:hAnsi="Times New Roman" w:cs="Times New Roman"/>
          <w:sz w:val="24"/>
          <w:szCs w:val="24"/>
        </w:rPr>
        <w:t xml:space="preserve"> </w:t>
      </w:r>
      <w:r>
        <w:rPr>
          <w:rFonts w:ascii="Times New Roman" w:hAnsi="Times New Roman" w:cs="Times New Roman"/>
          <w:sz w:val="24"/>
          <w:szCs w:val="24"/>
        </w:rPr>
        <w:tab/>
      </w:r>
      <w:r w:rsidRPr="00FA3CE9">
        <w:rPr>
          <w:rFonts w:ascii="Times New Roman" w:hAnsi="Times New Roman" w:cs="Times New Roman"/>
          <w:sz w:val="24"/>
          <w:szCs w:val="24"/>
        </w:rPr>
        <w:t>V</w:t>
      </w:r>
      <w:r>
        <w:rPr>
          <w:rFonts w:ascii="Times New Roman" w:hAnsi="Times New Roman" w:cs="Times New Roman"/>
          <w:sz w:val="24"/>
          <w:szCs w:val="24"/>
        </w:rPr>
        <w:t> novelizačním bodu 78 v</w:t>
      </w:r>
      <w:r w:rsidRPr="00FA3CE9">
        <w:rPr>
          <w:rFonts w:ascii="Times New Roman" w:hAnsi="Times New Roman" w:cs="Times New Roman"/>
          <w:sz w:val="24"/>
          <w:szCs w:val="24"/>
        </w:rPr>
        <w:t xml:space="preserve"> § 31 odst. 2 písm. e) </w:t>
      </w:r>
      <w:r>
        <w:rPr>
          <w:rFonts w:ascii="Times New Roman" w:hAnsi="Times New Roman" w:cs="Times New Roman"/>
          <w:sz w:val="24"/>
          <w:szCs w:val="24"/>
        </w:rPr>
        <w:t xml:space="preserve">se </w:t>
      </w:r>
      <w:r w:rsidRPr="00FA3CE9">
        <w:rPr>
          <w:rFonts w:ascii="Times New Roman" w:hAnsi="Times New Roman" w:cs="Times New Roman"/>
          <w:sz w:val="24"/>
          <w:szCs w:val="24"/>
        </w:rPr>
        <w:t xml:space="preserve">za slovo „neschopnost“ </w:t>
      </w:r>
      <w:r>
        <w:rPr>
          <w:rFonts w:ascii="Times New Roman" w:hAnsi="Times New Roman" w:cs="Times New Roman"/>
          <w:sz w:val="24"/>
          <w:szCs w:val="24"/>
        </w:rPr>
        <w:t xml:space="preserve">vkládají </w:t>
      </w:r>
      <w:r w:rsidRPr="00FA3CE9">
        <w:rPr>
          <w:rFonts w:ascii="Times New Roman" w:hAnsi="Times New Roman" w:cs="Times New Roman"/>
          <w:sz w:val="24"/>
          <w:szCs w:val="24"/>
        </w:rPr>
        <w:t>slova „nebo řešení krize“.</w:t>
      </w:r>
    </w:p>
    <w:p w:rsidR="00B65891" w:rsidRPr="00FA3CE9" w:rsidRDefault="00B65891" w:rsidP="00B65891">
      <w:pPr>
        <w:pStyle w:val="Odstavecseseznamem"/>
        <w:keepNext/>
        <w:keepLines/>
        <w:widowControl w:val="0"/>
        <w:ind w:left="426" w:right="-1" w:hanging="426"/>
        <w:jc w:val="both"/>
        <w:rPr>
          <w:rFonts w:ascii="Times New Roman" w:hAnsi="Times New Roman" w:cs="Times New Roman"/>
          <w:sz w:val="24"/>
          <w:szCs w:val="24"/>
        </w:rPr>
      </w:pPr>
      <w:r>
        <w:rPr>
          <w:rFonts w:ascii="Times New Roman" w:hAnsi="Times New Roman" w:cs="Times New Roman"/>
          <w:b/>
          <w:sz w:val="24"/>
          <w:szCs w:val="24"/>
        </w:rPr>
        <w:t>7.</w:t>
      </w:r>
      <w:r w:rsidRPr="00FA3CE9">
        <w:rPr>
          <w:rFonts w:ascii="Times New Roman" w:hAnsi="Times New Roman" w:cs="Times New Roman"/>
          <w:sz w:val="24"/>
          <w:szCs w:val="24"/>
        </w:rPr>
        <w:t xml:space="preserve"> </w:t>
      </w:r>
      <w:r>
        <w:rPr>
          <w:rFonts w:ascii="Times New Roman" w:hAnsi="Times New Roman" w:cs="Times New Roman"/>
          <w:sz w:val="24"/>
          <w:szCs w:val="24"/>
        </w:rPr>
        <w:tab/>
      </w:r>
      <w:r w:rsidRPr="00FA3CE9">
        <w:rPr>
          <w:rFonts w:ascii="Times New Roman" w:hAnsi="Times New Roman" w:cs="Times New Roman"/>
          <w:sz w:val="24"/>
          <w:szCs w:val="24"/>
        </w:rPr>
        <w:t>V</w:t>
      </w:r>
      <w:r>
        <w:rPr>
          <w:rFonts w:ascii="Times New Roman" w:hAnsi="Times New Roman" w:cs="Times New Roman"/>
          <w:sz w:val="24"/>
          <w:szCs w:val="24"/>
        </w:rPr>
        <w:t> novelizačním bodu 78 v</w:t>
      </w:r>
      <w:r w:rsidRPr="00FA3CE9">
        <w:rPr>
          <w:rFonts w:ascii="Times New Roman" w:hAnsi="Times New Roman" w:cs="Times New Roman"/>
          <w:sz w:val="24"/>
          <w:szCs w:val="24"/>
        </w:rPr>
        <w:t xml:space="preserve"> § 31 odst. 4 písm. c) </w:t>
      </w:r>
      <w:r>
        <w:rPr>
          <w:rFonts w:ascii="Times New Roman" w:hAnsi="Times New Roman" w:cs="Times New Roman"/>
          <w:sz w:val="24"/>
          <w:szCs w:val="24"/>
        </w:rPr>
        <w:t xml:space="preserve">se </w:t>
      </w:r>
      <w:r w:rsidRPr="00FA3CE9">
        <w:rPr>
          <w:rFonts w:ascii="Times New Roman" w:hAnsi="Times New Roman" w:cs="Times New Roman"/>
          <w:sz w:val="24"/>
          <w:szCs w:val="24"/>
        </w:rPr>
        <w:t>slova „emit</w:t>
      </w:r>
      <w:r>
        <w:rPr>
          <w:rFonts w:ascii="Times New Roman" w:hAnsi="Times New Roman" w:cs="Times New Roman"/>
          <w:sz w:val="24"/>
          <w:szCs w:val="24"/>
        </w:rPr>
        <w:t>entovi krytých dluhopisů“ zrušují</w:t>
      </w:r>
      <w:r w:rsidRPr="00FA3CE9">
        <w:rPr>
          <w:rFonts w:ascii="Times New Roman" w:hAnsi="Times New Roman" w:cs="Times New Roman"/>
          <w:sz w:val="24"/>
          <w:szCs w:val="24"/>
        </w:rPr>
        <w:t>.</w:t>
      </w:r>
    </w:p>
    <w:p w:rsidR="00B65891" w:rsidRPr="00FA3CE9" w:rsidRDefault="00B65891" w:rsidP="00B65891">
      <w:pPr>
        <w:pStyle w:val="Odstavecseseznamem"/>
        <w:keepLines/>
        <w:widowControl w:val="0"/>
        <w:spacing w:line="240" w:lineRule="auto"/>
        <w:ind w:left="426" w:right="-1" w:hanging="426"/>
        <w:jc w:val="both"/>
        <w:rPr>
          <w:rFonts w:ascii="Times New Roman" w:hAnsi="Times New Roman" w:cs="Times New Roman"/>
          <w:sz w:val="24"/>
          <w:szCs w:val="24"/>
        </w:rPr>
      </w:pPr>
      <w:r>
        <w:rPr>
          <w:rFonts w:ascii="Times New Roman" w:hAnsi="Times New Roman" w:cs="Times New Roman"/>
          <w:b/>
          <w:sz w:val="24"/>
          <w:szCs w:val="24"/>
        </w:rPr>
        <w:t>8</w:t>
      </w:r>
      <w:r w:rsidRPr="00FA3CE9">
        <w:rPr>
          <w:rFonts w:ascii="Times New Roman" w:hAnsi="Times New Roman" w:cs="Times New Roman"/>
          <w:b/>
          <w:sz w:val="24"/>
          <w:szCs w:val="24"/>
        </w:rPr>
        <w:t>.</w:t>
      </w:r>
      <w:r w:rsidRPr="00FA3CE9">
        <w:rPr>
          <w:rFonts w:ascii="Times New Roman" w:hAnsi="Times New Roman" w:cs="Times New Roman"/>
          <w:sz w:val="24"/>
          <w:szCs w:val="24"/>
        </w:rPr>
        <w:t xml:space="preserve"> </w:t>
      </w:r>
      <w:r>
        <w:rPr>
          <w:rFonts w:ascii="Times New Roman" w:hAnsi="Times New Roman" w:cs="Times New Roman"/>
          <w:sz w:val="24"/>
          <w:szCs w:val="24"/>
        </w:rPr>
        <w:tab/>
      </w:r>
      <w:r w:rsidRPr="00FA3CE9">
        <w:rPr>
          <w:rFonts w:ascii="Times New Roman" w:hAnsi="Times New Roman" w:cs="Times New Roman"/>
          <w:sz w:val="24"/>
          <w:szCs w:val="24"/>
        </w:rPr>
        <w:t xml:space="preserve">V novelizačním bodu 79 v § 31a odst. 2 větě první </w:t>
      </w:r>
      <w:r>
        <w:rPr>
          <w:rFonts w:ascii="Times New Roman" w:hAnsi="Times New Roman" w:cs="Times New Roman"/>
          <w:sz w:val="24"/>
          <w:szCs w:val="24"/>
        </w:rPr>
        <w:t>se za slovo „vyplatit“ vkládá</w:t>
      </w:r>
      <w:r w:rsidRPr="00FA3CE9">
        <w:rPr>
          <w:rFonts w:ascii="Times New Roman" w:hAnsi="Times New Roman" w:cs="Times New Roman"/>
          <w:sz w:val="24"/>
          <w:szCs w:val="24"/>
        </w:rPr>
        <w:t xml:space="preserve"> slovo „naběhlý“ a za větu druhou </w:t>
      </w:r>
      <w:r>
        <w:rPr>
          <w:rFonts w:ascii="Times New Roman" w:hAnsi="Times New Roman" w:cs="Times New Roman"/>
          <w:sz w:val="24"/>
          <w:szCs w:val="24"/>
        </w:rPr>
        <w:t>se vkládá věta</w:t>
      </w:r>
      <w:r w:rsidRPr="00FA3CE9">
        <w:rPr>
          <w:rFonts w:ascii="Times New Roman" w:hAnsi="Times New Roman" w:cs="Times New Roman"/>
          <w:sz w:val="24"/>
          <w:szCs w:val="24"/>
        </w:rPr>
        <w:t xml:space="preserve"> třetí v tomto znění</w:t>
      </w:r>
      <w:r>
        <w:rPr>
          <w:rFonts w:ascii="Times New Roman" w:hAnsi="Times New Roman" w:cs="Times New Roman"/>
          <w:sz w:val="24"/>
          <w:szCs w:val="24"/>
        </w:rPr>
        <w:t>:</w:t>
      </w:r>
      <w:r w:rsidRPr="00FA3CE9">
        <w:rPr>
          <w:rFonts w:ascii="Times New Roman" w:hAnsi="Times New Roman" w:cs="Times New Roman"/>
          <w:sz w:val="24"/>
          <w:szCs w:val="24"/>
        </w:rPr>
        <w:t xml:space="preserve"> „Za kryté dluhopisy v oběhu se považují kryté dluhopisy ve vlastnictví osob odlišných od emitenta nebo kryté dluhopisy ve vlastnictví emitenta, které byly emitentem poskytnuty jiné osobě jako zajištění.“.</w:t>
      </w:r>
    </w:p>
    <w:p w:rsidR="00B65891" w:rsidRPr="00FA3CE9" w:rsidRDefault="00B65891" w:rsidP="00B65891">
      <w:pPr>
        <w:pStyle w:val="Odstavecseseznamem"/>
        <w:keepLines/>
        <w:widowControl w:val="0"/>
        <w:tabs>
          <w:tab w:val="left" w:pos="426"/>
        </w:tabs>
        <w:ind w:left="426" w:right="-1" w:hanging="426"/>
        <w:jc w:val="both"/>
        <w:rPr>
          <w:rFonts w:ascii="Times New Roman" w:hAnsi="Times New Roman" w:cs="Times New Roman"/>
          <w:sz w:val="24"/>
          <w:szCs w:val="24"/>
        </w:rPr>
      </w:pPr>
      <w:r>
        <w:rPr>
          <w:rFonts w:ascii="Times New Roman" w:hAnsi="Times New Roman" w:cs="Times New Roman"/>
          <w:b/>
          <w:sz w:val="24"/>
          <w:szCs w:val="24"/>
        </w:rPr>
        <w:t>9</w:t>
      </w:r>
      <w:r w:rsidRPr="00FA3CE9">
        <w:rPr>
          <w:rFonts w:ascii="Times New Roman" w:hAnsi="Times New Roman" w:cs="Times New Roman"/>
          <w:b/>
          <w:sz w:val="24"/>
          <w:szCs w:val="24"/>
        </w:rPr>
        <w:t>.</w:t>
      </w:r>
      <w:r w:rsidRPr="00FA3CE9">
        <w:rPr>
          <w:rFonts w:ascii="Times New Roman" w:hAnsi="Times New Roman" w:cs="Times New Roman"/>
          <w:sz w:val="24"/>
          <w:szCs w:val="24"/>
        </w:rPr>
        <w:t xml:space="preserve"> </w:t>
      </w:r>
      <w:r>
        <w:rPr>
          <w:rFonts w:ascii="Times New Roman" w:hAnsi="Times New Roman" w:cs="Times New Roman"/>
          <w:sz w:val="24"/>
          <w:szCs w:val="24"/>
        </w:rPr>
        <w:tab/>
      </w:r>
      <w:r w:rsidRPr="00FA3CE9">
        <w:rPr>
          <w:rFonts w:ascii="Times New Roman" w:hAnsi="Times New Roman" w:cs="Times New Roman"/>
          <w:sz w:val="24"/>
          <w:szCs w:val="24"/>
        </w:rPr>
        <w:t xml:space="preserve">V novelizačním bodu 80 v § 32 odst. 1 </w:t>
      </w:r>
      <w:r>
        <w:rPr>
          <w:rFonts w:ascii="Times New Roman" w:hAnsi="Times New Roman" w:cs="Times New Roman"/>
          <w:sz w:val="24"/>
          <w:szCs w:val="24"/>
        </w:rPr>
        <w:t>se slovo</w:t>
      </w:r>
      <w:r w:rsidRPr="00FA3CE9">
        <w:rPr>
          <w:rFonts w:ascii="Times New Roman" w:hAnsi="Times New Roman" w:cs="Times New Roman"/>
          <w:sz w:val="24"/>
          <w:szCs w:val="24"/>
        </w:rPr>
        <w:t xml:space="preserve"> „28b“ </w:t>
      </w:r>
      <w:r>
        <w:rPr>
          <w:rFonts w:ascii="Times New Roman" w:hAnsi="Times New Roman" w:cs="Times New Roman"/>
          <w:sz w:val="24"/>
          <w:szCs w:val="24"/>
        </w:rPr>
        <w:t>nahrazuje slovem</w:t>
      </w:r>
      <w:r w:rsidRPr="00FA3CE9">
        <w:rPr>
          <w:rFonts w:ascii="Times New Roman" w:hAnsi="Times New Roman" w:cs="Times New Roman"/>
          <w:sz w:val="24"/>
          <w:szCs w:val="24"/>
        </w:rPr>
        <w:t xml:space="preserve"> „28a“.</w:t>
      </w:r>
    </w:p>
    <w:p w:rsidR="00B65891" w:rsidRPr="00FA3CE9" w:rsidRDefault="00B65891" w:rsidP="00B65891">
      <w:pPr>
        <w:pStyle w:val="Odstavecseseznamem"/>
        <w:keepLines/>
        <w:widowControl w:val="0"/>
        <w:ind w:left="426" w:right="-1" w:hanging="426"/>
        <w:jc w:val="both"/>
        <w:rPr>
          <w:rFonts w:ascii="Times New Roman" w:hAnsi="Times New Roman" w:cs="Times New Roman"/>
          <w:sz w:val="24"/>
          <w:szCs w:val="24"/>
        </w:rPr>
      </w:pPr>
      <w:r>
        <w:rPr>
          <w:rFonts w:ascii="Times New Roman" w:hAnsi="Times New Roman" w:cs="Times New Roman"/>
          <w:b/>
          <w:sz w:val="24"/>
          <w:szCs w:val="24"/>
        </w:rPr>
        <w:t>10</w:t>
      </w:r>
      <w:r w:rsidRPr="00FA3CE9">
        <w:rPr>
          <w:rFonts w:ascii="Times New Roman" w:hAnsi="Times New Roman" w:cs="Times New Roman"/>
          <w:b/>
          <w:sz w:val="24"/>
          <w:szCs w:val="24"/>
        </w:rPr>
        <w:t>.</w:t>
      </w:r>
      <w:r w:rsidRPr="00FA3CE9">
        <w:rPr>
          <w:rFonts w:ascii="Times New Roman" w:hAnsi="Times New Roman" w:cs="Times New Roman"/>
          <w:sz w:val="24"/>
          <w:szCs w:val="24"/>
        </w:rPr>
        <w:t xml:space="preserve"> </w:t>
      </w:r>
      <w:r>
        <w:rPr>
          <w:rFonts w:ascii="Times New Roman" w:hAnsi="Times New Roman" w:cs="Times New Roman"/>
          <w:sz w:val="24"/>
          <w:szCs w:val="24"/>
        </w:rPr>
        <w:tab/>
      </w:r>
      <w:r w:rsidRPr="00FA3CE9">
        <w:rPr>
          <w:rFonts w:ascii="Times New Roman" w:hAnsi="Times New Roman" w:cs="Times New Roman"/>
          <w:sz w:val="24"/>
          <w:szCs w:val="24"/>
        </w:rPr>
        <w:t xml:space="preserve">V novelizačním bodu 81 </w:t>
      </w:r>
      <w:r>
        <w:rPr>
          <w:rFonts w:ascii="Times New Roman" w:hAnsi="Times New Roman" w:cs="Times New Roman"/>
          <w:sz w:val="24"/>
          <w:szCs w:val="24"/>
        </w:rPr>
        <w:t>v</w:t>
      </w:r>
      <w:r w:rsidRPr="00FA3CE9">
        <w:rPr>
          <w:rFonts w:ascii="Times New Roman" w:hAnsi="Times New Roman" w:cs="Times New Roman"/>
          <w:sz w:val="24"/>
          <w:szCs w:val="24"/>
        </w:rPr>
        <w:t xml:space="preserve"> § 32a odst. 1 písmeno d) </w:t>
      </w:r>
      <w:r>
        <w:rPr>
          <w:rFonts w:ascii="Times New Roman" w:hAnsi="Times New Roman" w:cs="Times New Roman"/>
          <w:sz w:val="24"/>
          <w:szCs w:val="24"/>
        </w:rPr>
        <w:t>zní</w:t>
      </w:r>
      <w:r w:rsidRPr="00FA3CE9">
        <w:rPr>
          <w:rFonts w:ascii="Times New Roman" w:hAnsi="Times New Roman" w:cs="Times New Roman"/>
          <w:sz w:val="24"/>
          <w:szCs w:val="24"/>
        </w:rPr>
        <w:t>:</w:t>
      </w:r>
    </w:p>
    <w:p w:rsidR="00B65891" w:rsidRPr="00FA3CE9" w:rsidRDefault="00B65891" w:rsidP="00DF4131">
      <w:pPr>
        <w:keepLines/>
        <w:spacing w:after="240"/>
        <w:ind w:left="284" w:firstLine="142"/>
      </w:pPr>
      <w:r w:rsidRPr="00FA3CE9">
        <w:t>„d) emitentovi byla Českou národní bankou odňata bankovní licence, nebo“.</w:t>
      </w:r>
    </w:p>
    <w:p w:rsidR="00B65891" w:rsidRPr="00FA3CE9" w:rsidRDefault="00B65891" w:rsidP="00DF4131">
      <w:pPr>
        <w:keepLines/>
        <w:spacing w:after="240"/>
        <w:ind w:left="425" w:hanging="425"/>
        <w:rPr>
          <w:rFonts w:eastAsia="Calibri"/>
          <w:lang w:eastAsia="en-US"/>
        </w:rPr>
      </w:pPr>
      <w:r>
        <w:rPr>
          <w:b/>
        </w:rPr>
        <w:t>11.</w:t>
      </w:r>
      <w:r>
        <w:tab/>
      </w:r>
      <w:r w:rsidRPr="00FA3CE9">
        <w:rPr>
          <w:rFonts w:eastAsia="Calibri"/>
          <w:lang w:eastAsia="en-US"/>
        </w:rPr>
        <w:t>V</w:t>
      </w:r>
      <w:r>
        <w:rPr>
          <w:rFonts w:eastAsia="Calibri"/>
          <w:lang w:eastAsia="en-US"/>
        </w:rPr>
        <w:t xml:space="preserve"> novelizačním bodu 81 v </w:t>
      </w:r>
      <w:r w:rsidRPr="00FA3CE9">
        <w:rPr>
          <w:rFonts w:eastAsia="Calibri"/>
          <w:lang w:eastAsia="en-US"/>
        </w:rPr>
        <w:t xml:space="preserve">§ 32a odst. 1 písmeno e) </w:t>
      </w:r>
      <w:r>
        <w:rPr>
          <w:rFonts w:eastAsia="Calibri"/>
          <w:lang w:eastAsia="en-US"/>
        </w:rPr>
        <w:t>se zrušuje a dosavadní písmeno f) se označuje</w:t>
      </w:r>
      <w:r w:rsidRPr="00FA3CE9">
        <w:rPr>
          <w:rFonts w:eastAsia="Calibri"/>
          <w:lang w:eastAsia="en-US"/>
        </w:rPr>
        <w:t xml:space="preserve"> jako e).</w:t>
      </w:r>
    </w:p>
    <w:p w:rsidR="00B65891" w:rsidRPr="00FA3CE9" w:rsidRDefault="00B65891" w:rsidP="00DF4131">
      <w:pPr>
        <w:pStyle w:val="Odstavecseseznamem"/>
        <w:keepLines/>
        <w:widowControl w:val="0"/>
        <w:ind w:left="425" w:hanging="425"/>
        <w:jc w:val="both"/>
        <w:rPr>
          <w:rFonts w:ascii="Times New Roman" w:hAnsi="Times New Roman" w:cs="Times New Roman"/>
          <w:sz w:val="24"/>
          <w:szCs w:val="24"/>
          <w:lang w:eastAsia="en-US"/>
        </w:rPr>
      </w:pPr>
      <w:r>
        <w:rPr>
          <w:rFonts w:ascii="Times New Roman" w:hAnsi="Times New Roman" w:cs="Times New Roman"/>
          <w:b/>
          <w:sz w:val="24"/>
          <w:szCs w:val="24"/>
        </w:rPr>
        <w:t>12.</w:t>
      </w:r>
      <w:r w:rsidRPr="00FA3CE9">
        <w:rPr>
          <w:rFonts w:ascii="Times New Roman" w:hAnsi="Times New Roman" w:cs="Times New Roman"/>
          <w:sz w:val="24"/>
          <w:szCs w:val="24"/>
        </w:rPr>
        <w:t xml:space="preserve"> </w:t>
      </w:r>
      <w:r>
        <w:rPr>
          <w:rFonts w:ascii="Times New Roman" w:hAnsi="Times New Roman" w:cs="Times New Roman"/>
          <w:sz w:val="24"/>
          <w:szCs w:val="24"/>
        </w:rPr>
        <w:tab/>
      </w:r>
      <w:r w:rsidRPr="00FA3CE9">
        <w:rPr>
          <w:rFonts w:ascii="Times New Roman" w:hAnsi="Times New Roman" w:cs="Times New Roman"/>
          <w:sz w:val="24"/>
          <w:szCs w:val="24"/>
        </w:rPr>
        <w:t>V</w:t>
      </w:r>
      <w:r>
        <w:rPr>
          <w:rFonts w:ascii="Times New Roman" w:hAnsi="Times New Roman" w:cs="Times New Roman"/>
          <w:sz w:val="24"/>
          <w:szCs w:val="24"/>
        </w:rPr>
        <w:t xml:space="preserve"> novelizačním bodu 81 v </w:t>
      </w:r>
      <w:r w:rsidRPr="00FA3CE9">
        <w:rPr>
          <w:rFonts w:ascii="Times New Roman" w:hAnsi="Times New Roman" w:cs="Times New Roman"/>
          <w:sz w:val="24"/>
          <w:szCs w:val="24"/>
        </w:rPr>
        <w:t xml:space="preserve">§ 32b odst. 8, </w:t>
      </w:r>
      <w:r>
        <w:rPr>
          <w:rFonts w:ascii="Times New Roman" w:hAnsi="Times New Roman" w:cs="Times New Roman"/>
          <w:sz w:val="24"/>
          <w:szCs w:val="24"/>
        </w:rPr>
        <w:t xml:space="preserve">v </w:t>
      </w:r>
      <w:r w:rsidRPr="00FA3CE9">
        <w:rPr>
          <w:rFonts w:ascii="Times New Roman" w:hAnsi="Times New Roman" w:cs="Times New Roman"/>
          <w:sz w:val="24"/>
          <w:szCs w:val="24"/>
        </w:rPr>
        <w:t>§ 32d odst. 4 a</w:t>
      </w:r>
      <w:r>
        <w:rPr>
          <w:rFonts w:ascii="Times New Roman" w:hAnsi="Times New Roman" w:cs="Times New Roman"/>
          <w:sz w:val="24"/>
          <w:szCs w:val="24"/>
        </w:rPr>
        <w:t xml:space="preserve"> v</w:t>
      </w:r>
      <w:r w:rsidRPr="00FA3CE9">
        <w:rPr>
          <w:rFonts w:ascii="Times New Roman" w:hAnsi="Times New Roman" w:cs="Times New Roman"/>
          <w:sz w:val="24"/>
          <w:szCs w:val="24"/>
        </w:rPr>
        <w:t xml:space="preserve"> § 32e odst. 1 </w:t>
      </w:r>
      <w:r>
        <w:rPr>
          <w:rFonts w:ascii="Times New Roman" w:hAnsi="Times New Roman" w:cs="Times New Roman"/>
          <w:sz w:val="24"/>
          <w:szCs w:val="24"/>
        </w:rPr>
        <w:t xml:space="preserve">se </w:t>
      </w:r>
      <w:r w:rsidRPr="00FA3CE9">
        <w:rPr>
          <w:rFonts w:ascii="Times New Roman" w:hAnsi="Times New Roman" w:cs="Times New Roman"/>
          <w:sz w:val="24"/>
          <w:szCs w:val="24"/>
        </w:rPr>
        <w:t>sl</w:t>
      </w:r>
      <w:r>
        <w:rPr>
          <w:rFonts w:ascii="Times New Roman" w:hAnsi="Times New Roman" w:cs="Times New Roman"/>
          <w:sz w:val="24"/>
          <w:szCs w:val="24"/>
        </w:rPr>
        <w:t>ova „celková jmenovitá“ nahrazují</w:t>
      </w:r>
      <w:r w:rsidRPr="00FA3CE9">
        <w:rPr>
          <w:rFonts w:ascii="Times New Roman" w:hAnsi="Times New Roman" w:cs="Times New Roman"/>
          <w:sz w:val="24"/>
          <w:szCs w:val="24"/>
        </w:rPr>
        <w:t xml:space="preserve"> slovem „souhrnná“.</w:t>
      </w:r>
    </w:p>
    <w:p w:rsidR="00B65891" w:rsidRPr="00FA3CE9" w:rsidRDefault="00B65891" w:rsidP="00B65891">
      <w:pPr>
        <w:pStyle w:val="Odstavecseseznamem"/>
        <w:keepLines/>
        <w:widowControl w:val="0"/>
        <w:ind w:left="426" w:right="-1" w:hanging="426"/>
        <w:jc w:val="both"/>
        <w:rPr>
          <w:rFonts w:ascii="Times New Roman" w:hAnsi="Times New Roman" w:cs="Times New Roman"/>
          <w:sz w:val="24"/>
          <w:szCs w:val="24"/>
        </w:rPr>
      </w:pPr>
      <w:r>
        <w:rPr>
          <w:rFonts w:ascii="Times New Roman" w:hAnsi="Times New Roman" w:cs="Times New Roman"/>
          <w:b/>
          <w:sz w:val="24"/>
          <w:szCs w:val="24"/>
        </w:rPr>
        <w:t>13.</w:t>
      </w:r>
      <w:r w:rsidRPr="00FA3CE9">
        <w:rPr>
          <w:rFonts w:ascii="Times New Roman" w:hAnsi="Times New Roman" w:cs="Times New Roman"/>
          <w:sz w:val="24"/>
          <w:szCs w:val="24"/>
        </w:rPr>
        <w:t xml:space="preserve"> </w:t>
      </w:r>
      <w:r>
        <w:rPr>
          <w:rFonts w:ascii="Times New Roman" w:hAnsi="Times New Roman" w:cs="Times New Roman"/>
          <w:sz w:val="24"/>
          <w:szCs w:val="24"/>
        </w:rPr>
        <w:tab/>
      </w:r>
      <w:r w:rsidRPr="00FA3CE9">
        <w:rPr>
          <w:rFonts w:ascii="Times New Roman" w:hAnsi="Times New Roman" w:cs="Times New Roman"/>
          <w:sz w:val="24"/>
          <w:szCs w:val="24"/>
        </w:rPr>
        <w:t>V</w:t>
      </w:r>
      <w:r>
        <w:rPr>
          <w:rFonts w:ascii="Times New Roman" w:hAnsi="Times New Roman" w:cs="Times New Roman"/>
          <w:sz w:val="24"/>
          <w:szCs w:val="24"/>
        </w:rPr>
        <w:t xml:space="preserve"> novelizačním bodu 81 v </w:t>
      </w:r>
      <w:r w:rsidRPr="00FA3CE9">
        <w:rPr>
          <w:rFonts w:ascii="Times New Roman" w:hAnsi="Times New Roman" w:cs="Times New Roman"/>
          <w:sz w:val="24"/>
          <w:szCs w:val="24"/>
        </w:rPr>
        <w:t xml:space="preserve">§ 32b odst. 8 </w:t>
      </w:r>
      <w:r>
        <w:rPr>
          <w:rFonts w:ascii="Times New Roman" w:hAnsi="Times New Roman" w:cs="Times New Roman"/>
          <w:sz w:val="24"/>
          <w:szCs w:val="24"/>
        </w:rPr>
        <w:t xml:space="preserve">se </w:t>
      </w:r>
      <w:r w:rsidRPr="00FA3CE9">
        <w:rPr>
          <w:rFonts w:ascii="Times New Roman" w:hAnsi="Times New Roman" w:cs="Times New Roman"/>
          <w:sz w:val="24"/>
          <w:szCs w:val="24"/>
        </w:rPr>
        <w:t>sl</w:t>
      </w:r>
      <w:r>
        <w:rPr>
          <w:rFonts w:ascii="Times New Roman" w:hAnsi="Times New Roman" w:cs="Times New Roman"/>
          <w:sz w:val="24"/>
          <w:szCs w:val="24"/>
        </w:rPr>
        <w:t>ova „z krytých dluhopisů“ zrušují</w:t>
      </w:r>
      <w:r w:rsidRPr="00FA3CE9">
        <w:rPr>
          <w:rFonts w:ascii="Times New Roman" w:hAnsi="Times New Roman" w:cs="Times New Roman"/>
          <w:sz w:val="24"/>
          <w:szCs w:val="24"/>
        </w:rPr>
        <w:t>.</w:t>
      </w:r>
    </w:p>
    <w:p w:rsidR="00B65891" w:rsidRDefault="00B65891" w:rsidP="00B65891">
      <w:pPr>
        <w:pStyle w:val="Odstavecseseznamem"/>
        <w:keepLines/>
        <w:widowControl w:val="0"/>
        <w:ind w:left="426" w:right="-1" w:hanging="426"/>
        <w:jc w:val="both"/>
        <w:rPr>
          <w:rFonts w:ascii="Times New Roman" w:hAnsi="Times New Roman" w:cs="Times New Roman"/>
          <w:sz w:val="24"/>
          <w:szCs w:val="24"/>
        </w:rPr>
      </w:pPr>
      <w:r>
        <w:rPr>
          <w:rFonts w:ascii="Times New Roman" w:hAnsi="Times New Roman" w:cs="Times New Roman"/>
          <w:b/>
          <w:sz w:val="24"/>
          <w:szCs w:val="24"/>
        </w:rPr>
        <w:t xml:space="preserve">14.  </w:t>
      </w:r>
      <w:r w:rsidRPr="00FA3CE9">
        <w:rPr>
          <w:rFonts w:ascii="Times New Roman" w:hAnsi="Times New Roman" w:cs="Times New Roman"/>
          <w:sz w:val="24"/>
          <w:szCs w:val="24"/>
        </w:rPr>
        <w:t>V</w:t>
      </w:r>
      <w:r>
        <w:rPr>
          <w:rFonts w:ascii="Times New Roman" w:hAnsi="Times New Roman" w:cs="Times New Roman"/>
          <w:sz w:val="24"/>
          <w:szCs w:val="24"/>
        </w:rPr>
        <w:t xml:space="preserve"> novelizačním bodu 81 v </w:t>
      </w:r>
      <w:r w:rsidRPr="00FA3CE9">
        <w:rPr>
          <w:rFonts w:ascii="Times New Roman" w:hAnsi="Times New Roman" w:cs="Times New Roman"/>
          <w:sz w:val="24"/>
          <w:szCs w:val="24"/>
        </w:rPr>
        <w:t>§ 32d odst. 4</w:t>
      </w:r>
      <w:r>
        <w:rPr>
          <w:rFonts w:ascii="Times New Roman" w:hAnsi="Times New Roman" w:cs="Times New Roman"/>
          <w:sz w:val="24"/>
          <w:szCs w:val="24"/>
        </w:rPr>
        <w:t xml:space="preserve"> se</w:t>
      </w:r>
      <w:r w:rsidRPr="00FA3CE9">
        <w:rPr>
          <w:rFonts w:ascii="Times New Roman" w:hAnsi="Times New Roman" w:cs="Times New Roman"/>
          <w:sz w:val="24"/>
          <w:szCs w:val="24"/>
        </w:rPr>
        <w:t xml:space="preserve"> slova „</w:t>
      </w:r>
      <w:r>
        <w:rPr>
          <w:rFonts w:ascii="Times New Roman" w:hAnsi="Times New Roman" w:cs="Times New Roman"/>
          <w:sz w:val="24"/>
          <w:szCs w:val="24"/>
        </w:rPr>
        <w:t>z krytých dluhopisů, k“ nahrazují</w:t>
      </w:r>
      <w:r w:rsidRPr="00FA3CE9">
        <w:rPr>
          <w:rFonts w:ascii="Times New Roman" w:hAnsi="Times New Roman" w:cs="Times New Roman"/>
          <w:sz w:val="24"/>
          <w:szCs w:val="24"/>
        </w:rPr>
        <w:t xml:space="preserve"> slovem „, k“.</w:t>
      </w:r>
    </w:p>
    <w:p w:rsidR="00B65891" w:rsidRPr="00FA3CE9" w:rsidRDefault="00B65891" w:rsidP="00B65891">
      <w:pPr>
        <w:pStyle w:val="Odstavecseseznamem"/>
        <w:keepLines/>
        <w:widowControl w:val="0"/>
        <w:ind w:left="426" w:right="-1" w:hanging="426"/>
        <w:jc w:val="both"/>
        <w:rPr>
          <w:rFonts w:ascii="Times New Roman" w:hAnsi="Times New Roman" w:cs="Times New Roman"/>
          <w:sz w:val="24"/>
          <w:szCs w:val="24"/>
        </w:rPr>
      </w:pPr>
    </w:p>
    <w:p w:rsidR="00B65891" w:rsidRPr="00FA3CE9" w:rsidRDefault="00B65891" w:rsidP="00B65891">
      <w:pPr>
        <w:pStyle w:val="Odstavecseseznamem"/>
        <w:keepLines/>
        <w:widowControl w:val="0"/>
        <w:tabs>
          <w:tab w:val="left" w:pos="284"/>
        </w:tabs>
        <w:ind w:left="0" w:right="-1"/>
        <w:rPr>
          <w:rFonts w:ascii="Times New Roman" w:hAnsi="Times New Roman" w:cs="Times New Roman"/>
          <w:b/>
          <w:sz w:val="24"/>
          <w:szCs w:val="24"/>
          <w:u w:val="single"/>
        </w:rPr>
      </w:pPr>
      <w:r w:rsidRPr="00021B9C">
        <w:rPr>
          <w:rFonts w:ascii="Times New Roman" w:hAnsi="Times New Roman" w:cs="Times New Roman"/>
          <w:b/>
          <w:sz w:val="24"/>
          <w:szCs w:val="24"/>
        </w:rPr>
        <w:t xml:space="preserve">II. </w:t>
      </w:r>
      <w:r w:rsidRPr="00021B9C">
        <w:rPr>
          <w:rFonts w:ascii="Times New Roman" w:hAnsi="Times New Roman" w:cs="Times New Roman"/>
          <w:b/>
          <w:sz w:val="24"/>
          <w:szCs w:val="24"/>
          <w:u w:val="single"/>
        </w:rPr>
        <w:t>Část pátá (čl. VII a VIII) zní:</w:t>
      </w:r>
    </w:p>
    <w:p w:rsidR="00B65891" w:rsidRPr="00FA3CE9" w:rsidRDefault="00B65891" w:rsidP="00B65891">
      <w:pPr>
        <w:keepLines/>
        <w:jc w:val="center"/>
      </w:pPr>
      <w:r w:rsidRPr="00FA3CE9">
        <w:t>„ČÁST PÁTÁ</w:t>
      </w:r>
    </w:p>
    <w:p w:rsidR="00B65891" w:rsidRPr="00FA3CE9" w:rsidRDefault="00B65891" w:rsidP="00B65891">
      <w:pPr>
        <w:keepLines/>
        <w:jc w:val="center"/>
      </w:pPr>
    </w:p>
    <w:p w:rsidR="00B65891" w:rsidRPr="00FA3CE9" w:rsidRDefault="00B65891" w:rsidP="00B65891">
      <w:pPr>
        <w:keepLines/>
        <w:jc w:val="center"/>
        <w:rPr>
          <w:b/>
        </w:rPr>
      </w:pPr>
      <w:r w:rsidRPr="00FA3CE9">
        <w:rPr>
          <w:b/>
        </w:rPr>
        <w:t>Změna zákona o podnikání na kapitálovém trhu</w:t>
      </w:r>
    </w:p>
    <w:p w:rsidR="00B65891" w:rsidRPr="00FA3CE9" w:rsidRDefault="00B65891" w:rsidP="00B65891">
      <w:pPr>
        <w:pStyle w:val="Odstavecseseznamem"/>
        <w:keepLines/>
        <w:widowControl w:val="0"/>
        <w:tabs>
          <w:tab w:val="left" w:pos="0"/>
        </w:tabs>
        <w:ind w:left="0" w:right="-1"/>
        <w:jc w:val="center"/>
        <w:rPr>
          <w:rFonts w:ascii="Times New Roman" w:hAnsi="Times New Roman" w:cs="Times New Roman"/>
          <w:sz w:val="24"/>
          <w:szCs w:val="24"/>
        </w:rPr>
      </w:pPr>
    </w:p>
    <w:p w:rsidR="00B65891" w:rsidRPr="00FA3CE9" w:rsidRDefault="00B65891" w:rsidP="00B65891">
      <w:pPr>
        <w:pStyle w:val="Odstavecseseznamem"/>
        <w:keepLines/>
        <w:widowControl w:val="0"/>
        <w:tabs>
          <w:tab w:val="left" w:pos="0"/>
        </w:tabs>
        <w:ind w:left="0" w:right="-1"/>
        <w:jc w:val="center"/>
        <w:rPr>
          <w:rFonts w:ascii="Times New Roman" w:hAnsi="Times New Roman" w:cs="Times New Roman"/>
          <w:sz w:val="24"/>
          <w:szCs w:val="24"/>
        </w:rPr>
      </w:pPr>
      <w:r w:rsidRPr="00FA3CE9">
        <w:rPr>
          <w:rFonts w:ascii="Times New Roman" w:hAnsi="Times New Roman" w:cs="Times New Roman"/>
          <w:sz w:val="24"/>
          <w:szCs w:val="24"/>
        </w:rPr>
        <w:t>Čl. VII</w:t>
      </w:r>
    </w:p>
    <w:p w:rsidR="00B65891" w:rsidRDefault="00B65891" w:rsidP="00DF4131">
      <w:pPr>
        <w:pStyle w:val="Odstavecseseznamem"/>
        <w:widowControl w:val="0"/>
        <w:tabs>
          <w:tab w:val="left" w:pos="0"/>
        </w:tabs>
        <w:ind w:left="0"/>
        <w:jc w:val="both"/>
        <w:rPr>
          <w:rFonts w:ascii="Times New Roman" w:hAnsi="Times New Roman" w:cs="Times New Roman"/>
          <w:sz w:val="24"/>
          <w:szCs w:val="24"/>
        </w:rPr>
      </w:pPr>
      <w:r w:rsidRPr="00FA3CE9">
        <w:rPr>
          <w:rFonts w:ascii="Times New Roman" w:hAnsi="Times New Roman" w:cs="Times New Roman"/>
          <w:sz w:val="24"/>
          <w:szCs w:val="24"/>
        </w:rPr>
        <w:t xml:space="preserve">Zákon č. 256/2004 Sb., o podnikání na kapitálovém trhu, ve znění zákona č. 635/2004 Sb., zákona č. 179/2005 Sb., zákona č. 377/2005 Sb., zákona č. 56/2006 Sb., zákona č. 57/2006 Sb., zákona č. 62/2006 Sb., zákona č. 70/2006 Sb., zákona č. 159/2006 Sb., zákona č. 120/2007 Sb., zákona č. 296/2007 Sb., zákona č. 29/2008 Sb., zákona č. 104/2008 Sb., zákona č. 126/2008 Sb., zákona č. 216/2008 Sb., zákona č. 230/2008 Sb., zákona č. 7/2009 Sb., zákona č. 223/2009 Sb., zákona č. 227/2009 Sb., zákona č. 230/2009 Sb., zákona č. 281/2009 Sb., zákona č. 420/2009 Sb., zákona č. 156/2010 Sb., zákona č. 160/2010 Sb., zákona č. 409/2010 Sb., zákona č. 41/2011 Sb., zákona č. 139/2011 Sb., zákona č. 188/2011 Sb., zákona č. 420/2011 Sb., zákona </w:t>
      </w:r>
      <w:r w:rsidRPr="00FA3CE9">
        <w:rPr>
          <w:rFonts w:ascii="Times New Roman" w:hAnsi="Times New Roman" w:cs="Times New Roman"/>
          <w:sz w:val="24"/>
          <w:szCs w:val="24"/>
        </w:rPr>
        <w:lastRenderedPageBreak/>
        <w:t>č. 428/2011 Sb., zákona č. 37/2012 Sb., zákona č. 172/2012 Sb., zákona č. 254/2012 Sb., zákona č. 134/2013 Sb., zákona č. 241/2013 Sb., zákona č. 303/2013 Sb., zákona č. 135/2014 Sb., zákona č. 336/2014 Sb., zákona č. 375/2015 Sb., zákona č. 148/2016 Sb., zákona č. 183/2017 Sb. a zákona č. 204/2017 Sb., se mění takto:</w:t>
      </w:r>
    </w:p>
    <w:p w:rsidR="00B65891" w:rsidRPr="00FA3CE9" w:rsidRDefault="00B65891" w:rsidP="00B65891">
      <w:pPr>
        <w:pStyle w:val="Odstavecseseznamem"/>
        <w:keepLines/>
        <w:widowControl w:val="0"/>
        <w:tabs>
          <w:tab w:val="left" w:pos="426"/>
        </w:tabs>
        <w:spacing w:line="240" w:lineRule="auto"/>
        <w:ind w:left="426" w:right="-1" w:hanging="426"/>
        <w:jc w:val="both"/>
        <w:rPr>
          <w:rFonts w:ascii="Times New Roman" w:eastAsia="Times New Roman" w:hAnsi="Times New Roman" w:cs="Times New Roman"/>
          <w:sz w:val="24"/>
          <w:szCs w:val="24"/>
          <w:lang w:eastAsia="cs-CZ"/>
        </w:rPr>
      </w:pPr>
      <w:r w:rsidRPr="00F133DE">
        <w:rPr>
          <w:rFonts w:ascii="Times New Roman" w:hAnsi="Times New Roman" w:cs="Times New Roman"/>
          <w:b/>
          <w:sz w:val="24"/>
          <w:szCs w:val="24"/>
        </w:rPr>
        <w:t xml:space="preserve">1. </w:t>
      </w:r>
      <w:r w:rsidRPr="00F133DE">
        <w:rPr>
          <w:rFonts w:ascii="Times New Roman" w:hAnsi="Times New Roman" w:cs="Times New Roman"/>
          <w:b/>
          <w:sz w:val="24"/>
          <w:szCs w:val="24"/>
        </w:rPr>
        <w:tab/>
      </w:r>
      <w:r w:rsidRPr="00FA3CE9">
        <w:rPr>
          <w:rFonts w:ascii="Times New Roman" w:hAnsi="Times New Roman" w:cs="Times New Roman"/>
          <w:sz w:val="24"/>
          <w:szCs w:val="24"/>
        </w:rPr>
        <w:t xml:space="preserve">V poznámce pod čarou č. 2 se za větu poslední na samostatný řádek doplňuje věta „Nařízení </w:t>
      </w:r>
      <w:r w:rsidRPr="00FA3CE9">
        <w:rPr>
          <w:rFonts w:ascii="Times New Roman" w:eastAsia="Times New Roman" w:hAnsi="Times New Roman" w:cs="Times New Roman"/>
          <w:sz w:val="24"/>
          <w:szCs w:val="24"/>
          <w:lang w:eastAsia="cs-CZ"/>
        </w:rPr>
        <w:t xml:space="preserve">Evropského parlamentu a Rady (EU) 2017/2402 ze dne 12. prosince 2017, kterým se stanoví obecný rámec pro </w:t>
      </w:r>
      <w:proofErr w:type="spellStart"/>
      <w:r w:rsidRPr="00FA3CE9">
        <w:rPr>
          <w:rFonts w:ascii="Times New Roman" w:eastAsia="Times New Roman" w:hAnsi="Times New Roman" w:cs="Times New Roman"/>
          <w:sz w:val="24"/>
          <w:szCs w:val="24"/>
          <w:lang w:eastAsia="cs-CZ"/>
        </w:rPr>
        <w:t>sekuritizaci</w:t>
      </w:r>
      <w:proofErr w:type="spellEnd"/>
      <w:r w:rsidRPr="00FA3CE9">
        <w:rPr>
          <w:rFonts w:ascii="Times New Roman" w:eastAsia="Times New Roman" w:hAnsi="Times New Roman" w:cs="Times New Roman"/>
          <w:sz w:val="24"/>
          <w:szCs w:val="24"/>
          <w:lang w:eastAsia="cs-CZ"/>
        </w:rPr>
        <w:t xml:space="preserve"> a vytváří se zvláštní rámec pro jednoduchou, transparentní a standardizovanou </w:t>
      </w:r>
      <w:proofErr w:type="spellStart"/>
      <w:r w:rsidRPr="00FA3CE9">
        <w:rPr>
          <w:rFonts w:ascii="Times New Roman" w:eastAsia="Times New Roman" w:hAnsi="Times New Roman" w:cs="Times New Roman"/>
          <w:sz w:val="24"/>
          <w:szCs w:val="24"/>
          <w:lang w:eastAsia="cs-CZ"/>
        </w:rPr>
        <w:t>sekuritizaci</w:t>
      </w:r>
      <w:proofErr w:type="spellEnd"/>
      <w:r w:rsidRPr="00FA3CE9">
        <w:rPr>
          <w:rFonts w:ascii="Times New Roman" w:eastAsia="Times New Roman" w:hAnsi="Times New Roman" w:cs="Times New Roman"/>
          <w:sz w:val="24"/>
          <w:szCs w:val="24"/>
          <w:lang w:eastAsia="cs-CZ"/>
        </w:rPr>
        <w:t xml:space="preserve"> a kterým se mění směrnice 2009/65/ES, 2009/138/ES, 2011/61/EU a nařízení (ES) č. 1060/2009 a (EU) č. 648/2012.“.</w:t>
      </w:r>
    </w:p>
    <w:p w:rsidR="00B65891" w:rsidRPr="00FA3CE9" w:rsidRDefault="00B65891" w:rsidP="00B65891">
      <w:pPr>
        <w:keepLines/>
        <w:widowControl w:val="0"/>
        <w:tabs>
          <w:tab w:val="left" w:pos="0"/>
          <w:tab w:val="left" w:pos="426"/>
        </w:tabs>
        <w:ind w:left="426" w:right="-1" w:hanging="426"/>
      </w:pPr>
      <w:r w:rsidRPr="00F133DE">
        <w:rPr>
          <w:b/>
        </w:rPr>
        <w:t>2.</w:t>
      </w:r>
      <w:r w:rsidRPr="00FA3CE9">
        <w:t xml:space="preserve"> </w:t>
      </w:r>
      <w:r>
        <w:tab/>
      </w:r>
      <w:r w:rsidRPr="00FA3CE9">
        <w:t>V § 1 na konci odstavce 3 se tečka nahrazuje čárkou a doplňuje se písmeno k), které včetně poznámky pod čarou č. 63 zní:</w:t>
      </w:r>
    </w:p>
    <w:p w:rsidR="00B65891" w:rsidRPr="00FA3CE9" w:rsidRDefault="00B65891" w:rsidP="00B65891">
      <w:pPr>
        <w:keepLines/>
        <w:widowControl w:val="0"/>
        <w:tabs>
          <w:tab w:val="left" w:pos="0"/>
        </w:tabs>
        <w:ind w:right="-1"/>
      </w:pPr>
    </w:p>
    <w:p w:rsidR="00B65891" w:rsidRPr="00FA3CE9" w:rsidRDefault="00B65891" w:rsidP="00B65891">
      <w:pPr>
        <w:keepLines/>
        <w:widowControl w:val="0"/>
        <w:tabs>
          <w:tab w:val="left" w:pos="426"/>
        </w:tabs>
        <w:ind w:left="426" w:right="-1" w:hanging="426"/>
      </w:pPr>
      <w:r>
        <w:t xml:space="preserve">„k) </w:t>
      </w:r>
      <w:r w:rsidRPr="00FA3CE9">
        <w:t xml:space="preserve">přímo použitelný předpis Evropské unie upravující obecný rámec pro </w:t>
      </w:r>
      <w:proofErr w:type="spellStart"/>
      <w:r w:rsidRPr="00FA3CE9">
        <w:t>sekuritizaci</w:t>
      </w:r>
      <w:proofErr w:type="spellEnd"/>
      <w:r w:rsidRPr="00FA3CE9">
        <w:t xml:space="preserve"> a vytvářející zvláštní rámec pro jednoduchou, transparentní a standardizovanou sekuritizaci</w:t>
      </w:r>
      <w:r w:rsidRPr="00FA3CE9">
        <w:rPr>
          <w:vertAlign w:val="superscript"/>
        </w:rPr>
        <w:t>63)</w:t>
      </w:r>
      <w:r w:rsidRPr="00FA3CE9">
        <w:t>.</w:t>
      </w:r>
    </w:p>
    <w:p w:rsidR="00B65891" w:rsidRPr="00FA3CE9" w:rsidRDefault="00B65891" w:rsidP="00B65891">
      <w:pPr>
        <w:keepLines/>
        <w:ind w:right="-1"/>
        <w:rPr>
          <w:vertAlign w:val="superscript"/>
        </w:rPr>
      </w:pPr>
      <w:r w:rsidRPr="00FA3CE9">
        <w:t>________</w:t>
      </w:r>
    </w:p>
    <w:p w:rsidR="00B65891" w:rsidRPr="00FA3CE9" w:rsidRDefault="00B65891" w:rsidP="00B65891">
      <w:pPr>
        <w:keepLines/>
      </w:pPr>
      <w:r w:rsidRPr="00FA3CE9">
        <w:rPr>
          <w:vertAlign w:val="superscript"/>
        </w:rPr>
        <w:t xml:space="preserve">63) </w:t>
      </w:r>
      <w:r w:rsidRPr="00FA3CE9">
        <w:t>Nařízení Evropského parlamentu a Rady (EU) 2017/2402.“.</w:t>
      </w:r>
    </w:p>
    <w:p w:rsidR="00B65891" w:rsidRPr="00FA3CE9" w:rsidRDefault="00B65891" w:rsidP="00B65891">
      <w:pPr>
        <w:keepLines/>
      </w:pPr>
    </w:p>
    <w:p w:rsidR="00B65891" w:rsidRPr="00FA3CE9" w:rsidRDefault="00B65891" w:rsidP="00B65891">
      <w:pPr>
        <w:pStyle w:val="Odstavecseseznamem"/>
        <w:keepLines/>
        <w:widowControl w:val="0"/>
        <w:tabs>
          <w:tab w:val="left" w:pos="426"/>
        </w:tabs>
        <w:spacing w:line="240" w:lineRule="auto"/>
        <w:ind w:left="426" w:right="-1" w:hanging="426"/>
        <w:jc w:val="both"/>
        <w:rPr>
          <w:rFonts w:ascii="Times New Roman" w:hAnsi="Times New Roman" w:cs="Times New Roman"/>
          <w:sz w:val="24"/>
          <w:szCs w:val="24"/>
        </w:rPr>
      </w:pPr>
      <w:r w:rsidRPr="002D339D">
        <w:rPr>
          <w:rFonts w:ascii="Times New Roman" w:hAnsi="Times New Roman" w:cs="Times New Roman"/>
          <w:b/>
          <w:sz w:val="24"/>
          <w:szCs w:val="24"/>
        </w:rPr>
        <w:t>3.</w:t>
      </w:r>
      <w:r w:rsidRPr="00FA3CE9">
        <w:rPr>
          <w:rFonts w:ascii="Times New Roman" w:hAnsi="Times New Roman" w:cs="Times New Roman"/>
          <w:sz w:val="24"/>
          <w:szCs w:val="24"/>
        </w:rPr>
        <w:t xml:space="preserve"> </w:t>
      </w:r>
      <w:r>
        <w:rPr>
          <w:rFonts w:ascii="Times New Roman" w:hAnsi="Times New Roman" w:cs="Times New Roman"/>
          <w:sz w:val="24"/>
          <w:szCs w:val="24"/>
        </w:rPr>
        <w:tab/>
      </w:r>
      <w:r w:rsidRPr="00FA3CE9">
        <w:rPr>
          <w:rFonts w:ascii="Times New Roman" w:hAnsi="Times New Roman" w:cs="Times New Roman"/>
          <w:sz w:val="24"/>
          <w:szCs w:val="24"/>
        </w:rPr>
        <w:t>V § 132 odst. 1 se slova „Majetek zákazníka není součástí majetkové podstaty obchodníka s cennými papíry podle zákona upravujícího úpadek a způsoby jeho řešení</w:t>
      </w:r>
      <w:r w:rsidRPr="00FA3CE9">
        <w:rPr>
          <w:rFonts w:ascii="Times New Roman" w:hAnsi="Times New Roman" w:cs="Times New Roman"/>
          <w:sz w:val="24"/>
          <w:szCs w:val="24"/>
          <w:vertAlign w:val="superscript"/>
        </w:rPr>
        <w:t>19)</w:t>
      </w:r>
      <w:r w:rsidRPr="00FA3CE9">
        <w:rPr>
          <w:rFonts w:ascii="Times New Roman" w:hAnsi="Times New Roman" w:cs="Times New Roman"/>
          <w:sz w:val="24"/>
          <w:szCs w:val="24"/>
        </w:rPr>
        <w:t>, a je-li“ nahrazují slovem „Je-li“ a slovo „jej“ se nahrazuje slovy „majetek zákazníka“.</w:t>
      </w:r>
    </w:p>
    <w:p w:rsidR="00B65891" w:rsidRDefault="00B65891" w:rsidP="00B65891">
      <w:pPr>
        <w:pStyle w:val="Odstavecseseznamem"/>
        <w:keepLines/>
        <w:widowControl w:val="0"/>
        <w:tabs>
          <w:tab w:val="left" w:pos="0"/>
        </w:tabs>
        <w:spacing w:line="240" w:lineRule="auto"/>
        <w:ind w:left="0" w:right="-1"/>
        <w:jc w:val="both"/>
        <w:rPr>
          <w:rFonts w:ascii="Times New Roman" w:hAnsi="Times New Roman" w:cs="Times New Roman"/>
          <w:sz w:val="24"/>
          <w:szCs w:val="24"/>
        </w:rPr>
      </w:pPr>
      <w:r w:rsidRPr="00FA3CE9">
        <w:rPr>
          <w:rFonts w:ascii="Times New Roman" w:hAnsi="Times New Roman" w:cs="Times New Roman"/>
          <w:sz w:val="24"/>
          <w:szCs w:val="24"/>
        </w:rPr>
        <w:t>Poznámka pod čarou č. 19 se zrušuje.</w:t>
      </w:r>
    </w:p>
    <w:p w:rsidR="00B65891" w:rsidRPr="00FA3CE9" w:rsidRDefault="00B65891" w:rsidP="00935D0C">
      <w:pPr>
        <w:pStyle w:val="Odstavecseseznamem"/>
        <w:keepLines/>
        <w:widowControl w:val="0"/>
        <w:tabs>
          <w:tab w:val="left" w:pos="0"/>
        </w:tabs>
        <w:spacing w:after="0" w:line="240" w:lineRule="auto"/>
        <w:ind w:left="0"/>
        <w:jc w:val="both"/>
        <w:rPr>
          <w:rFonts w:ascii="Times New Roman" w:hAnsi="Times New Roman" w:cs="Times New Roman"/>
          <w:sz w:val="24"/>
          <w:szCs w:val="24"/>
        </w:rPr>
      </w:pPr>
    </w:p>
    <w:p w:rsidR="00B65891" w:rsidRPr="00FA3CE9" w:rsidRDefault="00B65891" w:rsidP="00B65891">
      <w:pPr>
        <w:keepLines/>
        <w:ind w:left="426" w:hanging="426"/>
      </w:pPr>
      <w:r w:rsidRPr="00461C3B">
        <w:rPr>
          <w:b/>
        </w:rPr>
        <w:t>4.</w:t>
      </w:r>
      <w:r w:rsidRPr="00FA3CE9">
        <w:t xml:space="preserve"> </w:t>
      </w:r>
      <w:r>
        <w:tab/>
      </w:r>
      <w:r w:rsidRPr="00FA3CE9">
        <w:t xml:space="preserve">V § 135 na konci odstavce 1 se tečka nahrazuje čárkou a doplňuje se písmeno </w:t>
      </w:r>
      <w:proofErr w:type="spellStart"/>
      <w:r w:rsidRPr="00FA3CE9">
        <w:t>zb</w:t>
      </w:r>
      <w:proofErr w:type="spellEnd"/>
      <w:r w:rsidRPr="00FA3CE9">
        <w:t>), které včetně odkazu na poznámku pod čarou č. 63 zní:</w:t>
      </w:r>
    </w:p>
    <w:p w:rsidR="00B65891" w:rsidRPr="00FA3CE9" w:rsidRDefault="00B65891" w:rsidP="00B65891">
      <w:pPr>
        <w:keepLines/>
      </w:pPr>
    </w:p>
    <w:p w:rsidR="00B65891" w:rsidRPr="00FA3CE9" w:rsidRDefault="00B65891" w:rsidP="00B65891">
      <w:pPr>
        <w:keepLines/>
      </w:pPr>
      <w:r w:rsidRPr="00FA3CE9">
        <w:t>„</w:t>
      </w:r>
      <w:proofErr w:type="spellStart"/>
      <w:r w:rsidRPr="00FA3CE9">
        <w:t>zb</w:t>
      </w:r>
      <w:proofErr w:type="spellEnd"/>
      <w:r w:rsidRPr="00FA3CE9">
        <w:t xml:space="preserve">) osoba, na kterou se vztahují povinnosti nebo zákazy podle přímo použitelného předpisu Evropské unie upravujícího obecný rámec pro </w:t>
      </w:r>
      <w:proofErr w:type="spellStart"/>
      <w:r w:rsidRPr="00FA3CE9">
        <w:t>sekuritizaci</w:t>
      </w:r>
      <w:proofErr w:type="spellEnd"/>
      <w:r w:rsidRPr="00FA3CE9">
        <w:t xml:space="preserve"> a vytvářející zvláštní rámec pro jednoduchou, transparentní a standardizovanou sekuritizaci</w:t>
      </w:r>
      <w:r w:rsidRPr="00FA3CE9">
        <w:rPr>
          <w:vertAlign w:val="superscript"/>
        </w:rPr>
        <w:t>63)</w:t>
      </w:r>
      <w:r w:rsidRPr="00FA3CE9">
        <w:t>.“.</w:t>
      </w:r>
    </w:p>
    <w:p w:rsidR="00B65891" w:rsidRPr="00FA3CE9" w:rsidRDefault="00B65891" w:rsidP="00B65891">
      <w:pPr>
        <w:keepLines/>
        <w:ind w:left="284" w:hanging="284"/>
      </w:pPr>
    </w:p>
    <w:p w:rsidR="00B65891" w:rsidRPr="00FA3CE9" w:rsidRDefault="00B65891" w:rsidP="00B65891">
      <w:pPr>
        <w:keepLines/>
        <w:ind w:left="426" w:hanging="426"/>
      </w:pPr>
      <w:r w:rsidRPr="00D2120C">
        <w:rPr>
          <w:b/>
        </w:rPr>
        <w:t>5.</w:t>
      </w:r>
      <w:r w:rsidRPr="00FA3CE9">
        <w:t xml:space="preserve"> </w:t>
      </w:r>
      <w:r>
        <w:tab/>
      </w:r>
      <w:r w:rsidRPr="00FA3CE9">
        <w:t>V § 136 odst. 1 písm. m) se slova „nebo podle“ nahrazují slovem „podle“, na konci textu se čárka zrušuje a doplňují se slova „nebo podle čl. 32 odst. 2 písm. d) nařízení Evropského parlamentu a Rady (EU) 2017/2402,“.</w:t>
      </w:r>
    </w:p>
    <w:p w:rsidR="00B65891" w:rsidRPr="00FA3CE9" w:rsidRDefault="00B65891" w:rsidP="00B65891">
      <w:pPr>
        <w:keepLines/>
        <w:ind w:left="284" w:hanging="284"/>
      </w:pPr>
    </w:p>
    <w:p w:rsidR="00B65891" w:rsidRPr="00196F1D" w:rsidRDefault="00B65891" w:rsidP="00B65891">
      <w:pPr>
        <w:pStyle w:val="Odstavecseseznamem"/>
        <w:keepLines/>
        <w:widowControl w:val="0"/>
        <w:tabs>
          <w:tab w:val="left" w:pos="426"/>
        </w:tabs>
        <w:spacing w:line="240" w:lineRule="auto"/>
        <w:ind w:left="426" w:right="-1" w:hanging="426"/>
        <w:jc w:val="both"/>
        <w:rPr>
          <w:rFonts w:ascii="Times New Roman" w:eastAsia="Times New Roman" w:hAnsi="Times New Roman" w:cs="Times New Roman"/>
          <w:sz w:val="24"/>
          <w:szCs w:val="24"/>
          <w:lang w:eastAsia="cs-CZ"/>
        </w:rPr>
      </w:pPr>
      <w:r w:rsidRPr="00D2120C">
        <w:rPr>
          <w:rFonts w:ascii="Times New Roman" w:eastAsia="Times New Roman" w:hAnsi="Times New Roman" w:cs="Times New Roman"/>
          <w:b/>
          <w:sz w:val="24"/>
          <w:szCs w:val="24"/>
          <w:lang w:eastAsia="cs-CZ"/>
        </w:rPr>
        <w:t>6.</w:t>
      </w:r>
      <w:r w:rsidRPr="00FA3CE9">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ab/>
      </w:r>
      <w:r w:rsidRPr="00FA3CE9">
        <w:rPr>
          <w:rFonts w:ascii="Times New Roman" w:eastAsia="Times New Roman" w:hAnsi="Times New Roman" w:cs="Times New Roman"/>
          <w:sz w:val="24"/>
          <w:szCs w:val="24"/>
          <w:lang w:eastAsia="cs-CZ"/>
        </w:rPr>
        <w:t>Za § 161 se vkládá nový § 161a, který včetně nadpisu a odkazu na poznámku pod čarou č. 63 zní:</w:t>
      </w:r>
    </w:p>
    <w:p w:rsidR="00B65891" w:rsidRPr="00FA3CE9" w:rsidRDefault="00B65891" w:rsidP="00B65891">
      <w:pPr>
        <w:keepLines/>
        <w:jc w:val="center"/>
      </w:pPr>
      <w:r w:rsidRPr="00FA3CE9">
        <w:t>„§ 161a</w:t>
      </w:r>
    </w:p>
    <w:p w:rsidR="00B65891" w:rsidRPr="00FA3CE9" w:rsidRDefault="00B65891" w:rsidP="00B65891">
      <w:pPr>
        <w:keepLines/>
        <w:jc w:val="center"/>
      </w:pPr>
    </w:p>
    <w:p w:rsidR="00B65891" w:rsidRPr="00FA3CE9" w:rsidRDefault="00B65891" w:rsidP="00B65891">
      <w:pPr>
        <w:keepLines/>
        <w:jc w:val="center"/>
        <w:rPr>
          <w:b/>
        </w:rPr>
      </w:pPr>
      <w:r w:rsidRPr="00FA3CE9">
        <w:rPr>
          <w:b/>
        </w:rPr>
        <w:t xml:space="preserve">Přestupky fyzických osob spočívající v porušení nařízení Evropské unie o </w:t>
      </w:r>
      <w:proofErr w:type="spellStart"/>
      <w:r w:rsidRPr="00FA3CE9">
        <w:rPr>
          <w:b/>
        </w:rPr>
        <w:t>sekuritizaci</w:t>
      </w:r>
      <w:proofErr w:type="spellEnd"/>
    </w:p>
    <w:p w:rsidR="00B65891" w:rsidRPr="00FA3CE9" w:rsidRDefault="00B65891" w:rsidP="00B65891">
      <w:pPr>
        <w:keepLines/>
      </w:pPr>
    </w:p>
    <w:p w:rsidR="00B65891" w:rsidRPr="00FA3CE9" w:rsidRDefault="00B65891" w:rsidP="00B65891">
      <w:pPr>
        <w:keepLines/>
        <w:ind w:firstLine="709"/>
      </w:pPr>
      <w:r w:rsidRPr="00FA3CE9">
        <w:t xml:space="preserve">(1) Fyzická osoba se dopustí přestupku tím, že nesplní některou z povinností nebo poruší některý ze zákazů uvedených v přímo použitelném předpisu Evropské unie upravujícím obecný rámec pro </w:t>
      </w:r>
      <w:proofErr w:type="spellStart"/>
      <w:r w:rsidRPr="00FA3CE9">
        <w:t>sekuritizaci</w:t>
      </w:r>
      <w:proofErr w:type="spellEnd"/>
      <w:r w:rsidRPr="00FA3CE9">
        <w:t xml:space="preserve"> a vytvářející zvláštní rámec pro jednoduchou, transparentní a standardizovanou sekuritizaci</w:t>
      </w:r>
      <w:r w:rsidRPr="00FA3CE9">
        <w:rPr>
          <w:vertAlign w:val="superscript"/>
        </w:rPr>
        <w:t>63)</w:t>
      </w:r>
      <w:r w:rsidRPr="00FA3CE9">
        <w:t>.</w:t>
      </w:r>
    </w:p>
    <w:p w:rsidR="00B65891" w:rsidRPr="00FA3CE9" w:rsidRDefault="00B65891" w:rsidP="00B65891">
      <w:pPr>
        <w:keepLines/>
        <w:ind w:firstLine="709"/>
      </w:pPr>
    </w:p>
    <w:p w:rsidR="00B65891" w:rsidRPr="00FA3CE9" w:rsidRDefault="00B65891" w:rsidP="00B65891">
      <w:pPr>
        <w:keepLines/>
      </w:pPr>
      <w:r w:rsidRPr="00FA3CE9">
        <w:t xml:space="preserve"> </w:t>
      </w:r>
      <w:r w:rsidRPr="00FA3CE9">
        <w:tab/>
        <w:t>(2) Za přestupek podle odstavce 1 lze uložit pokutu do</w:t>
      </w:r>
    </w:p>
    <w:p w:rsidR="00B65891" w:rsidRPr="00FA3CE9" w:rsidRDefault="00B65891" w:rsidP="00B65891">
      <w:pPr>
        <w:keepLines/>
        <w:ind w:left="284" w:hanging="284"/>
      </w:pPr>
    </w:p>
    <w:p w:rsidR="00B65891" w:rsidRPr="00FA3CE9" w:rsidRDefault="00B65891" w:rsidP="00B65891">
      <w:pPr>
        <w:keepLines/>
        <w:ind w:left="284" w:hanging="284"/>
      </w:pPr>
      <w:r w:rsidRPr="00FA3CE9">
        <w:t>a)</w:t>
      </w:r>
      <w:r w:rsidRPr="00FA3CE9">
        <w:tab/>
        <w:t>126 650 000 Kč, nebo</w:t>
      </w:r>
    </w:p>
    <w:p w:rsidR="00B65891" w:rsidRPr="00FA3CE9" w:rsidRDefault="00B65891" w:rsidP="00B65891">
      <w:pPr>
        <w:keepLines/>
        <w:ind w:left="284" w:hanging="284"/>
      </w:pPr>
      <w:r w:rsidRPr="00FA3CE9">
        <w:t>b)</w:t>
      </w:r>
      <w:r w:rsidRPr="00FA3CE9">
        <w:tab/>
        <w:t>výše dvojnásobku neoprávněného prospěchu získaného spácháním tohoto přestupku, je-li možné výši neoprávněného prospěchu zjistit.“.</w:t>
      </w:r>
    </w:p>
    <w:p w:rsidR="00B65891" w:rsidRDefault="00B65891" w:rsidP="00B65891">
      <w:pPr>
        <w:keepLines/>
      </w:pPr>
    </w:p>
    <w:p w:rsidR="00B65891" w:rsidRPr="00FA3CE9" w:rsidRDefault="00B65891" w:rsidP="00B65891">
      <w:pPr>
        <w:keepLines/>
      </w:pPr>
    </w:p>
    <w:p w:rsidR="00B65891" w:rsidRPr="00FA3CE9" w:rsidRDefault="00B65891" w:rsidP="00B65891">
      <w:pPr>
        <w:pStyle w:val="Odstavecseseznamem"/>
        <w:keepLines/>
        <w:widowControl w:val="0"/>
        <w:tabs>
          <w:tab w:val="left" w:pos="426"/>
        </w:tabs>
        <w:spacing w:line="240" w:lineRule="auto"/>
        <w:ind w:left="426" w:right="-1" w:hanging="426"/>
        <w:jc w:val="both"/>
        <w:rPr>
          <w:rFonts w:ascii="Times New Roman" w:eastAsia="Times New Roman" w:hAnsi="Times New Roman" w:cs="Times New Roman"/>
          <w:sz w:val="24"/>
          <w:szCs w:val="24"/>
          <w:lang w:eastAsia="cs-CZ"/>
        </w:rPr>
      </w:pPr>
      <w:r w:rsidRPr="007F16C9">
        <w:rPr>
          <w:rFonts w:ascii="Times New Roman" w:eastAsia="Times New Roman" w:hAnsi="Times New Roman" w:cs="Times New Roman"/>
          <w:b/>
          <w:sz w:val="24"/>
          <w:szCs w:val="24"/>
          <w:lang w:eastAsia="cs-CZ"/>
        </w:rPr>
        <w:t>7.</w:t>
      </w:r>
      <w:r w:rsidRPr="00FA3CE9">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ab/>
      </w:r>
      <w:r w:rsidRPr="00FA3CE9">
        <w:rPr>
          <w:rFonts w:ascii="Times New Roman" w:eastAsia="Times New Roman" w:hAnsi="Times New Roman" w:cs="Times New Roman"/>
          <w:sz w:val="24"/>
          <w:szCs w:val="24"/>
          <w:lang w:eastAsia="cs-CZ"/>
        </w:rPr>
        <w:t>§ 182 včetně nadpisu a odkazu na poznámku pod čarou č. 63 zní:</w:t>
      </w:r>
    </w:p>
    <w:p w:rsidR="00B65891" w:rsidRPr="00FA3CE9" w:rsidRDefault="00B65891" w:rsidP="00B65891">
      <w:pPr>
        <w:pStyle w:val="Odstavecseseznamem"/>
        <w:keepLines/>
        <w:widowControl w:val="0"/>
        <w:tabs>
          <w:tab w:val="left" w:pos="0"/>
        </w:tabs>
        <w:spacing w:line="240" w:lineRule="auto"/>
        <w:ind w:left="0" w:right="-1"/>
        <w:jc w:val="both"/>
        <w:rPr>
          <w:rFonts w:ascii="Times New Roman" w:eastAsia="Times New Roman" w:hAnsi="Times New Roman" w:cs="Times New Roman"/>
          <w:sz w:val="24"/>
          <w:szCs w:val="24"/>
          <w:lang w:eastAsia="cs-CZ"/>
        </w:rPr>
      </w:pPr>
    </w:p>
    <w:p w:rsidR="00B65891" w:rsidRPr="00FA3CE9" w:rsidRDefault="00B65891" w:rsidP="00B65891">
      <w:pPr>
        <w:keepLines/>
        <w:jc w:val="center"/>
      </w:pPr>
      <w:r w:rsidRPr="00FA3CE9">
        <w:t>„§ 182</w:t>
      </w:r>
    </w:p>
    <w:p w:rsidR="00B65891" w:rsidRPr="00FA3CE9" w:rsidRDefault="00B65891" w:rsidP="00B65891">
      <w:pPr>
        <w:keepLines/>
        <w:jc w:val="center"/>
      </w:pPr>
    </w:p>
    <w:p w:rsidR="00B65891" w:rsidRPr="00FA3CE9" w:rsidRDefault="00B65891" w:rsidP="00B65891">
      <w:pPr>
        <w:keepLines/>
        <w:jc w:val="center"/>
        <w:rPr>
          <w:b/>
        </w:rPr>
      </w:pPr>
      <w:r w:rsidRPr="00FA3CE9">
        <w:rPr>
          <w:b/>
        </w:rPr>
        <w:t xml:space="preserve">Přestupky právnických a podnikajících fyzických osob spočívající v porušení nařízení Evropské unie o </w:t>
      </w:r>
      <w:proofErr w:type="spellStart"/>
      <w:r w:rsidRPr="00FA3CE9">
        <w:rPr>
          <w:b/>
        </w:rPr>
        <w:t>sekuritizaci</w:t>
      </w:r>
      <w:proofErr w:type="spellEnd"/>
    </w:p>
    <w:p w:rsidR="00B65891" w:rsidRPr="00FA3CE9" w:rsidRDefault="00B65891" w:rsidP="00B65891">
      <w:pPr>
        <w:keepLines/>
        <w:jc w:val="center"/>
      </w:pPr>
    </w:p>
    <w:p w:rsidR="00B65891" w:rsidRPr="00FA3CE9" w:rsidRDefault="00B65891" w:rsidP="00B65891">
      <w:pPr>
        <w:keepLines/>
      </w:pPr>
      <w:r w:rsidRPr="00FA3CE9">
        <w:tab/>
        <w:t xml:space="preserve">(1) Právnická nebo podnikající fyzická osoba se dopustí přestupku tím, že nesplní některou z povinností nebo poruší některý ze zákazů uvedených v přímo použitelném předpisu Evropské unie upravujícím obecný rámec pro </w:t>
      </w:r>
      <w:proofErr w:type="spellStart"/>
      <w:r w:rsidRPr="00FA3CE9">
        <w:t>sekuritizaci</w:t>
      </w:r>
      <w:proofErr w:type="spellEnd"/>
      <w:r w:rsidRPr="00FA3CE9">
        <w:t xml:space="preserve"> a vytvářející zvláštní rámec pro jednoduchou, transparentní a standardizovanou sekuritizaci</w:t>
      </w:r>
      <w:r w:rsidRPr="00FA3CE9">
        <w:rPr>
          <w:vertAlign w:val="superscript"/>
        </w:rPr>
        <w:t>63)</w:t>
      </w:r>
      <w:r w:rsidRPr="00FA3CE9">
        <w:t>.</w:t>
      </w:r>
    </w:p>
    <w:p w:rsidR="00B65891" w:rsidRPr="00FA3CE9" w:rsidRDefault="00B65891" w:rsidP="00B65891">
      <w:pPr>
        <w:keepLines/>
      </w:pPr>
    </w:p>
    <w:p w:rsidR="00B65891" w:rsidRPr="00FA3CE9" w:rsidRDefault="00B65891" w:rsidP="00B65891">
      <w:pPr>
        <w:keepLines/>
      </w:pPr>
      <w:r w:rsidRPr="00FA3CE9">
        <w:tab/>
        <w:t>(2) Institucionální investor, který obdržel pokyn k plnění povinností od jiného institucionálního investora podle čl. 5 odst. 5 nařízení Evropského parlamentu a Rady (EU) 2017/2402, se dopustí přestupku tím, že nesplní některou z těchto povinností.</w:t>
      </w:r>
    </w:p>
    <w:p w:rsidR="00B65891" w:rsidRPr="00FA3CE9" w:rsidRDefault="00B65891" w:rsidP="00B65891">
      <w:pPr>
        <w:keepLines/>
      </w:pPr>
    </w:p>
    <w:p w:rsidR="00B65891" w:rsidRPr="00FA3CE9" w:rsidRDefault="00B65891" w:rsidP="00B65891">
      <w:pPr>
        <w:keepLines/>
      </w:pPr>
      <w:r w:rsidRPr="00FA3CE9">
        <w:tab/>
        <w:t>(3) Za přestupek právnické osoby podle odstavce 1 nebo 2 lze uložit pokutu do</w:t>
      </w:r>
    </w:p>
    <w:p w:rsidR="00B65891" w:rsidRPr="00FA3CE9" w:rsidRDefault="00B65891" w:rsidP="00B65891">
      <w:pPr>
        <w:keepLines/>
        <w:ind w:left="284" w:hanging="284"/>
      </w:pPr>
    </w:p>
    <w:p w:rsidR="00B65891" w:rsidRPr="00FA3CE9" w:rsidRDefault="00B65891" w:rsidP="00B65891">
      <w:pPr>
        <w:keepLines/>
        <w:ind w:left="284" w:hanging="284"/>
      </w:pPr>
      <w:r w:rsidRPr="00FA3CE9">
        <w:t>a)</w:t>
      </w:r>
      <w:r w:rsidRPr="00FA3CE9">
        <w:tab/>
        <w:t>126 650 000 Kč,</w:t>
      </w:r>
    </w:p>
    <w:p w:rsidR="00B65891" w:rsidRPr="00FA3CE9" w:rsidRDefault="00B65891" w:rsidP="00B65891">
      <w:pPr>
        <w:keepLines/>
        <w:ind w:left="284" w:hanging="284"/>
      </w:pPr>
      <w:r w:rsidRPr="00FA3CE9">
        <w:t>b)</w:t>
      </w:r>
      <w:r w:rsidRPr="00FA3CE9">
        <w:tab/>
        <w:t>výše 10 % celkového ročního obratu právnické osoby podle její poslední řádné účetní závěrky nebo konsolidované účetní závěrky, nebo</w:t>
      </w:r>
    </w:p>
    <w:p w:rsidR="00B65891" w:rsidRPr="00FA3CE9" w:rsidRDefault="00B65891" w:rsidP="00B65891">
      <w:pPr>
        <w:keepLines/>
        <w:ind w:left="284" w:hanging="284"/>
      </w:pPr>
      <w:r w:rsidRPr="00FA3CE9">
        <w:t>c)</w:t>
      </w:r>
      <w:r w:rsidRPr="00FA3CE9">
        <w:tab/>
        <w:t>výše dvojnásobku neoprávněného prospěchu získaného spácháním tohoto přestupku, je-li možné výši neoprávněného prospěchu zjistit.</w:t>
      </w:r>
    </w:p>
    <w:p w:rsidR="00B65891" w:rsidRPr="00FA3CE9" w:rsidRDefault="00B65891" w:rsidP="00B65891">
      <w:pPr>
        <w:keepLines/>
      </w:pPr>
    </w:p>
    <w:p w:rsidR="00B65891" w:rsidRPr="00FA3CE9" w:rsidRDefault="00B65891" w:rsidP="00B65891">
      <w:pPr>
        <w:keepLines/>
        <w:ind w:firstLine="708"/>
      </w:pPr>
      <w:r w:rsidRPr="00FA3CE9">
        <w:t>(4) Za přestupek podnikající osoby podle odstavce 1 nebo 2 lze uložit pokutu do</w:t>
      </w:r>
    </w:p>
    <w:p w:rsidR="00B65891" w:rsidRPr="00FA3CE9" w:rsidRDefault="00B65891" w:rsidP="00B65891">
      <w:pPr>
        <w:keepLines/>
        <w:ind w:left="284" w:hanging="284"/>
      </w:pPr>
    </w:p>
    <w:p w:rsidR="00B65891" w:rsidRPr="00FA3CE9" w:rsidRDefault="00B65891" w:rsidP="00B65891">
      <w:pPr>
        <w:keepLines/>
        <w:ind w:left="284" w:hanging="284"/>
      </w:pPr>
      <w:r w:rsidRPr="00FA3CE9">
        <w:t>a)</w:t>
      </w:r>
      <w:r w:rsidRPr="00FA3CE9">
        <w:tab/>
        <w:t>126 650 000 Kč, nebo</w:t>
      </w:r>
    </w:p>
    <w:p w:rsidR="00B65891" w:rsidRPr="00FA3CE9" w:rsidRDefault="00B65891" w:rsidP="00B65891">
      <w:pPr>
        <w:keepLines/>
        <w:ind w:left="284" w:hanging="284"/>
      </w:pPr>
      <w:r w:rsidRPr="00FA3CE9">
        <w:t>b)</w:t>
      </w:r>
      <w:r w:rsidRPr="00FA3CE9">
        <w:tab/>
        <w:t>výše dvojnásobku neoprávněného prospěchu získaného spácháním tohoto přestupku, je-li možné výši neoprávněného prospěchu zjistit.“.</w:t>
      </w:r>
    </w:p>
    <w:p w:rsidR="00B65891" w:rsidRPr="00FA3CE9" w:rsidRDefault="00B65891" w:rsidP="00B65891">
      <w:pPr>
        <w:keepLines/>
      </w:pPr>
    </w:p>
    <w:p w:rsidR="00B65891" w:rsidRPr="00FA3CE9" w:rsidRDefault="00B65891" w:rsidP="00B65891">
      <w:pPr>
        <w:keepLines/>
      </w:pPr>
      <w:r w:rsidRPr="00D72E4A">
        <w:rPr>
          <w:b/>
        </w:rPr>
        <w:t>8.</w:t>
      </w:r>
      <w:r w:rsidRPr="00FA3CE9">
        <w:t xml:space="preserve"> V § 192a se na konci odstavce 1 tečka nahrazuje čárkou a doplňuje se písmeno k), které zní:</w:t>
      </w:r>
    </w:p>
    <w:p w:rsidR="00B65891" w:rsidRPr="00FA3CE9" w:rsidRDefault="00B65891" w:rsidP="00B65891">
      <w:pPr>
        <w:keepLines/>
      </w:pPr>
    </w:p>
    <w:p w:rsidR="00B65891" w:rsidRPr="00FA3CE9" w:rsidRDefault="00B65891" w:rsidP="00B65891">
      <w:pPr>
        <w:keepLines/>
        <w:ind w:left="284" w:hanging="284"/>
      </w:pPr>
      <w:r w:rsidRPr="00FA3CE9">
        <w:t xml:space="preserve">„k) příslušným orgánem podle přímo použitelného předpisu Evropské unie upravujícího obecný rámec pro </w:t>
      </w:r>
      <w:proofErr w:type="spellStart"/>
      <w:r w:rsidRPr="00FA3CE9">
        <w:t>sekuritizaci</w:t>
      </w:r>
      <w:proofErr w:type="spellEnd"/>
      <w:r w:rsidRPr="00FA3CE9">
        <w:t xml:space="preserve"> a vytvářející zvláštní rámec pro jednoduchou, transparentní a standardizovanou sekuritizaci</w:t>
      </w:r>
      <w:r w:rsidRPr="00FA3CE9">
        <w:rPr>
          <w:vertAlign w:val="superscript"/>
        </w:rPr>
        <w:t>63)</w:t>
      </w:r>
      <w:r w:rsidRPr="00FA3CE9">
        <w:t>.“.</w:t>
      </w:r>
    </w:p>
    <w:p w:rsidR="00B65891" w:rsidRDefault="00B65891" w:rsidP="00B65891">
      <w:pPr>
        <w:keepLines/>
      </w:pPr>
    </w:p>
    <w:p w:rsidR="00572236" w:rsidRDefault="00572236" w:rsidP="00B65891">
      <w:pPr>
        <w:keepLines/>
      </w:pPr>
    </w:p>
    <w:p w:rsidR="00572236" w:rsidRDefault="00572236" w:rsidP="00B65891">
      <w:pPr>
        <w:keepLines/>
      </w:pPr>
    </w:p>
    <w:p w:rsidR="00572236" w:rsidRDefault="00572236" w:rsidP="00B65891">
      <w:pPr>
        <w:keepLines/>
      </w:pPr>
    </w:p>
    <w:p w:rsidR="00572236" w:rsidRDefault="00572236" w:rsidP="00B65891">
      <w:pPr>
        <w:keepLines/>
      </w:pPr>
    </w:p>
    <w:p w:rsidR="00572236" w:rsidRDefault="00572236" w:rsidP="00B65891">
      <w:pPr>
        <w:keepLines/>
      </w:pPr>
    </w:p>
    <w:p w:rsidR="00572236" w:rsidRDefault="00572236" w:rsidP="00B65891">
      <w:pPr>
        <w:keepLines/>
      </w:pPr>
    </w:p>
    <w:p w:rsidR="00572236" w:rsidRPr="00FA3CE9" w:rsidRDefault="00572236" w:rsidP="00B65891">
      <w:pPr>
        <w:keepLines/>
      </w:pPr>
    </w:p>
    <w:p w:rsidR="00B65891" w:rsidRPr="00FA3CE9" w:rsidRDefault="00B65891" w:rsidP="00B65891">
      <w:pPr>
        <w:keepLines/>
        <w:jc w:val="center"/>
      </w:pPr>
      <w:r w:rsidRPr="00FA3CE9">
        <w:lastRenderedPageBreak/>
        <w:t>Čl. VIII</w:t>
      </w:r>
    </w:p>
    <w:p w:rsidR="00B65891" w:rsidRPr="00FA3CE9" w:rsidRDefault="00B65891" w:rsidP="00B65891">
      <w:pPr>
        <w:keepLines/>
        <w:jc w:val="center"/>
      </w:pPr>
    </w:p>
    <w:p w:rsidR="00B65891" w:rsidRPr="00FA3CE9" w:rsidRDefault="00B65891" w:rsidP="00B65891">
      <w:pPr>
        <w:keepLines/>
        <w:jc w:val="center"/>
        <w:rPr>
          <w:b/>
        </w:rPr>
      </w:pPr>
      <w:r w:rsidRPr="00FA3CE9">
        <w:rPr>
          <w:b/>
        </w:rPr>
        <w:t>Přechodná ustanovení</w:t>
      </w:r>
    </w:p>
    <w:p w:rsidR="00B65891" w:rsidRPr="00FA3CE9" w:rsidRDefault="00B65891" w:rsidP="00B65891">
      <w:pPr>
        <w:keepLines/>
      </w:pPr>
    </w:p>
    <w:p w:rsidR="00B65891" w:rsidRPr="00FA3CE9" w:rsidRDefault="00B65891" w:rsidP="00572236">
      <w:pPr>
        <w:pStyle w:val="Odstavecseseznamem"/>
        <w:keepLines/>
        <w:widowControl w:val="0"/>
        <w:tabs>
          <w:tab w:val="left" w:pos="0"/>
        </w:tabs>
        <w:spacing w:after="0" w:line="240" w:lineRule="auto"/>
        <w:ind w:left="0"/>
        <w:jc w:val="both"/>
        <w:rPr>
          <w:rFonts w:ascii="Times New Roman" w:hAnsi="Times New Roman" w:cs="Times New Roman"/>
          <w:sz w:val="24"/>
          <w:szCs w:val="24"/>
        </w:rPr>
      </w:pPr>
      <w:r w:rsidRPr="00FA3CE9">
        <w:rPr>
          <w:rFonts w:ascii="Times New Roman" w:hAnsi="Times New Roman" w:cs="Times New Roman"/>
          <w:sz w:val="24"/>
          <w:szCs w:val="24"/>
        </w:rPr>
        <w:t>1. Povolení k činnosti investičního zprostředkovatele zaregistrovaného ke dni 3. ledna 2018 trvá do dne 31. prosince 2019, pokud tento investiční zprostředkovatel měl ke dni 3. ledna 2018 zaregistrovánu činnost podle zákona upravujícího doplňkové penzijní spoření; zaplacením správního poplatku podle čl. II bodu 11 zákona č. 204/2017 Sb. se povolení k činnosti tohoto investičního zprostředkovatele prodlužuje do 31. prosince 2020.</w:t>
      </w:r>
    </w:p>
    <w:p w:rsidR="00B65891" w:rsidRPr="00FA3CE9" w:rsidRDefault="00B65891" w:rsidP="00935D0C">
      <w:pPr>
        <w:pStyle w:val="Odstavecseseznamem"/>
        <w:keepLines/>
        <w:widowControl w:val="0"/>
        <w:tabs>
          <w:tab w:val="left" w:pos="0"/>
        </w:tabs>
        <w:spacing w:after="0" w:line="240" w:lineRule="auto"/>
        <w:ind w:left="0"/>
        <w:jc w:val="both"/>
        <w:rPr>
          <w:rFonts w:ascii="Times New Roman" w:hAnsi="Times New Roman" w:cs="Times New Roman"/>
          <w:sz w:val="24"/>
          <w:szCs w:val="24"/>
        </w:rPr>
      </w:pPr>
    </w:p>
    <w:p w:rsidR="00B65891" w:rsidRPr="00FA3CE9" w:rsidRDefault="00B65891" w:rsidP="00B65891">
      <w:pPr>
        <w:pStyle w:val="Odstavecseseznamem"/>
        <w:keepLines/>
        <w:widowControl w:val="0"/>
        <w:tabs>
          <w:tab w:val="left" w:pos="0"/>
        </w:tabs>
        <w:spacing w:line="240" w:lineRule="auto"/>
        <w:ind w:left="0" w:right="-1"/>
        <w:jc w:val="both"/>
        <w:rPr>
          <w:rFonts w:ascii="Times New Roman" w:hAnsi="Times New Roman" w:cs="Times New Roman"/>
          <w:sz w:val="24"/>
          <w:szCs w:val="24"/>
        </w:rPr>
      </w:pPr>
      <w:r w:rsidRPr="00FA3CE9">
        <w:rPr>
          <w:rFonts w:ascii="Times New Roman" w:hAnsi="Times New Roman" w:cs="Times New Roman"/>
          <w:sz w:val="24"/>
          <w:szCs w:val="24"/>
        </w:rPr>
        <w:t>2. Oprávnění vázaného zástupce zapsaného ke dni 3. ledna 2018 do seznamu vázaných zástupců trvá do dne 31. prosince 2019, pokud tento vázaný zástupce měl ke dni 3. ledna 2018 zapsánu činnost podle zákona upravujícího doplňkové penzijní spoření; zaplacením správního poplatku podle čl. II bodu 12 zákona č. 204/2017 Sb. se oprávnění tohoto vázaného zástupce prodlužuje do 31. prosince 2020.“.</w:t>
      </w:r>
    </w:p>
    <w:p w:rsidR="00B65891" w:rsidRPr="001867C3" w:rsidRDefault="00B65891" w:rsidP="00B65891">
      <w:pPr>
        <w:keepLines/>
      </w:pPr>
      <w:r w:rsidRPr="001867C3">
        <w:rPr>
          <w:lang w:eastAsia="x-none"/>
        </w:rPr>
        <w:t>Dosavadní čl. VIII až XIII označit jako čl. IX až XIV.</w:t>
      </w:r>
    </w:p>
    <w:p w:rsidR="00B65891" w:rsidRDefault="00B65891" w:rsidP="00B65891">
      <w:pPr>
        <w:keepLines/>
        <w:tabs>
          <w:tab w:val="left" w:pos="0"/>
        </w:tabs>
        <w:ind w:right="-1"/>
        <w:rPr>
          <w:lang w:eastAsia="x-none"/>
        </w:rPr>
      </w:pPr>
    </w:p>
    <w:p w:rsidR="00B65891" w:rsidRPr="00FA3CE9" w:rsidRDefault="00B65891" w:rsidP="00B65891">
      <w:pPr>
        <w:keepLines/>
        <w:tabs>
          <w:tab w:val="left" w:pos="0"/>
        </w:tabs>
        <w:ind w:right="-1"/>
        <w:rPr>
          <w:lang w:eastAsia="x-none"/>
        </w:rPr>
      </w:pPr>
    </w:p>
    <w:p w:rsidR="00B65891" w:rsidRPr="00FA3CE9" w:rsidRDefault="00B65891" w:rsidP="00B65891">
      <w:pPr>
        <w:keepLines/>
        <w:tabs>
          <w:tab w:val="left" w:pos="0"/>
        </w:tabs>
        <w:ind w:right="-1"/>
        <w:rPr>
          <w:b/>
          <w:u w:val="single"/>
          <w:lang w:eastAsia="x-none"/>
        </w:rPr>
      </w:pPr>
      <w:r>
        <w:rPr>
          <w:b/>
          <w:lang w:eastAsia="x-none"/>
        </w:rPr>
        <w:t>III</w:t>
      </w:r>
      <w:r w:rsidRPr="00E272CD">
        <w:rPr>
          <w:b/>
          <w:lang w:eastAsia="x-none"/>
        </w:rPr>
        <w:t>.</w:t>
      </w:r>
      <w:r w:rsidRPr="00FA3CE9">
        <w:rPr>
          <w:b/>
          <w:u w:val="single"/>
          <w:lang w:eastAsia="x-none"/>
        </w:rPr>
        <w:t xml:space="preserve"> K části osmé, dosavadní čl. X (nově čl. XI):</w:t>
      </w:r>
    </w:p>
    <w:p w:rsidR="00B65891" w:rsidRPr="00FA3CE9" w:rsidRDefault="00B65891" w:rsidP="00B65891">
      <w:pPr>
        <w:keepLines/>
        <w:tabs>
          <w:tab w:val="left" w:pos="0"/>
        </w:tabs>
        <w:ind w:right="-1"/>
        <w:rPr>
          <w:lang w:eastAsia="x-none"/>
        </w:rPr>
      </w:pPr>
    </w:p>
    <w:p w:rsidR="00B65891" w:rsidRPr="00FA3CE9" w:rsidRDefault="00B65891" w:rsidP="00B65891">
      <w:pPr>
        <w:keepLines/>
        <w:tabs>
          <w:tab w:val="left" w:pos="0"/>
        </w:tabs>
        <w:ind w:right="-1"/>
        <w:rPr>
          <w:lang w:eastAsia="x-none"/>
        </w:rPr>
      </w:pPr>
      <w:r w:rsidRPr="00FA3CE9">
        <w:rPr>
          <w:lang w:eastAsia="x-none"/>
        </w:rPr>
        <w:t xml:space="preserve">Za dosavadní novelizační bod 5 </w:t>
      </w:r>
      <w:r>
        <w:rPr>
          <w:lang w:eastAsia="x-none"/>
        </w:rPr>
        <w:t>se vkládají</w:t>
      </w:r>
      <w:r w:rsidRPr="00FA3CE9">
        <w:rPr>
          <w:lang w:eastAsia="x-none"/>
        </w:rPr>
        <w:t xml:space="preserve"> novelizační body 6 až 8</w:t>
      </w:r>
      <w:r>
        <w:rPr>
          <w:lang w:eastAsia="x-none"/>
        </w:rPr>
        <w:t>, které znějí</w:t>
      </w:r>
      <w:r w:rsidRPr="00FA3CE9">
        <w:rPr>
          <w:lang w:eastAsia="x-none"/>
        </w:rPr>
        <w:t>:</w:t>
      </w:r>
    </w:p>
    <w:p w:rsidR="00B65891" w:rsidRPr="00FA3CE9" w:rsidRDefault="00B65891" w:rsidP="00B65891">
      <w:pPr>
        <w:keepLines/>
        <w:tabs>
          <w:tab w:val="left" w:pos="0"/>
        </w:tabs>
        <w:ind w:right="-1"/>
        <w:rPr>
          <w:lang w:eastAsia="x-none"/>
        </w:rPr>
      </w:pPr>
    </w:p>
    <w:p w:rsidR="00B65891" w:rsidRPr="00FA3CE9" w:rsidRDefault="00B65891" w:rsidP="00B65891">
      <w:pPr>
        <w:keepLines/>
        <w:tabs>
          <w:tab w:val="left" w:pos="0"/>
        </w:tabs>
        <w:ind w:right="-1"/>
        <w:rPr>
          <w:lang w:eastAsia="x-none"/>
        </w:rPr>
      </w:pPr>
      <w:r w:rsidRPr="00FA3CE9">
        <w:rPr>
          <w:lang w:eastAsia="x-none"/>
        </w:rPr>
        <w:t>„6. Poznámka pod čarou č. 51 zní:</w:t>
      </w:r>
    </w:p>
    <w:p w:rsidR="00B65891" w:rsidRPr="00FA3CE9" w:rsidRDefault="00B65891" w:rsidP="00B65891">
      <w:pPr>
        <w:keepLines/>
        <w:tabs>
          <w:tab w:val="left" w:pos="0"/>
        </w:tabs>
        <w:ind w:right="-1"/>
        <w:rPr>
          <w:lang w:eastAsia="x-none"/>
        </w:rPr>
      </w:pPr>
    </w:p>
    <w:p w:rsidR="00B65891" w:rsidRPr="00FA3CE9" w:rsidRDefault="00B65891" w:rsidP="00B65891">
      <w:pPr>
        <w:keepLines/>
        <w:tabs>
          <w:tab w:val="left" w:pos="0"/>
        </w:tabs>
        <w:ind w:right="-1"/>
        <w:rPr>
          <w:lang w:eastAsia="x-none"/>
        </w:rPr>
      </w:pPr>
      <w:r w:rsidRPr="00FA3CE9">
        <w:rPr>
          <w:lang w:eastAsia="x-none"/>
        </w:rPr>
        <w:t>„</w:t>
      </w:r>
      <w:r w:rsidRPr="00FA3CE9">
        <w:rPr>
          <w:vertAlign w:val="superscript"/>
          <w:lang w:eastAsia="x-none"/>
        </w:rPr>
        <w:t>51)</w:t>
      </w:r>
      <w:r w:rsidRPr="00FA3CE9">
        <w:rPr>
          <w:lang w:eastAsia="x-none"/>
        </w:rPr>
        <w:t xml:space="preserve"> Směrnice Evropského parlamentu a Rady 2001/24/ES ze dne 4. dubna 2001 o reorganizaci a likvidaci úvěrových institucí a Směrnice Evropského parlamentu a Rady (EU) 2017/2399 ze dne 12. prosince 2017, kterou se mění směrnice 2014/59/EU, pokud jde o pořadí nezajištěných dluhových nástrojů v insolvenční hierarchii.“</w:t>
      </w:r>
    </w:p>
    <w:p w:rsidR="00B65891" w:rsidRPr="00FA3CE9" w:rsidRDefault="00B65891" w:rsidP="00B65891">
      <w:pPr>
        <w:keepLines/>
        <w:tabs>
          <w:tab w:val="left" w:pos="0"/>
        </w:tabs>
        <w:ind w:right="-1"/>
        <w:rPr>
          <w:lang w:eastAsia="x-none"/>
        </w:rPr>
      </w:pPr>
    </w:p>
    <w:p w:rsidR="00B65891" w:rsidRPr="00FA3CE9" w:rsidRDefault="00B65891" w:rsidP="00B65891">
      <w:pPr>
        <w:keepLines/>
        <w:tabs>
          <w:tab w:val="left" w:pos="0"/>
        </w:tabs>
        <w:ind w:right="-1"/>
        <w:rPr>
          <w:lang w:eastAsia="x-none"/>
        </w:rPr>
      </w:pPr>
      <w:r w:rsidRPr="00FA3CE9">
        <w:rPr>
          <w:lang w:eastAsia="x-none"/>
        </w:rPr>
        <w:t>7. Nadpis § 374 zní „</w:t>
      </w:r>
      <w:r w:rsidRPr="00FA3CE9">
        <w:rPr>
          <w:b/>
          <w:lang w:eastAsia="x-none"/>
        </w:rPr>
        <w:t>Pořadí některých pohledávek za bankami a spořitelními a úvěrními družstvy</w:t>
      </w:r>
      <w:r w:rsidRPr="00FA3CE9">
        <w:rPr>
          <w:lang w:eastAsia="x-none"/>
        </w:rPr>
        <w:t>“.</w:t>
      </w:r>
    </w:p>
    <w:p w:rsidR="00B65891" w:rsidRPr="00FA3CE9" w:rsidRDefault="00B65891" w:rsidP="00B65891">
      <w:pPr>
        <w:keepLines/>
        <w:tabs>
          <w:tab w:val="left" w:pos="0"/>
        </w:tabs>
        <w:ind w:right="-1"/>
        <w:rPr>
          <w:lang w:eastAsia="x-none"/>
        </w:rPr>
      </w:pPr>
    </w:p>
    <w:p w:rsidR="00B65891" w:rsidRPr="00FA3CE9" w:rsidRDefault="00B65891" w:rsidP="00B65891">
      <w:pPr>
        <w:keepLines/>
        <w:tabs>
          <w:tab w:val="left" w:pos="0"/>
        </w:tabs>
        <w:ind w:right="-1"/>
        <w:rPr>
          <w:lang w:eastAsia="x-none"/>
        </w:rPr>
      </w:pPr>
      <w:r w:rsidRPr="00FA3CE9">
        <w:rPr>
          <w:lang w:eastAsia="x-none"/>
        </w:rPr>
        <w:t>8. Za § 374a se vkládá nový § 374b, který včetně nadpisu zní:</w:t>
      </w:r>
    </w:p>
    <w:p w:rsidR="00B65891" w:rsidRPr="00FA3CE9" w:rsidRDefault="00B65891" w:rsidP="00B65891">
      <w:pPr>
        <w:keepLines/>
        <w:tabs>
          <w:tab w:val="left" w:pos="0"/>
        </w:tabs>
        <w:ind w:right="-1"/>
        <w:rPr>
          <w:lang w:eastAsia="x-none"/>
        </w:rPr>
      </w:pPr>
    </w:p>
    <w:p w:rsidR="00B65891" w:rsidRPr="00FA3CE9" w:rsidRDefault="00B65891" w:rsidP="00B65891">
      <w:pPr>
        <w:keepLines/>
        <w:tabs>
          <w:tab w:val="left" w:pos="0"/>
        </w:tabs>
        <w:ind w:right="-1"/>
        <w:jc w:val="center"/>
        <w:rPr>
          <w:lang w:eastAsia="x-none"/>
        </w:rPr>
      </w:pPr>
      <w:r w:rsidRPr="00FA3CE9">
        <w:rPr>
          <w:lang w:eastAsia="x-none"/>
        </w:rPr>
        <w:t>„§ 374b</w:t>
      </w:r>
    </w:p>
    <w:p w:rsidR="00B65891" w:rsidRPr="00FA3CE9" w:rsidRDefault="00B65891" w:rsidP="00B65891">
      <w:pPr>
        <w:keepLines/>
        <w:tabs>
          <w:tab w:val="left" w:pos="0"/>
        </w:tabs>
        <w:ind w:right="-1"/>
        <w:jc w:val="center"/>
        <w:rPr>
          <w:b/>
          <w:lang w:eastAsia="x-none"/>
        </w:rPr>
      </w:pPr>
    </w:p>
    <w:p w:rsidR="00B65891" w:rsidRPr="00FA3CE9" w:rsidRDefault="00B65891" w:rsidP="00B65891">
      <w:pPr>
        <w:keepLines/>
        <w:tabs>
          <w:tab w:val="left" w:pos="0"/>
        </w:tabs>
        <w:ind w:right="-1"/>
        <w:jc w:val="center"/>
        <w:rPr>
          <w:b/>
          <w:lang w:eastAsia="x-none"/>
        </w:rPr>
      </w:pPr>
      <w:r w:rsidRPr="00FA3CE9">
        <w:rPr>
          <w:b/>
          <w:lang w:eastAsia="x-none"/>
        </w:rPr>
        <w:t>Pohledávky z nepreferovaných dluhových nástrojů</w:t>
      </w:r>
    </w:p>
    <w:p w:rsidR="00B65891" w:rsidRPr="00FA3CE9" w:rsidRDefault="00B65891" w:rsidP="00B65891">
      <w:pPr>
        <w:keepLines/>
        <w:tabs>
          <w:tab w:val="left" w:pos="0"/>
          <w:tab w:val="left" w:pos="709"/>
        </w:tabs>
        <w:ind w:right="-1" w:firstLine="709"/>
        <w:rPr>
          <w:lang w:eastAsia="x-none"/>
        </w:rPr>
      </w:pPr>
    </w:p>
    <w:p w:rsidR="00B65891" w:rsidRPr="00FA3CE9" w:rsidRDefault="00B65891" w:rsidP="00B65891">
      <w:pPr>
        <w:keepLines/>
        <w:tabs>
          <w:tab w:val="left" w:pos="0"/>
          <w:tab w:val="left" w:pos="709"/>
        </w:tabs>
        <w:ind w:right="-1" w:firstLine="709"/>
        <w:rPr>
          <w:lang w:eastAsia="x-none"/>
        </w:rPr>
      </w:pPr>
      <w:r w:rsidRPr="00FA3CE9">
        <w:rPr>
          <w:lang w:eastAsia="x-none"/>
        </w:rPr>
        <w:t>(1) Po pohledávkách ostatních nezajištěných věřitelů jsou uspokojovány pohledávky z dluhového nástroje, pokud takový dluhový nástroj</w:t>
      </w:r>
    </w:p>
    <w:p w:rsidR="00B65891" w:rsidRPr="00FA3CE9" w:rsidRDefault="00B65891" w:rsidP="00B65891">
      <w:pPr>
        <w:keepLines/>
        <w:tabs>
          <w:tab w:val="left" w:pos="0"/>
          <w:tab w:val="left" w:pos="709"/>
        </w:tabs>
        <w:ind w:right="-1" w:firstLine="709"/>
        <w:rPr>
          <w:lang w:eastAsia="x-none"/>
        </w:rPr>
      </w:pPr>
    </w:p>
    <w:p w:rsidR="00B65891" w:rsidRPr="00FA3CE9" w:rsidRDefault="00B65891" w:rsidP="00B65891">
      <w:pPr>
        <w:keepLines/>
        <w:tabs>
          <w:tab w:val="left" w:pos="284"/>
        </w:tabs>
        <w:ind w:right="-1"/>
        <w:rPr>
          <w:lang w:eastAsia="x-none"/>
        </w:rPr>
      </w:pPr>
      <w:r w:rsidRPr="00FA3CE9">
        <w:rPr>
          <w:lang w:eastAsia="x-none"/>
        </w:rPr>
        <w:t>a)</w:t>
      </w:r>
      <w:r w:rsidRPr="00FA3CE9">
        <w:rPr>
          <w:lang w:eastAsia="x-none"/>
        </w:rPr>
        <w:tab/>
        <w:t>má původní smluvní dobu splatnosti nejméně jeden rok,</w:t>
      </w:r>
    </w:p>
    <w:p w:rsidR="00B65891" w:rsidRPr="00FA3CE9" w:rsidRDefault="00B65891" w:rsidP="00B65891">
      <w:pPr>
        <w:keepLines/>
        <w:tabs>
          <w:tab w:val="left" w:pos="284"/>
        </w:tabs>
        <w:ind w:right="-1"/>
        <w:rPr>
          <w:lang w:eastAsia="x-none"/>
        </w:rPr>
      </w:pPr>
      <w:r w:rsidRPr="00FA3CE9">
        <w:rPr>
          <w:lang w:eastAsia="x-none"/>
        </w:rPr>
        <w:t>b)</w:t>
      </w:r>
      <w:r w:rsidRPr="00FA3CE9">
        <w:rPr>
          <w:lang w:eastAsia="x-none"/>
        </w:rPr>
        <w:tab/>
        <w:t>neobsahuje vložený derivát a sám není derivátem a</w:t>
      </w:r>
    </w:p>
    <w:p w:rsidR="00B65891" w:rsidRPr="00FA3CE9" w:rsidRDefault="00B65891" w:rsidP="00B65891">
      <w:pPr>
        <w:keepLines/>
        <w:tabs>
          <w:tab w:val="left" w:pos="284"/>
        </w:tabs>
        <w:ind w:right="-1"/>
        <w:rPr>
          <w:lang w:eastAsia="x-none"/>
        </w:rPr>
      </w:pPr>
      <w:r w:rsidRPr="00FA3CE9">
        <w:rPr>
          <w:lang w:eastAsia="x-none"/>
        </w:rPr>
        <w:t>c)</w:t>
      </w:r>
      <w:r w:rsidRPr="00FA3CE9">
        <w:rPr>
          <w:lang w:eastAsia="x-none"/>
        </w:rPr>
        <w:tab/>
        <w:t>smluvní dokumentace a prospekt cenného papíru, pokud byl vyhotoven, uvádějí pořadí uspokojení pohledávky podle tohoto odstavce.</w:t>
      </w:r>
    </w:p>
    <w:p w:rsidR="00B65891" w:rsidRPr="00FA3CE9" w:rsidRDefault="00B65891" w:rsidP="00B65891">
      <w:pPr>
        <w:keepLines/>
        <w:tabs>
          <w:tab w:val="left" w:pos="0"/>
          <w:tab w:val="left" w:pos="709"/>
        </w:tabs>
        <w:ind w:right="-1" w:firstLine="709"/>
        <w:rPr>
          <w:lang w:eastAsia="x-none"/>
        </w:rPr>
      </w:pPr>
    </w:p>
    <w:p w:rsidR="00B65891" w:rsidRPr="00FA3CE9" w:rsidRDefault="00B65891" w:rsidP="00B65891">
      <w:pPr>
        <w:keepLines/>
        <w:tabs>
          <w:tab w:val="left" w:pos="0"/>
          <w:tab w:val="left" w:pos="709"/>
        </w:tabs>
        <w:ind w:right="-1" w:firstLine="709"/>
        <w:rPr>
          <w:lang w:eastAsia="x-none"/>
        </w:rPr>
      </w:pPr>
      <w:r w:rsidRPr="00FA3CE9">
        <w:rPr>
          <w:lang w:eastAsia="x-none"/>
        </w:rPr>
        <w:lastRenderedPageBreak/>
        <w:t>(2) Dluhový nástroj se pro účely odstavce 1 nepovažuje za derivát ani za dluhový nástroj obsahující vložený derivát jen proto, že jako základ pro výpočet úroku je použita široce používaná referenční úroková sazba, nebo jen proto, že dluhový nástroj je vydán v jiné než domácí měně emitenta a zároveň jsou jmenovitá hodnota nebo jistina, splátka a úrok určeny ve stejné měně.</w:t>
      </w:r>
    </w:p>
    <w:p w:rsidR="00B65891" w:rsidRPr="00FA3CE9" w:rsidRDefault="00B65891" w:rsidP="00B65891">
      <w:pPr>
        <w:keepLines/>
        <w:tabs>
          <w:tab w:val="left" w:pos="0"/>
          <w:tab w:val="left" w:pos="709"/>
        </w:tabs>
        <w:ind w:right="-1" w:firstLine="709"/>
        <w:rPr>
          <w:lang w:eastAsia="x-none"/>
        </w:rPr>
      </w:pPr>
    </w:p>
    <w:p w:rsidR="00B65891" w:rsidRPr="00FA3CE9" w:rsidRDefault="00B65891" w:rsidP="00B65891">
      <w:pPr>
        <w:keepLines/>
        <w:tabs>
          <w:tab w:val="left" w:pos="0"/>
          <w:tab w:val="left" w:pos="709"/>
        </w:tabs>
        <w:ind w:right="-1" w:firstLine="709"/>
        <w:rPr>
          <w:lang w:eastAsia="x-none"/>
        </w:rPr>
      </w:pPr>
      <w:r w:rsidRPr="00FA3CE9">
        <w:rPr>
          <w:lang w:eastAsia="x-none"/>
        </w:rPr>
        <w:t>(3) Pro účely tohoto paragrafu se dluhovým nástrojem rozumí dluhopis a jiná forma převoditelného dluhu a nástroj vytvářející nebo uznávající dluh.“.“.</w:t>
      </w:r>
    </w:p>
    <w:p w:rsidR="00B65891" w:rsidRPr="00FA3CE9" w:rsidRDefault="00B65891" w:rsidP="00B65891">
      <w:pPr>
        <w:keepLines/>
        <w:tabs>
          <w:tab w:val="left" w:pos="0"/>
          <w:tab w:val="left" w:pos="709"/>
        </w:tabs>
        <w:ind w:right="-1" w:firstLine="709"/>
        <w:rPr>
          <w:lang w:eastAsia="x-none"/>
        </w:rPr>
      </w:pPr>
    </w:p>
    <w:p w:rsidR="00B65891" w:rsidRPr="001F318A" w:rsidRDefault="00B65891" w:rsidP="00B65891">
      <w:pPr>
        <w:keepLines/>
        <w:tabs>
          <w:tab w:val="left" w:pos="0"/>
        </w:tabs>
        <w:ind w:right="-1"/>
        <w:rPr>
          <w:lang w:eastAsia="x-none"/>
        </w:rPr>
      </w:pPr>
      <w:r w:rsidRPr="001F318A">
        <w:rPr>
          <w:lang w:eastAsia="x-none"/>
        </w:rPr>
        <w:t>Dosavadní body 6 a 7 označit jako body 9 a 10.</w:t>
      </w:r>
    </w:p>
    <w:p w:rsidR="00B65891" w:rsidRDefault="00B65891" w:rsidP="00B65891">
      <w:pPr>
        <w:keepLines/>
        <w:tabs>
          <w:tab w:val="left" w:pos="0"/>
        </w:tabs>
        <w:ind w:right="-1"/>
        <w:rPr>
          <w:b/>
          <w:u w:val="single"/>
          <w:lang w:eastAsia="x-none"/>
        </w:rPr>
      </w:pPr>
    </w:p>
    <w:p w:rsidR="00B65891" w:rsidRPr="00FA3CE9" w:rsidRDefault="00B65891" w:rsidP="00B65891">
      <w:pPr>
        <w:keepLines/>
        <w:tabs>
          <w:tab w:val="left" w:pos="0"/>
        </w:tabs>
        <w:ind w:right="-1"/>
        <w:rPr>
          <w:b/>
          <w:u w:val="single"/>
          <w:lang w:eastAsia="x-none"/>
        </w:rPr>
      </w:pPr>
    </w:p>
    <w:p w:rsidR="00B65891" w:rsidRPr="00FA3CE9" w:rsidRDefault="00B65891" w:rsidP="00B65891">
      <w:pPr>
        <w:keepLines/>
        <w:tabs>
          <w:tab w:val="left" w:pos="0"/>
        </w:tabs>
        <w:ind w:right="-1"/>
        <w:rPr>
          <w:b/>
          <w:u w:val="single"/>
          <w:lang w:eastAsia="x-none"/>
        </w:rPr>
      </w:pPr>
      <w:r w:rsidRPr="001F318A">
        <w:rPr>
          <w:b/>
          <w:lang w:eastAsia="x-none"/>
        </w:rPr>
        <w:t>IV.</w:t>
      </w:r>
      <w:r w:rsidRPr="00FA3CE9">
        <w:rPr>
          <w:b/>
          <w:u w:val="single"/>
          <w:lang w:eastAsia="x-none"/>
        </w:rPr>
        <w:t xml:space="preserve"> K části osmé, dosavadní čl. XI (nově čl. XII):</w:t>
      </w:r>
    </w:p>
    <w:p w:rsidR="00B65891" w:rsidRPr="00FA3CE9" w:rsidRDefault="00B65891" w:rsidP="00B65891">
      <w:pPr>
        <w:keepLines/>
        <w:tabs>
          <w:tab w:val="left" w:pos="0"/>
        </w:tabs>
        <w:ind w:right="-1"/>
        <w:rPr>
          <w:b/>
          <w:u w:val="single"/>
          <w:lang w:eastAsia="x-none"/>
        </w:rPr>
      </w:pPr>
    </w:p>
    <w:p w:rsidR="00B65891" w:rsidRPr="00FA3CE9" w:rsidRDefault="00B65891" w:rsidP="00B65891">
      <w:pPr>
        <w:keepLines/>
        <w:tabs>
          <w:tab w:val="left" w:pos="0"/>
        </w:tabs>
        <w:ind w:right="-1"/>
        <w:rPr>
          <w:lang w:eastAsia="x-none"/>
        </w:rPr>
      </w:pPr>
      <w:r>
        <w:rPr>
          <w:lang w:eastAsia="x-none"/>
        </w:rPr>
        <w:t>Doplňuje se nový bod 3, který zní</w:t>
      </w:r>
      <w:r w:rsidRPr="00FA3CE9">
        <w:rPr>
          <w:lang w:eastAsia="x-none"/>
        </w:rPr>
        <w:t>:</w:t>
      </w:r>
    </w:p>
    <w:p w:rsidR="00B65891" w:rsidRPr="00FA3CE9" w:rsidRDefault="00B65891" w:rsidP="00B65891">
      <w:pPr>
        <w:keepLines/>
        <w:tabs>
          <w:tab w:val="left" w:pos="0"/>
        </w:tabs>
        <w:ind w:right="-1"/>
        <w:rPr>
          <w:lang w:eastAsia="x-none"/>
        </w:rPr>
      </w:pPr>
    </w:p>
    <w:p w:rsidR="00B65891" w:rsidRPr="00FA3CE9" w:rsidRDefault="00B65891" w:rsidP="00B65891">
      <w:pPr>
        <w:keepLines/>
        <w:tabs>
          <w:tab w:val="left" w:pos="426"/>
        </w:tabs>
        <w:ind w:left="426" w:right="-1" w:hanging="426"/>
        <w:rPr>
          <w:lang w:eastAsia="x-none"/>
        </w:rPr>
      </w:pPr>
      <w:r w:rsidRPr="00FA3CE9">
        <w:rPr>
          <w:lang w:eastAsia="x-none"/>
        </w:rPr>
        <w:t>„3. Pro stanovení pořadí uspokojování nezajištěných pohledávek z dluhových nástrojů vydaných osobou, která je povinnou osobou podle zákona upravujícího ozdravné postupy a řešení krize na finančním trhu, přede dnem nabytí účinnosti tohoto zákona, se použijí dosavadní právní předpisy.“.</w:t>
      </w:r>
    </w:p>
    <w:p w:rsidR="00B65891" w:rsidRPr="00FA3CE9" w:rsidRDefault="00B65891" w:rsidP="00B65891">
      <w:pPr>
        <w:keepLines/>
        <w:tabs>
          <w:tab w:val="left" w:pos="0"/>
        </w:tabs>
        <w:ind w:right="-1"/>
        <w:rPr>
          <w:b/>
          <w:u w:val="single"/>
          <w:lang w:eastAsia="x-none"/>
        </w:rPr>
      </w:pPr>
    </w:p>
    <w:p w:rsidR="00B65891" w:rsidRPr="00FA3CE9" w:rsidRDefault="00B65891" w:rsidP="00B65891">
      <w:pPr>
        <w:keepLines/>
        <w:tabs>
          <w:tab w:val="left" w:pos="0"/>
        </w:tabs>
        <w:ind w:right="-1"/>
        <w:rPr>
          <w:b/>
          <w:u w:val="single"/>
          <w:lang w:eastAsia="x-none"/>
        </w:rPr>
      </w:pPr>
      <w:r w:rsidRPr="0002371F">
        <w:rPr>
          <w:b/>
          <w:lang w:eastAsia="x-none"/>
        </w:rPr>
        <w:t>V.</w:t>
      </w:r>
      <w:r w:rsidRPr="004D7A20">
        <w:rPr>
          <w:b/>
          <w:lang w:eastAsia="x-none"/>
        </w:rPr>
        <w:t xml:space="preserve"> </w:t>
      </w:r>
      <w:r w:rsidRPr="00FA3CE9">
        <w:rPr>
          <w:b/>
          <w:u w:val="single"/>
          <w:lang w:eastAsia="x-none"/>
        </w:rPr>
        <w:t xml:space="preserve">Za část devátou </w:t>
      </w:r>
      <w:r>
        <w:rPr>
          <w:b/>
          <w:u w:val="single"/>
          <w:lang w:eastAsia="x-none"/>
        </w:rPr>
        <w:t xml:space="preserve">se vkládá nová část desátá </w:t>
      </w:r>
      <w:r w:rsidRPr="00FA3CE9">
        <w:rPr>
          <w:b/>
          <w:u w:val="single"/>
          <w:lang w:eastAsia="x-none"/>
        </w:rPr>
        <w:t>(čl. XIV a XV)</w:t>
      </w:r>
      <w:r>
        <w:rPr>
          <w:b/>
          <w:u w:val="single"/>
          <w:lang w:eastAsia="x-none"/>
        </w:rPr>
        <w:t>,</w:t>
      </w:r>
      <w:r w:rsidRPr="0002371F">
        <w:rPr>
          <w:b/>
          <w:u w:val="single"/>
          <w:lang w:eastAsia="x-none"/>
        </w:rPr>
        <w:t xml:space="preserve"> </w:t>
      </w:r>
      <w:r>
        <w:rPr>
          <w:b/>
          <w:u w:val="single"/>
          <w:lang w:eastAsia="x-none"/>
        </w:rPr>
        <w:t>která zní</w:t>
      </w:r>
      <w:r w:rsidRPr="00FA3CE9">
        <w:rPr>
          <w:b/>
          <w:u w:val="single"/>
          <w:lang w:eastAsia="x-none"/>
        </w:rPr>
        <w:t>:</w:t>
      </w:r>
    </w:p>
    <w:p w:rsidR="00B65891" w:rsidRPr="00FA3CE9" w:rsidRDefault="00B65891" w:rsidP="00B65891">
      <w:pPr>
        <w:keepLines/>
        <w:tabs>
          <w:tab w:val="left" w:pos="0"/>
        </w:tabs>
        <w:ind w:right="-1"/>
        <w:rPr>
          <w:b/>
          <w:lang w:eastAsia="x-none"/>
        </w:rPr>
      </w:pPr>
    </w:p>
    <w:p w:rsidR="00B65891" w:rsidRPr="00FA3CE9" w:rsidRDefault="00B65891" w:rsidP="00B65891">
      <w:pPr>
        <w:keepLines/>
        <w:jc w:val="center"/>
      </w:pPr>
      <w:r w:rsidRPr="00FA3CE9">
        <w:t>„ČÁST DESÁTÁ</w:t>
      </w:r>
    </w:p>
    <w:p w:rsidR="00B65891" w:rsidRPr="00FA3CE9" w:rsidRDefault="00B65891" w:rsidP="00B65891">
      <w:pPr>
        <w:keepLines/>
        <w:jc w:val="center"/>
      </w:pPr>
    </w:p>
    <w:p w:rsidR="00B65891" w:rsidRPr="00FA3CE9" w:rsidRDefault="00B65891" w:rsidP="00B65891">
      <w:pPr>
        <w:keepLines/>
        <w:jc w:val="center"/>
        <w:rPr>
          <w:b/>
        </w:rPr>
      </w:pPr>
      <w:r w:rsidRPr="00FA3CE9">
        <w:rPr>
          <w:b/>
        </w:rPr>
        <w:t>Změna zákona o pojišťovnictví</w:t>
      </w:r>
    </w:p>
    <w:p w:rsidR="00B65891" w:rsidRPr="00FA3CE9" w:rsidRDefault="00B65891" w:rsidP="00B65891">
      <w:pPr>
        <w:keepLines/>
        <w:jc w:val="center"/>
        <w:rPr>
          <w:b/>
        </w:rPr>
      </w:pPr>
    </w:p>
    <w:p w:rsidR="00B65891" w:rsidRPr="00FA3CE9" w:rsidRDefault="00B65891" w:rsidP="00B65891">
      <w:pPr>
        <w:keepLines/>
        <w:jc w:val="center"/>
      </w:pPr>
      <w:r w:rsidRPr="00FA3CE9">
        <w:t>Čl. XIV</w:t>
      </w:r>
    </w:p>
    <w:p w:rsidR="00B65891" w:rsidRPr="00FA3CE9" w:rsidRDefault="00B65891" w:rsidP="00B65891">
      <w:pPr>
        <w:keepLines/>
        <w:jc w:val="center"/>
      </w:pPr>
    </w:p>
    <w:p w:rsidR="00B65891" w:rsidRPr="00FA3CE9" w:rsidRDefault="00B65891" w:rsidP="00B65891">
      <w:pPr>
        <w:keepLines/>
        <w:ind w:firstLine="284"/>
      </w:pPr>
      <w:r w:rsidRPr="00FA3CE9">
        <w:t>Za § 95b zákona č. 277/2009 Sb., o pojišťovnictví, ve znění zákona č. 304/2016 Sb., se vkládá nový § 95c, který včetně nadpisu zní:</w:t>
      </w:r>
    </w:p>
    <w:p w:rsidR="00B65891" w:rsidRPr="00FA3CE9" w:rsidRDefault="00B65891" w:rsidP="00B65891">
      <w:pPr>
        <w:keepLines/>
        <w:jc w:val="center"/>
      </w:pPr>
    </w:p>
    <w:p w:rsidR="00B65891" w:rsidRPr="00FA3CE9" w:rsidRDefault="00B65891" w:rsidP="00B65891">
      <w:pPr>
        <w:keepLines/>
        <w:jc w:val="center"/>
      </w:pPr>
      <w:r w:rsidRPr="00FA3CE9">
        <w:t>„§ 95c</w:t>
      </w:r>
    </w:p>
    <w:p w:rsidR="00B65891" w:rsidRPr="00FA3CE9" w:rsidRDefault="00B65891" w:rsidP="00B65891">
      <w:pPr>
        <w:keepLines/>
        <w:jc w:val="center"/>
      </w:pPr>
    </w:p>
    <w:p w:rsidR="00B65891" w:rsidRPr="00FA3CE9" w:rsidRDefault="00B65891" w:rsidP="00B65891">
      <w:pPr>
        <w:keepLines/>
        <w:jc w:val="center"/>
        <w:rPr>
          <w:b/>
        </w:rPr>
      </w:pPr>
      <w:r w:rsidRPr="00FA3CE9">
        <w:rPr>
          <w:b/>
        </w:rPr>
        <w:t>Dodatečný kapitálový požadavek</w:t>
      </w:r>
    </w:p>
    <w:p w:rsidR="00B65891" w:rsidRPr="00FA3CE9" w:rsidRDefault="00B65891" w:rsidP="00B65891">
      <w:pPr>
        <w:keepLines/>
        <w:jc w:val="center"/>
      </w:pPr>
    </w:p>
    <w:p w:rsidR="00B65891" w:rsidRPr="00FA3CE9" w:rsidRDefault="00B65891" w:rsidP="00B65891">
      <w:pPr>
        <w:keepLines/>
        <w:ind w:firstLine="284"/>
      </w:pPr>
      <w:r w:rsidRPr="00FA3CE9">
        <w:t xml:space="preserve">Zjistí-li Česká národní banka, že tuzemská pojišťovna, tuzemská zajišťovna, pojišťovna z třetího státu nebo zajišťovna z třetího státu jako institucionální investor neplní požadavky týkající se obchodovatelných cenných papírů a jiných finančních nástrojů, které vznikly </w:t>
      </w:r>
      <w:proofErr w:type="spellStart"/>
      <w:r w:rsidRPr="00FA3CE9">
        <w:t>sekuritizací</w:t>
      </w:r>
      <w:proofErr w:type="spellEnd"/>
      <w:r w:rsidRPr="00FA3CE9">
        <w:t>, může uložit této pojišťovně nebo zajišťovně přiměřený dodatečný kapitálový požadavek, a to za podmínek stanovených přímo použitelným právním předpisem EU. Tím není dotčeno ustanovení § 74 odst. 2.“.</w:t>
      </w:r>
    </w:p>
    <w:p w:rsidR="00B65891" w:rsidRDefault="00B65891" w:rsidP="00B65891">
      <w:pPr>
        <w:keepLines/>
        <w:jc w:val="center"/>
      </w:pPr>
    </w:p>
    <w:p w:rsidR="00B65891" w:rsidRDefault="00B65891" w:rsidP="00B65891">
      <w:pPr>
        <w:keepLines/>
        <w:jc w:val="center"/>
      </w:pPr>
    </w:p>
    <w:p w:rsidR="00572236" w:rsidRDefault="00572236" w:rsidP="00B65891">
      <w:pPr>
        <w:keepLines/>
        <w:jc w:val="center"/>
      </w:pPr>
    </w:p>
    <w:p w:rsidR="00572236" w:rsidRDefault="00572236" w:rsidP="00B65891">
      <w:pPr>
        <w:keepLines/>
        <w:jc w:val="center"/>
      </w:pPr>
    </w:p>
    <w:p w:rsidR="00572236" w:rsidRDefault="00572236" w:rsidP="00B65891">
      <w:pPr>
        <w:keepLines/>
        <w:jc w:val="center"/>
      </w:pPr>
    </w:p>
    <w:p w:rsidR="00572236" w:rsidRDefault="00572236" w:rsidP="00B65891">
      <w:pPr>
        <w:keepLines/>
        <w:jc w:val="center"/>
      </w:pPr>
    </w:p>
    <w:p w:rsidR="00572236" w:rsidRDefault="00572236" w:rsidP="00B65891">
      <w:pPr>
        <w:keepLines/>
        <w:jc w:val="center"/>
      </w:pPr>
    </w:p>
    <w:p w:rsidR="00572236" w:rsidRPr="00FA3CE9" w:rsidRDefault="00572236" w:rsidP="00B65891">
      <w:pPr>
        <w:keepLines/>
        <w:jc w:val="center"/>
      </w:pPr>
    </w:p>
    <w:p w:rsidR="00B65891" w:rsidRPr="00FA3CE9" w:rsidRDefault="00B65891" w:rsidP="00B65891">
      <w:pPr>
        <w:keepLines/>
        <w:jc w:val="center"/>
      </w:pPr>
      <w:r w:rsidRPr="00FA3CE9">
        <w:lastRenderedPageBreak/>
        <w:t>Čl. XV</w:t>
      </w:r>
    </w:p>
    <w:p w:rsidR="00B65891" w:rsidRPr="00FA3CE9" w:rsidRDefault="00B65891" w:rsidP="00B65891">
      <w:pPr>
        <w:keepLines/>
        <w:jc w:val="center"/>
      </w:pPr>
    </w:p>
    <w:p w:rsidR="00B65891" w:rsidRPr="00FA3CE9" w:rsidRDefault="00B65891" w:rsidP="00B65891">
      <w:pPr>
        <w:keepLines/>
        <w:jc w:val="center"/>
        <w:rPr>
          <w:b/>
        </w:rPr>
      </w:pPr>
      <w:r w:rsidRPr="00FA3CE9">
        <w:rPr>
          <w:b/>
        </w:rPr>
        <w:t>Přechodné ustanovení</w:t>
      </w:r>
    </w:p>
    <w:p w:rsidR="00B65891" w:rsidRPr="00FA3CE9" w:rsidRDefault="00B65891" w:rsidP="00B65891">
      <w:pPr>
        <w:keepLines/>
        <w:jc w:val="center"/>
      </w:pPr>
    </w:p>
    <w:p w:rsidR="00B65891" w:rsidRPr="00FA3CE9" w:rsidRDefault="00B65891" w:rsidP="00B65891">
      <w:pPr>
        <w:keepLines/>
        <w:ind w:firstLine="284"/>
      </w:pPr>
      <w:r w:rsidRPr="00FA3CE9">
        <w:t>Tuzemská pojišťovna, tuzemská zajišťovna, pojišťovna z třetího státu nebo zajišťovna z třetího státu postupuje podle čl. II bodu 14 zákona č. 304/2016 Sb., kterým se mění zákon č. 277/2009 Sb., o pojišťovnictví, ve znění pozdějších předpisů, a další související zákony, do 31. prosince 2018.“.</w:t>
      </w:r>
    </w:p>
    <w:p w:rsidR="00B65891" w:rsidRPr="00FA3CE9" w:rsidRDefault="00B65891" w:rsidP="00B65891">
      <w:pPr>
        <w:keepLines/>
        <w:rPr>
          <w:b/>
        </w:rPr>
      </w:pPr>
    </w:p>
    <w:p w:rsidR="00B65891" w:rsidRPr="002F623A" w:rsidRDefault="00B65891" w:rsidP="00B65891">
      <w:pPr>
        <w:keepLines/>
        <w:tabs>
          <w:tab w:val="left" w:pos="0"/>
        </w:tabs>
        <w:ind w:right="-1"/>
        <w:rPr>
          <w:lang w:eastAsia="x-none"/>
        </w:rPr>
      </w:pPr>
      <w:r w:rsidRPr="002F623A">
        <w:rPr>
          <w:lang w:eastAsia="x-none"/>
        </w:rPr>
        <w:t>Dosavadní část desátou označit jako část jedenáctou a dosavadní čl. XIII (nově čl. XIV) označit jako čl. XVI.</w:t>
      </w:r>
    </w:p>
    <w:p w:rsidR="00B65891" w:rsidRDefault="00B65891" w:rsidP="00B65891">
      <w:pPr>
        <w:keepLines/>
        <w:tabs>
          <w:tab w:val="left" w:pos="0"/>
        </w:tabs>
        <w:ind w:right="-1"/>
        <w:rPr>
          <w:b/>
          <w:lang w:eastAsia="x-none"/>
        </w:rPr>
      </w:pPr>
    </w:p>
    <w:p w:rsidR="00B65891" w:rsidRPr="00FA3CE9" w:rsidRDefault="00B65891" w:rsidP="00B65891">
      <w:pPr>
        <w:keepLines/>
        <w:tabs>
          <w:tab w:val="left" w:pos="0"/>
        </w:tabs>
        <w:ind w:right="-1"/>
        <w:rPr>
          <w:b/>
          <w:lang w:eastAsia="x-none"/>
        </w:rPr>
      </w:pPr>
    </w:p>
    <w:p w:rsidR="00B65891" w:rsidRPr="00FA3CE9" w:rsidRDefault="00B65891" w:rsidP="00B65891">
      <w:pPr>
        <w:keepLines/>
        <w:tabs>
          <w:tab w:val="left" w:pos="0"/>
        </w:tabs>
        <w:ind w:right="-1"/>
        <w:rPr>
          <w:b/>
          <w:u w:val="single"/>
          <w:lang w:eastAsia="x-none"/>
        </w:rPr>
      </w:pPr>
      <w:r w:rsidRPr="00AB7C73">
        <w:rPr>
          <w:b/>
          <w:lang w:eastAsia="x-none"/>
        </w:rPr>
        <w:t>VI.</w:t>
      </w:r>
      <w:r>
        <w:rPr>
          <w:b/>
          <w:u w:val="single"/>
          <w:lang w:eastAsia="x-none"/>
        </w:rPr>
        <w:t xml:space="preserve">  V</w:t>
      </w:r>
      <w:r w:rsidRPr="00FA3CE9">
        <w:rPr>
          <w:b/>
          <w:u w:val="single"/>
          <w:lang w:eastAsia="x-none"/>
        </w:rPr>
        <w:t xml:space="preserve"> dosavadní části desáté (nově část</w:t>
      </w:r>
      <w:r>
        <w:rPr>
          <w:b/>
          <w:u w:val="single"/>
          <w:lang w:eastAsia="x-none"/>
        </w:rPr>
        <w:t>i jedenácté), v dosavadním</w:t>
      </w:r>
      <w:r w:rsidRPr="00FA3CE9">
        <w:rPr>
          <w:b/>
          <w:u w:val="single"/>
          <w:lang w:eastAsia="x-none"/>
        </w:rPr>
        <w:t xml:space="preserve"> čl. XIII (nově </w:t>
      </w:r>
      <w:r>
        <w:rPr>
          <w:b/>
          <w:u w:val="single"/>
          <w:lang w:eastAsia="x-none"/>
        </w:rPr>
        <w:t>v čl. XVI)</w:t>
      </w:r>
    </w:p>
    <w:p w:rsidR="00B65891" w:rsidRPr="00FA3CE9" w:rsidRDefault="00B65891" w:rsidP="00B65891">
      <w:pPr>
        <w:keepLines/>
        <w:rPr>
          <w:lang w:eastAsia="x-none"/>
        </w:rPr>
      </w:pPr>
      <w:r>
        <w:rPr>
          <w:lang w:eastAsia="x-none"/>
        </w:rPr>
        <w:t>se s</w:t>
      </w:r>
      <w:r w:rsidRPr="00FA3CE9">
        <w:rPr>
          <w:lang w:eastAsia="x-none"/>
        </w:rPr>
        <w:t>lova „</w:t>
      </w:r>
      <w:r w:rsidRPr="00FA3CE9">
        <w:t>prvním dnem druhého měsíce následují</w:t>
      </w:r>
      <w:r>
        <w:t>cího po jeho vyhlášení“ nahrazují</w:t>
      </w:r>
      <w:r w:rsidRPr="00FA3CE9">
        <w:t xml:space="preserve"> slovy „dnem 31. prosince 2018.“.</w:t>
      </w:r>
    </w:p>
    <w:p w:rsidR="00B65891" w:rsidRDefault="00B65891" w:rsidP="00B65891">
      <w:pPr>
        <w:keepLines/>
        <w:tabs>
          <w:tab w:val="left" w:pos="0"/>
        </w:tabs>
        <w:ind w:right="-1"/>
        <w:rPr>
          <w:lang w:eastAsia="x-none"/>
        </w:rPr>
      </w:pPr>
    </w:p>
    <w:p w:rsidR="00B65891" w:rsidRDefault="00B65891" w:rsidP="00B65891">
      <w:pPr>
        <w:keepNext/>
        <w:keepLines/>
        <w:tabs>
          <w:tab w:val="left" w:pos="0"/>
        </w:tabs>
        <w:ind w:right="-1"/>
        <w:rPr>
          <w:lang w:eastAsia="x-none"/>
        </w:rPr>
      </w:pPr>
    </w:p>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022F25">
        <w:rPr>
          <w:b/>
          <w:sz w:val="28"/>
          <w:szCs w:val="28"/>
        </w:rPr>
        <w:t>22. května 2018</w:t>
      </w:r>
    </w:p>
    <w:p w:rsidR="00A92050" w:rsidRPr="00A92050" w:rsidRDefault="00A92050" w:rsidP="00A92050"/>
    <w:p w:rsidR="00A92050" w:rsidRPr="00A92050" w:rsidRDefault="00A92050" w:rsidP="00A92050"/>
    <w:p w:rsidR="00022F25" w:rsidRPr="00184F93" w:rsidRDefault="00022F25" w:rsidP="00022F25">
      <w:pPr>
        <w:keepNext/>
        <w:keepLines/>
        <w:tabs>
          <w:tab w:val="left" w:pos="0"/>
        </w:tabs>
        <w:ind w:right="-1"/>
        <w:rPr>
          <w:lang w:eastAsia="x-none"/>
        </w:rPr>
      </w:pPr>
    </w:p>
    <w:p w:rsidR="00A92050" w:rsidRPr="00BA5B3F" w:rsidRDefault="00BA5B3F" w:rsidP="00A92050">
      <w:pPr>
        <w:rPr>
          <w:b/>
        </w:rPr>
      </w:pPr>
      <w:r>
        <w:rPr>
          <w:b/>
        </w:rPr>
        <w:t>B</w:t>
      </w:r>
      <w:r>
        <w:rPr>
          <w:b/>
        </w:rPr>
        <w:tab/>
      </w:r>
      <w:r w:rsidR="00DF4131" w:rsidRPr="00BA5B3F">
        <w:rPr>
          <w:b/>
        </w:rPr>
        <w:t xml:space="preserve">Poslankyně </w:t>
      </w:r>
      <w:r w:rsidRPr="00BA5B3F">
        <w:rPr>
          <w:b/>
        </w:rPr>
        <w:t xml:space="preserve">Miloslava Vostrá </w:t>
      </w:r>
    </w:p>
    <w:p w:rsidR="00A92050" w:rsidRDefault="00184F93" w:rsidP="00A92050">
      <w:r>
        <w:t>(SD 777)</w:t>
      </w:r>
    </w:p>
    <w:p w:rsidR="00184F93" w:rsidRDefault="00184F93" w:rsidP="00A92050"/>
    <w:p w:rsidR="00184F93" w:rsidRDefault="00184F93" w:rsidP="00184F93">
      <w:r w:rsidRPr="00184F93">
        <w:t>Za část devátou se vkládá nová část desátá, která včetně nadpisu zní:</w:t>
      </w:r>
    </w:p>
    <w:p w:rsidR="00184F93" w:rsidRPr="00184F93" w:rsidRDefault="00184F93" w:rsidP="00184F93"/>
    <w:p w:rsidR="00184F93" w:rsidRPr="00184F93" w:rsidRDefault="00184F93" w:rsidP="00184F93">
      <w:pPr>
        <w:jc w:val="center"/>
        <w:rPr>
          <w:b/>
        </w:rPr>
      </w:pPr>
      <w:r w:rsidRPr="00184F93">
        <w:rPr>
          <w:b/>
        </w:rPr>
        <w:t>„ČÁST DESÁTÁ</w:t>
      </w:r>
    </w:p>
    <w:p w:rsidR="00184F93" w:rsidRPr="00184F93" w:rsidRDefault="00184F93" w:rsidP="00184F93">
      <w:pPr>
        <w:jc w:val="center"/>
        <w:rPr>
          <w:b/>
        </w:rPr>
      </w:pPr>
      <w:r w:rsidRPr="00184F93">
        <w:rPr>
          <w:b/>
        </w:rPr>
        <w:t>Změna zákona o spotřebitelském úvěru</w:t>
      </w:r>
    </w:p>
    <w:p w:rsidR="00184F93" w:rsidRPr="00184F93" w:rsidRDefault="00184F93" w:rsidP="00184F93">
      <w:pPr>
        <w:jc w:val="center"/>
      </w:pPr>
      <w:r w:rsidRPr="00184F93">
        <w:t>Čl. XIII</w:t>
      </w:r>
    </w:p>
    <w:p w:rsidR="00184F93" w:rsidRPr="00184F93" w:rsidRDefault="00184F93" w:rsidP="00184F93">
      <w:r w:rsidRPr="00184F93">
        <w:t>Zákon č. 257/2016 Sb., o spotřebitelském úvěru, ve znění zákona č. 183/2017 Sb. a zákona č. 303/2017 Sb., se mění takto:</w:t>
      </w:r>
    </w:p>
    <w:p w:rsidR="00184F93" w:rsidRPr="00184F93" w:rsidRDefault="00184F93" w:rsidP="00184F93">
      <w:pPr>
        <w:pStyle w:val="Odstavecseseznamem"/>
        <w:numPr>
          <w:ilvl w:val="0"/>
          <w:numId w:val="7"/>
        </w:numPr>
        <w:suppressAutoHyphens w:val="0"/>
        <w:spacing w:after="0" w:line="240" w:lineRule="auto"/>
        <w:jc w:val="both"/>
        <w:rPr>
          <w:rFonts w:ascii="Times New Roman" w:hAnsi="Times New Roman" w:cs="Times New Roman"/>
          <w:sz w:val="24"/>
          <w:szCs w:val="24"/>
        </w:rPr>
      </w:pPr>
      <w:r w:rsidRPr="00184F93">
        <w:rPr>
          <w:rFonts w:ascii="Times New Roman" w:hAnsi="Times New Roman" w:cs="Times New Roman"/>
          <w:sz w:val="24"/>
          <w:szCs w:val="24"/>
        </w:rPr>
        <w:t>V § 92 odst. 1 písm. k) se za slova „pohyblivé sazby“ vkládají slova „a případně název referenční hodnoty</w:t>
      </w:r>
      <w:r w:rsidRPr="00184F93">
        <w:rPr>
          <w:rFonts w:ascii="Times New Roman" w:hAnsi="Times New Roman" w:cs="Times New Roman"/>
          <w:sz w:val="24"/>
          <w:szCs w:val="24"/>
          <w:vertAlign w:val="superscript"/>
        </w:rPr>
        <w:t>5)</w:t>
      </w:r>
      <w:r w:rsidRPr="00184F93">
        <w:rPr>
          <w:rFonts w:ascii="Times New Roman" w:hAnsi="Times New Roman" w:cs="Times New Roman"/>
          <w:sz w:val="24"/>
          <w:szCs w:val="24"/>
        </w:rPr>
        <w:t>, na níž má být výše zápůjční úrokové sazby závislá, a jméno jejího administrátora“.</w:t>
      </w:r>
    </w:p>
    <w:p w:rsidR="00184F93" w:rsidRPr="00184F93" w:rsidRDefault="00184F93" w:rsidP="00184F93">
      <w:pPr>
        <w:spacing w:before="120"/>
        <w:ind w:left="720"/>
      </w:pPr>
      <w:r w:rsidRPr="00184F93">
        <w:t>Poznámka pod čarou č. 5 zní:</w:t>
      </w:r>
    </w:p>
    <w:p w:rsidR="00184F93" w:rsidRPr="00184F93" w:rsidRDefault="00184F93" w:rsidP="00184F93">
      <w:pPr>
        <w:ind w:left="720"/>
      </w:pPr>
      <w:r w:rsidRPr="00184F93">
        <w:rPr>
          <w:i/>
        </w:rPr>
        <w:t>„</w:t>
      </w:r>
      <w:r w:rsidRPr="00184F93">
        <w:rPr>
          <w:vertAlign w:val="superscript"/>
        </w:rPr>
        <w:t xml:space="preserve">5) </w:t>
      </w:r>
      <w:r w:rsidRPr="00184F93">
        <w:t>Nařízení Evropského parlamentu a Rady (EU) 2016/1011 ze dne 8. června 2016 o indexech, které jsou používány jako referenční hodnoty ve finančních nástrojích a finančních smlouvách nebo k měření výkonnosti investičních fondů, a o změně směrnic 2008/48/ES a 2014/17/EU a nařízení (EU) č. 596/2014.</w:t>
      </w:r>
      <w:r w:rsidRPr="00184F93">
        <w:rPr>
          <w:b/>
        </w:rPr>
        <w:t>“.</w:t>
      </w:r>
    </w:p>
    <w:p w:rsidR="00184F93" w:rsidRPr="00184F93" w:rsidRDefault="00184F93" w:rsidP="00572236">
      <w:pPr>
        <w:pStyle w:val="Odstavecseseznamem"/>
        <w:numPr>
          <w:ilvl w:val="0"/>
          <w:numId w:val="7"/>
        </w:numPr>
        <w:suppressAutoHyphens w:val="0"/>
        <w:spacing w:before="240" w:after="0" w:line="240" w:lineRule="auto"/>
        <w:ind w:left="714" w:hanging="357"/>
        <w:jc w:val="both"/>
        <w:rPr>
          <w:rFonts w:ascii="Times New Roman" w:hAnsi="Times New Roman" w:cs="Times New Roman"/>
          <w:sz w:val="24"/>
          <w:szCs w:val="24"/>
        </w:rPr>
      </w:pPr>
      <w:r w:rsidRPr="00184F93">
        <w:rPr>
          <w:rFonts w:ascii="Times New Roman" w:hAnsi="Times New Roman" w:cs="Times New Roman"/>
          <w:sz w:val="24"/>
          <w:szCs w:val="24"/>
        </w:rPr>
        <w:t>V § 95 se doplňuje odstavec 3, který zní:</w:t>
      </w:r>
    </w:p>
    <w:p w:rsidR="00184F93" w:rsidRPr="00184F93" w:rsidRDefault="00184F93" w:rsidP="00935D0C">
      <w:pPr>
        <w:pStyle w:val="Odstavecseseznamem"/>
        <w:spacing w:after="0"/>
        <w:jc w:val="both"/>
        <w:rPr>
          <w:rFonts w:ascii="Times New Roman" w:hAnsi="Times New Roman" w:cs="Times New Roman"/>
          <w:sz w:val="24"/>
          <w:szCs w:val="24"/>
        </w:rPr>
      </w:pPr>
      <w:r w:rsidRPr="00184F93">
        <w:rPr>
          <w:rFonts w:ascii="Times New Roman" w:hAnsi="Times New Roman" w:cs="Times New Roman"/>
          <w:sz w:val="24"/>
          <w:szCs w:val="24"/>
        </w:rPr>
        <w:t>„(3) Má-li být výše zápůjční úrokové sazby spotřebitelského úvěru jiného než na bydlení závislá na referenční hodnotě</w:t>
      </w:r>
      <w:r w:rsidRPr="00184F93">
        <w:rPr>
          <w:rFonts w:ascii="Times New Roman" w:hAnsi="Times New Roman" w:cs="Times New Roman"/>
          <w:sz w:val="24"/>
          <w:szCs w:val="24"/>
          <w:vertAlign w:val="superscript"/>
        </w:rPr>
        <w:t>5)</w:t>
      </w:r>
      <w:r w:rsidRPr="00184F93">
        <w:rPr>
          <w:rFonts w:ascii="Times New Roman" w:hAnsi="Times New Roman" w:cs="Times New Roman"/>
          <w:sz w:val="24"/>
          <w:szCs w:val="24"/>
        </w:rPr>
        <w:t>, musí být spotřebiteli poskytnuty též informace o jejím názvu a jménu jejího administrátora a o souvisejících důsledcích pro spotřebitele.“.</w:t>
      </w:r>
    </w:p>
    <w:p w:rsidR="00184F93" w:rsidRPr="00184F93" w:rsidRDefault="00184F93" w:rsidP="00935D0C">
      <w:pPr>
        <w:pStyle w:val="Odstavecseseznamem"/>
        <w:spacing w:after="0"/>
        <w:jc w:val="both"/>
        <w:rPr>
          <w:rFonts w:ascii="Times New Roman" w:hAnsi="Times New Roman" w:cs="Times New Roman"/>
          <w:sz w:val="24"/>
          <w:szCs w:val="24"/>
        </w:rPr>
      </w:pPr>
    </w:p>
    <w:p w:rsidR="00184F93" w:rsidRPr="00184F93" w:rsidRDefault="00184F93" w:rsidP="00184F93">
      <w:pPr>
        <w:pStyle w:val="Odstavecseseznamem"/>
        <w:numPr>
          <w:ilvl w:val="0"/>
          <w:numId w:val="7"/>
        </w:numPr>
        <w:suppressAutoHyphens w:val="0"/>
        <w:spacing w:after="0" w:line="240" w:lineRule="auto"/>
        <w:jc w:val="both"/>
        <w:rPr>
          <w:rFonts w:ascii="Times New Roman" w:hAnsi="Times New Roman" w:cs="Times New Roman"/>
          <w:sz w:val="24"/>
          <w:szCs w:val="24"/>
        </w:rPr>
      </w:pPr>
      <w:r w:rsidRPr="00184F93">
        <w:rPr>
          <w:rFonts w:ascii="Times New Roman" w:hAnsi="Times New Roman" w:cs="Times New Roman"/>
          <w:sz w:val="24"/>
          <w:szCs w:val="24"/>
        </w:rPr>
        <w:t xml:space="preserve">V § 99 odst. 4 se text „a § 95 až 97“ nahrazuje </w:t>
      </w:r>
      <w:proofErr w:type="gramStart"/>
      <w:r w:rsidRPr="00184F93">
        <w:rPr>
          <w:rFonts w:ascii="Times New Roman" w:hAnsi="Times New Roman" w:cs="Times New Roman"/>
          <w:sz w:val="24"/>
          <w:szCs w:val="24"/>
        </w:rPr>
        <w:t>textem „</w:t>
      </w:r>
      <w:r w:rsidR="00935D0C">
        <w:rPr>
          <w:rFonts w:ascii="Times New Roman" w:hAnsi="Times New Roman" w:cs="Times New Roman"/>
          <w:sz w:val="24"/>
          <w:szCs w:val="24"/>
        </w:rPr>
        <w:t xml:space="preserve"> </w:t>
      </w:r>
      <w:r w:rsidRPr="00184F93">
        <w:rPr>
          <w:rFonts w:ascii="Times New Roman" w:hAnsi="Times New Roman" w:cs="Times New Roman"/>
          <w:sz w:val="24"/>
          <w:szCs w:val="24"/>
        </w:rPr>
        <w:t>, § 95</w:t>
      </w:r>
      <w:proofErr w:type="gramEnd"/>
      <w:r w:rsidRPr="00184F93">
        <w:rPr>
          <w:rFonts w:ascii="Times New Roman" w:hAnsi="Times New Roman" w:cs="Times New Roman"/>
          <w:sz w:val="24"/>
          <w:szCs w:val="24"/>
        </w:rPr>
        <w:t xml:space="preserve"> odst. 1 a 2, § 96 a 97“.“.</w:t>
      </w:r>
    </w:p>
    <w:p w:rsidR="00184F93" w:rsidRPr="00184F93" w:rsidRDefault="00184F93" w:rsidP="00184F93">
      <w:pPr>
        <w:spacing w:before="120"/>
      </w:pPr>
      <w:r w:rsidRPr="00184F93">
        <w:t>Dosavadní část desátá se označuje jako část jedenáctá a dosavadní čl. XIII se označuje jako čl. XIV.</w:t>
      </w:r>
    </w:p>
    <w:p w:rsidR="00184F93" w:rsidRPr="00184F93" w:rsidRDefault="00184F93" w:rsidP="00A92050"/>
    <w:p w:rsidR="00180075" w:rsidRDefault="00180075" w:rsidP="00A92050"/>
    <w:p w:rsidR="00180075" w:rsidRPr="00DF4131" w:rsidRDefault="00BA5B3F" w:rsidP="00A92050">
      <w:pPr>
        <w:rPr>
          <w:b/>
        </w:rPr>
      </w:pPr>
      <w:r>
        <w:rPr>
          <w:b/>
        </w:rPr>
        <w:t>C</w:t>
      </w:r>
      <w:r>
        <w:rPr>
          <w:b/>
        </w:rPr>
        <w:tab/>
      </w:r>
      <w:r w:rsidR="00180075" w:rsidRPr="00DF4131">
        <w:rPr>
          <w:b/>
        </w:rPr>
        <w:t>Poslanec Karel Rais</w:t>
      </w:r>
    </w:p>
    <w:p w:rsidR="00180075" w:rsidRDefault="00E57DF4" w:rsidP="00A92050">
      <w:pPr>
        <w:rPr>
          <w:sz w:val="26"/>
        </w:rPr>
      </w:pPr>
      <w:r>
        <w:rPr>
          <w:sz w:val="26"/>
        </w:rPr>
        <w:t>(SD 796)</w:t>
      </w:r>
    </w:p>
    <w:p w:rsidR="00E57DF4" w:rsidRDefault="00E57DF4" w:rsidP="00A92050">
      <w:pPr>
        <w:rPr>
          <w:sz w:val="26"/>
        </w:rPr>
      </w:pPr>
    </w:p>
    <w:p w:rsidR="00E57DF4" w:rsidRPr="00E57DF4" w:rsidRDefault="00E57DF4" w:rsidP="00572236">
      <w:pPr>
        <w:spacing w:after="200" w:line="276" w:lineRule="auto"/>
        <w:rPr>
          <w:b/>
        </w:rPr>
      </w:pPr>
      <w:r w:rsidRPr="00E57DF4">
        <w:rPr>
          <w:b/>
        </w:rPr>
        <w:t>V </w:t>
      </w:r>
      <w:r w:rsidR="00572236">
        <w:rPr>
          <w:b/>
        </w:rPr>
        <w:t>č</w:t>
      </w:r>
      <w:r w:rsidRPr="00E57DF4">
        <w:rPr>
          <w:b/>
        </w:rPr>
        <w:t>ásti šesté Čl</w:t>
      </w:r>
      <w:r w:rsidR="00572236">
        <w:rPr>
          <w:b/>
        </w:rPr>
        <w:t>.</w:t>
      </w:r>
      <w:r w:rsidRPr="00E57DF4">
        <w:rPr>
          <w:b/>
        </w:rPr>
        <w:t xml:space="preserve"> VIII se dopl</w:t>
      </w:r>
      <w:r w:rsidR="00572236">
        <w:rPr>
          <w:b/>
        </w:rPr>
        <w:t>ňuje bod 1, který zní:</w:t>
      </w:r>
      <w:r w:rsidRPr="00E57DF4">
        <w:rPr>
          <w:b/>
        </w:rPr>
        <w:t xml:space="preserve"> </w:t>
      </w:r>
    </w:p>
    <w:p w:rsidR="00E57DF4" w:rsidRPr="00E57DF4" w:rsidRDefault="00E57DF4" w:rsidP="00572236">
      <w:pPr>
        <w:pStyle w:val="Bezmezer"/>
        <w:ind w:left="360" w:hanging="360"/>
        <w:rPr>
          <w:rFonts w:cs="Times New Roman"/>
          <w:szCs w:val="24"/>
        </w:rPr>
      </w:pPr>
      <w:r w:rsidRPr="00E57DF4">
        <w:rPr>
          <w:rFonts w:cs="Times New Roman"/>
          <w:szCs w:val="24"/>
        </w:rPr>
        <w:t>„</w:t>
      </w:r>
      <w:r w:rsidR="00572236">
        <w:rPr>
          <w:rFonts w:cs="Times New Roman"/>
          <w:szCs w:val="24"/>
        </w:rPr>
        <w:t xml:space="preserve"> 1. </w:t>
      </w:r>
      <w:r w:rsidRPr="00E57DF4">
        <w:rPr>
          <w:rFonts w:cs="Times New Roman"/>
          <w:szCs w:val="24"/>
        </w:rPr>
        <w:t xml:space="preserve">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zákona č. 41/2009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375/2011 Sb., zákona č. 428/2011 Sb., zákona č. 457/2011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č.8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w:t>
      </w:r>
      <w:r w:rsidRPr="00E57DF4">
        <w:rPr>
          <w:rFonts w:cs="Times New Roman"/>
          <w:szCs w:val="24"/>
        </w:rPr>
        <w:lastRenderedPageBreak/>
        <w:t xml:space="preserve">199/2017 Sb., zákona č. 202/2017 Sb., zákona č. 204/2017 Sb., zákona č. 206/2017 Sb., zákona č. 222/2017 Sb., zákona č. 225/2017 Sb., zákona č. 251/2017 Sb., zákona č. 261/2017 Sb., zákona č. 289/2017 Sb., zákona č. 295/2017 Sb., zákona č. 299/2017 Sb., zákona č. 302/2017 Sb., zákona č. 304/2017 Sb. a zákona č. 371/2017 Sb., se mění takto: </w:t>
      </w:r>
    </w:p>
    <w:p w:rsidR="00E57DF4" w:rsidRPr="00E57DF4" w:rsidRDefault="00E57DF4" w:rsidP="00E57DF4">
      <w:pPr>
        <w:pStyle w:val="Bezmezer"/>
        <w:ind w:left="720"/>
        <w:rPr>
          <w:rFonts w:cs="Times New Roman"/>
          <w:szCs w:val="24"/>
        </w:rPr>
      </w:pPr>
    </w:p>
    <w:p w:rsidR="00E57DF4" w:rsidRPr="00E57DF4" w:rsidRDefault="00E57DF4" w:rsidP="00E57DF4">
      <w:pPr>
        <w:pStyle w:val="Bezmezer"/>
        <w:ind w:left="720"/>
        <w:rPr>
          <w:rFonts w:cs="Times New Roman"/>
          <w:szCs w:val="24"/>
        </w:rPr>
      </w:pPr>
      <w:r w:rsidRPr="00E57DF4">
        <w:rPr>
          <w:rFonts w:cs="Times New Roman"/>
          <w:szCs w:val="24"/>
        </w:rPr>
        <w:t>1. V položce 22 se doplňuje písmeno w), které zní:</w:t>
      </w:r>
    </w:p>
    <w:p w:rsidR="00E57DF4" w:rsidRPr="00E57DF4" w:rsidRDefault="00E57DF4" w:rsidP="00E57DF4">
      <w:pPr>
        <w:pStyle w:val="Odstavecseseznamem"/>
        <w:rPr>
          <w:rFonts w:ascii="Times New Roman" w:eastAsiaTheme="minorHAnsi" w:hAnsi="Times New Roman" w:cs="Times New Roman"/>
          <w:sz w:val="24"/>
          <w:szCs w:val="24"/>
        </w:rPr>
      </w:pPr>
      <w:r w:rsidRPr="00E57DF4">
        <w:rPr>
          <w:rFonts w:ascii="Times New Roman" w:eastAsiaTheme="minorHAnsi" w:hAnsi="Times New Roman" w:cs="Times New Roman"/>
          <w:sz w:val="24"/>
          <w:szCs w:val="24"/>
        </w:rPr>
        <w:t xml:space="preserve">„w) Přijetí žádosti o akreditaci vzdělávacího programu podle zákona o zaměstnanosti                                                                                                                     </w:t>
      </w:r>
    </w:p>
    <w:p w:rsidR="00E57DF4" w:rsidRPr="00E57DF4" w:rsidRDefault="00E57DF4" w:rsidP="00E57DF4">
      <w:pPr>
        <w:spacing w:after="160"/>
        <w:ind w:firstLine="708"/>
      </w:pPr>
      <w:r w:rsidRPr="00E57DF4">
        <w:t xml:space="preserve">                                                                     za každý vzdělávací program  </w:t>
      </w:r>
      <w:r w:rsidRPr="00E57DF4">
        <w:tab/>
        <w:t>Kč 1 000“.“.</w:t>
      </w:r>
    </w:p>
    <w:p w:rsidR="00E57DF4" w:rsidRPr="00E57DF4" w:rsidRDefault="00E57DF4" w:rsidP="00E57DF4">
      <w:pPr>
        <w:pStyle w:val="Bezmezer"/>
        <w:ind w:left="720"/>
        <w:rPr>
          <w:rFonts w:cs="Times New Roman"/>
          <w:b/>
          <w:szCs w:val="24"/>
        </w:rPr>
      </w:pPr>
    </w:p>
    <w:p w:rsidR="00E57DF4" w:rsidRPr="00E57DF4" w:rsidRDefault="00572236" w:rsidP="00572236">
      <w:pPr>
        <w:pStyle w:val="Bezmezer"/>
        <w:ind w:left="360"/>
        <w:rPr>
          <w:rFonts w:cs="Times New Roman"/>
          <w:b/>
          <w:szCs w:val="24"/>
        </w:rPr>
      </w:pPr>
      <w:r>
        <w:rPr>
          <w:rFonts w:cs="Times New Roman"/>
          <w:b/>
          <w:szCs w:val="24"/>
        </w:rPr>
        <w:t>2.</w:t>
      </w:r>
      <w:r>
        <w:rPr>
          <w:rFonts w:cs="Times New Roman"/>
          <w:b/>
          <w:szCs w:val="24"/>
        </w:rPr>
        <w:tab/>
      </w:r>
      <w:r w:rsidR="00E57DF4" w:rsidRPr="00E57DF4">
        <w:rPr>
          <w:rFonts w:cs="Times New Roman"/>
          <w:b/>
          <w:szCs w:val="24"/>
        </w:rPr>
        <w:t xml:space="preserve">Dosavadní čl. VIII </w:t>
      </w:r>
      <w:r>
        <w:rPr>
          <w:rFonts w:cs="Times New Roman"/>
          <w:b/>
          <w:szCs w:val="24"/>
        </w:rPr>
        <w:t xml:space="preserve">- </w:t>
      </w:r>
      <w:r w:rsidR="00E57DF4" w:rsidRPr="00E57DF4">
        <w:rPr>
          <w:rFonts w:cs="Times New Roman"/>
          <w:b/>
          <w:szCs w:val="24"/>
        </w:rPr>
        <w:t>položk</w:t>
      </w:r>
      <w:r>
        <w:rPr>
          <w:rFonts w:cs="Times New Roman"/>
          <w:b/>
          <w:szCs w:val="24"/>
        </w:rPr>
        <w:t>a</w:t>
      </w:r>
      <w:r w:rsidR="00E57DF4" w:rsidRPr="00E57DF4">
        <w:rPr>
          <w:rFonts w:cs="Times New Roman"/>
          <w:b/>
          <w:szCs w:val="24"/>
        </w:rPr>
        <w:t xml:space="preserve"> 66 se </w:t>
      </w:r>
      <w:r>
        <w:rPr>
          <w:rFonts w:cs="Times New Roman"/>
          <w:b/>
          <w:szCs w:val="24"/>
        </w:rPr>
        <w:t xml:space="preserve">označuje </w:t>
      </w:r>
      <w:r w:rsidR="00E57DF4" w:rsidRPr="00E57DF4">
        <w:rPr>
          <w:rFonts w:cs="Times New Roman"/>
          <w:b/>
          <w:szCs w:val="24"/>
        </w:rPr>
        <w:t xml:space="preserve">jako bod 2 čl. VIII. </w:t>
      </w:r>
    </w:p>
    <w:p w:rsidR="00E57DF4" w:rsidRDefault="00E57DF4" w:rsidP="00E57DF4">
      <w:pPr>
        <w:widowControl w:val="0"/>
        <w:autoSpaceDE w:val="0"/>
        <w:autoSpaceDN w:val="0"/>
        <w:adjustRightInd w:val="0"/>
        <w:ind w:left="360"/>
        <w:rPr>
          <w:b/>
        </w:rPr>
      </w:pPr>
    </w:p>
    <w:p w:rsidR="00572236" w:rsidRPr="00E57DF4" w:rsidRDefault="00572236" w:rsidP="00E57DF4">
      <w:pPr>
        <w:widowControl w:val="0"/>
        <w:autoSpaceDE w:val="0"/>
        <w:autoSpaceDN w:val="0"/>
        <w:adjustRightInd w:val="0"/>
        <w:ind w:left="360"/>
        <w:rPr>
          <w:b/>
        </w:rPr>
      </w:pPr>
    </w:p>
    <w:p w:rsidR="00E57DF4" w:rsidRPr="00E57DF4" w:rsidRDefault="00572236" w:rsidP="00572236">
      <w:pPr>
        <w:pStyle w:val="Bezmezer"/>
        <w:ind w:left="360"/>
        <w:rPr>
          <w:rFonts w:cs="Times New Roman"/>
          <w:b/>
          <w:szCs w:val="24"/>
        </w:rPr>
      </w:pPr>
      <w:r>
        <w:rPr>
          <w:rFonts w:cs="Times New Roman"/>
          <w:b/>
          <w:szCs w:val="24"/>
        </w:rPr>
        <w:t>3.</w:t>
      </w:r>
      <w:r>
        <w:rPr>
          <w:rFonts w:cs="Times New Roman"/>
          <w:b/>
          <w:szCs w:val="24"/>
        </w:rPr>
        <w:tab/>
      </w:r>
      <w:r w:rsidR="00E57DF4" w:rsidRPr="00E57DF4">
        <w:rPr>
          <w:rFonts w:cs="Times New Roman"/>
          <w:b/>
          <w:szCs w:val="24"/>
        </w:rPr>
        <w:t xml:space="preserve">Na konci textu části desáté článku XIII se doplní </w:t>
      </w:r>
      <w:proofErr w:type="gramStart"/>
      <w:r w:rsidR="00E57DF4" w:rsidRPr="00E57DF4">
        <w:rPr>
          <w:rFonts w:cs="Times New Roman"/>
          <w:b/>
          <w:szCs w:val="24"/>
        </w:rPr>
        <w:t>slova „ , s výjimkou</w:t>
      </w:r>
      <w:proofErr w:type="gramEnd"/>
      <w:r w:rsidR="00E57DF4" w:rsidRPr="00E57DF4">
        <w:rPr>
          <w:rFonts w:cs="Times New Roman"/>
          <w:b/>
          <w:szCs w:val="24"/>
        </w:rPr>
        <w:t xml:space="preserve"> ustanovení čl. VIII bodu 1, který nabývá účinnosti patnáctým dnem po jeho vyhlášení“.</w:t>
      </w:r>
    </w:p>
    <w:p w:rsidR="00E57DF4" w:rsidRDefault="00E57DF4" w:rsidP="00A92050">
      <w:pPr>
        <w:rPr>
          <w:sz w:val="26"/>
        </w:rPr>
      </w:pPr>
    </w:p>
    <w:p w:rsidR="00E57DF4" w:rsidRDefault="00E57DF4" w:rsidP="00A92050">
      <w:pPr>
        <w:rPr>
          <w:sz w:val="26"/>
        </w:rPr>
      </w:pPr>
    </w:p>
    <w:p w:rsidR="00434B28" w:rsidRPr="00434B28" w:rsidRDefault="00434B28" w:rsidP="00DF4131">
      <w:pPr>
        <w:rPr>
          <w:b/>
        </w:rPr>
      </w:pPr>
    </w:p>
    <w:p w:rsidR="00434B28" w:rsidRPr="00434B28" w:rsidRDefault="00434B28" w:rsidP="00434B28">
      <w:pPr>
        <w:rPr>
          <w:b/>
          <w:color w:val="44546A" w:themeColor="text2"/>
        </w:rPr>
      </w:pPr>
    </w:p>
    <w:p w:rsidR="00E57DF4" w:rsidRPr="00434B28" w:rsidRDefault="00E57DF4" w:rsidP="00A92050"/>
    <w:p w:rsidR="00A92050" w:rsidRPr="00434B28" w:rsidRDefault="00A92050" w:rsidP="00A92050">
      <w:pPr>
        <w:jc w:val="center"/>
      </w:pPr>
      <w:r w:rsidRPr="00434B28">
        <w:t>V Praze dne</w:t>
      </w:r>
      <w:r w:rsidR="00850977">
        <w:t xml:space="preserve"> 2</w:t>
      </w:r>
      <w:r w:rsidR="006354A4">
        <w:t>3</w:t>
      </w:r>
      <w:r w:rsidR="00850977">
        <w:t>. května 2018</w:t>
      </w:r>
    </w:p>
    <w:p w:rsidR="00A92050" w:rsidRPr="00184F93" w:rsidRDefault="00A92050" w:rsidP="00A92050">
      <w:pPr>
        <w:jc w:val="center"/>
      </w:pPr>
    </w:p>
    <w:p w:rsidR="00A92050" w:rsidRPr="006354A4" w:rsidRDefault="006354A4" w:rsidP="00A92050">
      <w:pPr>
        <w:jc w:val="center"/>
        <w:rPr>
          <w:b/>
        </w:rPr>
      </w:pPr>
      <w:r w:rsidRPr="006354A4">
        <w:rPr>
          <w:b/>
        </w:rPr>
        <w:t>Ing. Miloslava    V o s t r á</w:t>
      </w:r>
      <w:bookmarkStart w:id="0" w:name="_GoBack"/>
      <w:bookmarkEnd w:id="0"/>
      <w:r w:rsidR="00425237" w:rsidRPr="00425237">
        <w:t xml:space="preserve">, </w:t>
      </w:r>
      <w:proofErr w:type="gramStart"/>
      <w:r w:rsidR="00425237" w:rsidRPr="00425237">
        <w:t>v.r.</w:t>
      </w:r>
      <w:proofErr w:type="gramEnd"/>
      <w:r w:rsidRPr="006354A4">
        <w:rPr>
          <w:b/>
        </w:rPr>
        <w:t xml:space="preserve"> </w:t>
      </w:r>
    </w:p>
    <w:p w:rsidR="00A92050" w:rsidRPr="00184F93" w:rsidRDefault="006354A4" w:rsidP="00A92050">
      <w:pPr>
        <w:jc w:val="center"/>
      </w:pPr>
      <w:r>
        <w:t>z</w:t>
      </w:r>
      <w:r w:rsidR="00A92050" w:rsidRPr="00184F93">
        <w:t>pravodaj</w:t>
      </w:r>
      <w:r>
        <w:t>ka a předsedkyně</w:t>
      </w:r>
      <w:r w:rsidR="00A92050" w:rsidRPr="00184F93">
        <w:t xml:space="preserve"> </w:t>
      </w:r>
      <w:r w:rsidR="00184F93">
        <w:t xml:space="preserve">rozpočtového </w:t>
      </w:r>
      <w:r w:rsidR="00A92050" w:rsidRPr="00184F93">
        <w:t>výboru</w:t>
      </w:r>
    </w:p>
    <w:sectPr w:rsidR="00A92050" w:rsidRPr="00184F93">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25237">
      <w:rPr>
        <w:rStyle w:val="slostrnky"/>
        <w:noProof/>
      </w:rPr>
      <w:t>8</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3DBC1D2C"/>
    <w:multiLevelType w:val="hybridMultilevel"/>
    <w:tmpl w:val="F4EA4522"/>
    <w:lvl w:ilvl="0" w:tplc="811CB6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4725241"/>
    <w:multiLevelType w:val="hybridMultilevel"/>
    <w:tmpl w:val="E9DEA3D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4671CFA"/>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7"/>
  </w:num>
  <w:num w:numId="6">
    <w:abstractNumId w:val="4"/>
  </w:num>
  <w:num w:numId="7">
    <w:abstractNumId w:val="5"/>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22F25"/>
    <w:rsid w:val="00180075"/>
    <w:rsid w:val="00184F93"/>
    <w:rsid w:val="00266D0A"/>
    <w:rsid w:val="00425237"/>
    <w:rsid w:val="00434B28"/>
    <w:rsid w:val="00572236"/>
    <w:rsid w:val="006354A4"/>
    <w:rsid w:val="00745604"/>
    <w:rsid w:val="00850977"/>
    <w:rsid w:val="00935D0C"/>
    <w:rsid w:val="00A73D85"/>
    <w:rsid w:val="00A92050"/>
    <w:rsid w:val="00B65891"/>
    <w:rsid w:val="00BA5B3F"/>
    <w:rsid w:val="00C42F06"/>
    <w:rsid w:val="00DF4131"/>
    <w:rsid w:val="00E57DF4"/>
    <w:rsid w:val="00F1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2050"/>
    <w:pPr>
      <w:jc w:val="both"/>
    </w:pPr>
    <w:rPr>
      <w:sz w:val="24"/>
      <w:szCs w:val="24"/>
    </w:rPr>
  </w:style>
  <w:style w:type="paragraph" w:styleId="Nadpis1">
    <w:name w:val="heading 1"/>
    <w:basedOn w:val="Normln"/>
    <w:next w:val="Normln"/>
    <w:qFormat/>
    <w:rsid w:val="00A92050"/>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A92050"/>
    <w:pPr>
      <w:tabs>
        <w:tab w:val="center" w:pos="4536"/>
        <w:tab w:val="right" w:pos="9072"/>
      </w:tabs>
    </w:pPr>
  </w:style>
  <w:style w:type="paragraph" w:customStyle="1" w:styleId="Textparagrafu">
    <w:name w:val="Text paragrafu"/>
    <w:basedOn w:val="Normln"/>
    <w:rsid w:val="00A92050"/>
    <w:pPr>
      <w:spacing w:before="240"/>
      <w:ind w:firstLine="425"/>
      <w:outlineLvl w:val="5"/>
    </w:pPr>
  </w:style>
  <w:style w:type="paragraph" w:customStyle="1" w:styleId="Paragraf">
    <w:name w:val="Paragraf"/>
    <w:basedOn w:val="Normln"/>
    <w:next w:val="Textodstavce"/>
    <w:rsid w:val="00A92050"/>
    <w:pPr>
      <w:keepNext/>
      <w:keepLines/>
      <w:spacing w:before="240"/>
      <w:jc w:val="center"/>
      <w:outlineLvl w:val="5"/>
    </w:pPr>
  </w:style>
  <w:style w:type="paragraph" w:customStyle="1" w:styleId="Oddl">
    <w:name w:val="Oddíl"/>
    <w:basedOn w:val="Normln"/>
    <w:next w:val="Nadpisoddlu"/>
    <w:rsid w:val="00A92050"/>
    <w:pPr>
      <w:keepNext/>
      <w:keepLines/>
      <w:spacing w:before="240"/>
      <w:jc w:val="center"/>
      <w:outlineLvl w:val="4"/>
    </w:pPr>
  </w:style>
  <w:style w:type="paragraph" w:customStyle="1" w:styleId="Nadpisoddlu">
    <w:name w:val="Nadpis oddílu"/>
    <w:basedOn w:val="Normln"/>
    <w:next w:val="Paragraf"/>
    <w:rsid w:val="00A92050"/>
    <w:pPr>
      <w:keepNext/>
      <w:keepLines/>
      <w:jc w:val="center"/>
      <w:outlineLvl w:val="4"/>
    </w:pPr>
    <w:rPr>
      <w:b/>
    </w:rPr>
  </w:style>
  <w:style w:type="paragraph" w:customStyle="1" w:styleId="Dl">
    <w:name w:val="Díl"/>
    <w:basedOn w:val="Normln"/>
    <w:next w:val="Nadpisdlu"/>
    <w:rsid w:val="00A92050"/>
    <w:pPr>
      <w:keepNext/>
      <w:keepLines/>
      <w:spacing w:before="240"/>
      <w:jc w:val="center"/>
      <w:outlineLvl w:val="3"/>
    </w:pPr>
  </w:style>
  <w:style w:type="paragraph" w:customStyle="1" w:styleId="Nadpisdlu">
    <w:name w:val="Nadpis dílu"/>
    <w:basedOn w:val="Normln"/>
    <w:next w:val="Oddl"/>
    <w:rsid w:val="00A92050"/>
    <w:pPr>
      <w:keepNext/>
      <w:keepLines/>
      <w:jc w:val="center"/>
      <w:outlineLvl w:val="3"/>
    </w:pPr>
    <w:rPr>
      <w:b/>
    </w:rPr>
  </w:style>
  <w:style w:type="paragraph" w:customStyle="1" w:styleId="Hlava">
    <w:name w:val="Hlava"/>
    <w:basedOn w:val="Normln"/>
    <w:next w:val="Nadpishlavy"/>
    <w:rsid w:val="00A92050"/>
    <w:pPr>
      <w:keepNext/>
      <w:keepLines/>
      <w:spacing w:before="240"/>
      <w:jc w:val="center"/>
      <w:outlineLvl w:val="2"/>
    </w:pPr>
  </w:style>
  <w:style w:type="paragraph" w:customStyle="1" w:styleId="Nadpishlavy">
    <w:name w:val="Nadpis hlavy"/>
    <w:basedOn w:val="Normln"/>
    <w:next w:val="Dl"/>
    <w:rsid w:val="00A92050"/>
    <w:pPr>
      <w:keepNext/>
      <w:keepLines/>
      <w:jc w:val="center"/>
      <w:outlineLvl w:val="2"/>
    </w:pPr>
    <w:rPr>
      <w:b/>
    </w:rPr>
  </w:style>
  <w:style w:type="paragraph" w:customStyle="1" w:styleId="ST">
    <w:name w:val="ČÁST"/>
    <w:basedOn w:val="Normln"/>
    <w:next w:val="NADPISSTI"/>
    <w:rsid w:val="00A92050"/>
    <w:pPr>
      <w:keepNext/>
      <w:keepLines/>
      <w:spacing w:before="240" w:after="120"/>
      <w:jc w:val="center"/>
      <w:outlineLvl w:val="1"/>
    </w:pPr>
    <w:rPr>
      <w:caps/>
    </w:rPr>
  </w:style>
  <w:style w:type="paragraph" w:customStyle="1" w:styleId="NADPISSTI">
    <w:name w:val="NADPIS ČÁSTI"/>
    <w:basedOn w:val="Normln"/>
    <w:next w:val="Hlava"/>
    <w:rsid w:val="00A92050"/>
    <w:pPr>
      <w:keepNext/>
      <w:keepLines/>
      <w:jc w:val="center"/>
      <w:outlineLvl w:val="1"/>
    </w:pPr>
    <w:rPr>
      <w:b/>
    </w:rPr>
  </w:style>
  <w:style w:type="paragraph" w:customStyle="1" w:styleId="ZKON">
    <w:name w:val="ZÁKON"/>
    <w:basedOn w:val="Normln"/>
    <w:next w:val="nadpiszkona"/>
    <w:rsid w:val="00A92050"/>
    <w:pPr>
      <w:keepNext/>
      <w:keepLines/>
      <w:jc w:val="center"/>
      <w:outlineLvl w:val="0"/>
    </w:pPr>
    <w:rPr>
      <w:b/>
      <w:caps/>
    </w:rPr>
  </w:style>
  <w:style w:type="paragraph" w:customStyle="1" w:styleId="nadpiszkona">
    <w:name w:val="nadpis zákona"/>
    <w:basedOn w:val="Normln"/>
    <w:next w:val="Parlament"/>
    <w:rsid w:val="00A92050"/>
    <w:pPr>
      <w:keepNext/>
      <w:keepLines/>
      <w:spacing w:before="120"/>
      <w:jc w:val="center"/>
      <w:outlineLvl w:val="0"/>
    </w:pPr>
    <w:rPr>
      <w:b/>
    </w:rPr>
  </w:style>
  <w:style w:type="paragraph" w:customStyle="1" w:styleId="Parlament">
    <w:name w:val="Parlament"/>
    <w:basedOn w:val="Normln"/>
    <w:next w:val="ST"/>
    <w:rsid w:val="00A92050"/>
    <w:pPr>
      <w:keepNext/>
      <w:keepLines/>
      <w:spacing w:before="360" w:after="240"/>
    </w:pPr>
  </w:style>
  <w:style w:type="paragraph" w:customStyle="1" w:styleId="Textlnku">
    <w:name w:val="Text článku"/>
    <w:basedOn w:val="Normln"/>
    <w:rsid w:val="00A92050"/>
    <w:pPr>
      <w:spacing w:before="240"/>
      <w:ind w:firstLine="425"/>
      <w:outlineLvl w:val="5"/>
    </w:pPr>
  </w:style>
  <w:style w:type="paragraph" w:customStyle="1" w:styleId="lnek">
    <w:name w:val="Článek"/>
    <w:basedOn w:val="Normln"/>
    <w:next w:val="Textodstavce"/>
    <w:rsid w:val="00A92050"/>
    <w:pPr>
      <w:keepNext/>
      <w:keepLines/>
      <w:spacing w:before="240"/>
      <w:jc w:val="center"/>
      <w:outlineLvl w:val="5"/>
    </w:pPr>
  </w:style>
  <w:style w:type="paragraph" w:customStyle="1" w:styleId="CELEX">
    <w:name w:val="CELEX"/>
    <w:basedOn w:val="Normln"/>
    <w:next w:val="Normln"/>
    <w:rsid w:val="00A92050"/>
    <w:pPr>
      <w:spacing w:before="60"/>
    </w:pPr>
    <w:rPr>
      <w:i/>
      <w:sz w:val="20"/>
    </w:rPr>
  </w:style>
  <w:style w:type="paragraph" w:customStyle="1" w:styleId="funkce">
    <w:name w:val="funkce"/>
    <w:basedOn w:val="Normln"/>
    <w:rsid w:val="00A92050"/>
    <w:pPr>
      <w:keepLines/>
      <w:jc w:val="center"/>
    </w:pPr>
  </w:style>
  <w:style w:type="paragraph" w:customStyle="1" w:styleId="Psmeno">
    <w:name w:val="&quot;Písmeno&quot;"/>
    <w:basedOn w:val="Normln"/>
    <w:next w:val="Normln"/>
    <w:rsid w:val="00A92050"/>
    <w:pPr>
      <w:keepNext/>
      <w:keepLines/>
      <w:ind w:left="425" w:hanging="425"/>
    </w:pPr>
  </w:style>
  <w:style w:type="paragraph" w:customStyle="1" w:styleId="Oznaenpozmn">
    <w:name w:val="Označení pozm.n."/>
    <w:basedOn w:val="Normln"/>
    <w:next w:val="Normln"/>
    <w:rsid w:val="00A92050"/>
    <w:pPr>
      <w:numPr>
        <w:numId w:val="2"/>
      </w:numPr>
      <w:spacing w:after="120"/>
    </w:pPr>
    <w:rPr>
      <w:b/>
    </w:rPr>
  </w:style>
  <w:style w:type="paragraph" w:customStyle="1" w:styleId="Textpozmn">
    <w:name w:val="Text pozm.n."/>
    <w:basedOn w:val="Normln"/>
    <w:next w:val="Normln"/>
    <w:rsid w:val="00A92050"/>
    <w:pPr>
      <w:numPr>
        <w:numId w:val="3"/>
      </w:numPr>
      <w:tabs>
        <w:tab w:val="clear" w:pos="425"/>
        <w:tab w:val="left" w:pos="851"/>
      </w:tabs>
      <w:spacing w:after="120"/>
      <w:ind w:left="850"/>
    </w:pPr>
  </w:style>
  <w:style w:type="paragraph" w:customStyle="1" w:styleId="Novelizanbod">
    <w:name w:val="Novelizační bod"/>
    <w:basedOn w:val="Normln"/>
    <w:next w:val="Normln"/>
    <w:uiPriority w:val="99"/>
    <w:rsid w:val="00A92050"/>
    <w:pPr>
      <w:keepNext/>
      <w:keepLines/>
      <w:numPr>
        <w:numId w:val="4"/>
      </w:numPr>
      <w:tabs>
        <w:tab w:val="left" w:pos="851"/>
      </w:tabs>
      <w:spacing w:before="480" w:after="120"/>
    </w:pPr>
  </w:style>
  <w:style w:type="paragraph" w:customStyle="1" w:styleId="Novelizanbodvpozmn">
    <w:name w:val="Novelizační bod v pozm.n."/>
    <w:basedOn w:val="Normln"/>
    <w:next w:val="Normln"/>
    <w:rsid w:val="00A92050"/>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A92050"/>
    <w:pPr>
      <w:keepNext/>
      <w:keepLines/>
      <w:spacing w:after="120"/>
      <w:jc w:val="center"/>
    </w:pPr>
    <w:rPr>
      <w:b/>
      <w:sz w:val="32"/>
    </w:rPr>
  </w:style>
  <w:style w:type="paragraph" w:customStyle="1" w:styleId="Textbodu">
    <w:name w:val="Text bodu"/>
    <w:basedOn w:val="Normln"/>
    <w:rsid w:val="00A92050"/>
    <w:pPr>
      <w:numPr>
        <w:ilvl w:val="2"/>
        <w:numId w:val="5"/>
      </w:numPr>
      <w:outlineLvl w:val="8"/>
    </w:pPr>
  </w:style>
  <w:style w:type="paragraph" w:customStyle="1" w:styleId="Textpsmene">
    <w:name w:val="Text písmene"/>
    <w:basedOn w:val="Normln"/>
    <w:rsid w:val="00A92050"/>
    <w:pPr>
      <w:numPr>
        <w:ilvl w:val="1"/>
        <w:numId w:val="5"/>
      </w:numPr>
      <w:outlineLvl w:val="7"/>
    </w:pPr>
  </w:style>
  <w:style w:type="character" w:customStyle="1" w:styleId="Odkaznapoznpodarou">
    <w:name w:val="Odkaz na pozn. pod čarou"/>
    <w:rsid w:val="00A92050"/>
    <w:rPr>
      <w:vertAlign w:val="superscript"/>
    </w:rPr>
  </w:style>
  <w:style w:type="paragraph" w:customStyle="1" w:styleId="Textodstavce">
    <w:name w:val="Text odstavce"/>
    <w:basedOn w:val="Normln"/>
    <w:rsid w:val="00A92050"/>
    <w:pPr>
      <w:numPr>
        <w:numId w:val="5"/>
      </w:numPr>
      <w:tabs>
        <w:tab w:val="left" w:pos="851"/>
      </w:tabs>
      <w:spacing w:before="120" w:after="120"/>
      <w:outlineLvl w:val="6"/>
    </w:pPr>
  </w:style>
  <w:style w:type="paragraph" w:customStyle="1" w:styleId="Textbodunovely">
    <w:name w:val="Text bodu novely"/>
    <w:basedOn w:val="Normln"/>
    <w:next w:val="Normln"/>
    <w:rsid w:val="00A92050"/>
    <w:pPr>
      <w:ind w:left="567" w:hanging="567"/>
    </w:pPr>
  </w:style>
  <w:style w:type="character" w:styleId="slostrnky">
    <w:name w:val="page number"/>
    <w:basedOn w:val="Standardnpsmoodstavce"/>
    <w:semiHidden/>
    <w:rsid w:val="00A92050"/>
  </w:style>
  <w:style w:type="paragraph" w:styleId="Zpat">
    <w:name w:val="footer"/>
    <w:basedOn w:val="Normln"/>
    <w:semiHidden/>
    <w:rsid w:val="00A92050"/>
    <w:pPr>
      <w:tabs>
        <w:tab w:val="center" w:pos="4536"/>
        <w:tab w:val="right" w:pos="9072"/>
      </w:tabs>
    </w:pPr>
  </w:style>
  <w:style w:type="paragraph" w:styleId="Textpoznpodarou">
    <w:name w:val="footnote text"/>
    <w:basedOn w:val="Normln"/>
    <w:semiHidden/>
    <w:rsid w:val="00A92050"/>
    <w:pPr>
      <w:tabs>
        <w:tab w:val="left" w:pos="425"/>
      </w:tabs>
      <w:ind w:left="425" w:hanging="425"/>
    </w:pPr>
    <w:rPr>
      <w:sz w:val="20"/>
    </w:rPr>
  </w:style>
  <w:style w:type="character" w:styleId="Znakapoznpodarou">
    <w:name w:val="footnote reference"/>
    <w:semiHidden/>
    <w:rsid w:val="00A92050"/>
    <w:rPr>
      <w:vertAlign w:val="superscript"/>
    </w:rPr>
  </w:style>
  <w:style w:type="paragraph" w:styleId="Titulek">
    <w:name w:val="caption"/>
    <w:basedOn w:val="Normln"/>
    <w:next w:val="Normln"/>
    <w:qFormat/>
    <w:rsid w:val="00A92050"/>
    <w:pPr>
      <w:spacing w:before="120" w:after="120"/>
    </w:pPr>
    <w:rPr>
      <w:b/>
    </w:rPr>
  </w:style>
  <w:style w:type="paragraph" w:customStyle="1" w:styleId="Nvrh">
    <w:name w:val="Návrh"/>
    <w:basedOn w:val="Normln"/>
    <w:next w:val="ZKON"/>
    <w:rsid w:val="00A92050"/>
    <w:pPr>
      <w:keepNext/>
      <w:keepLines/>
      <w:spacing w:after="240"/>
      <w:jc w:val="center"/>
      <w:outlineLvl w:val="0"/>
    </w:pPr>
    <w:rPr>
      <w:spacing w:val="40"/>
    </w:rPr>
  </w:style>
  <w:style w:type="paragraph" w:customStyle="1" w:styleId="Podpis">
    <w:name w:val="Podpis_"/>
    <w:basedOn w:val="Normln"/>
    <w:next w:val="funkce"/>
    <w:rsid w:val="00A92050"/>
    <w:pPr>
      <w:keepNext/>
      <w:keepLines/>
      <w:spacing w:before="720"/>
      <w:jc w:val="center"/>
    </w:pPr>
  </w:style>
  <w:style w:type="paragraph" w:customStyle="1" w:styleId="VARIANTA">
    <w:name w:val="VARIANTA"/>
    <w:basedOn w:val="Normln"/>
    <w:next w:val="Normln"/>
    <w:rsid w:val="00A92050"/>
    <w:pPr>
      <w:keepNext/>
      <w:spacing w:before="120" w:after="120"/>
    </w:pPr>
    <w:rPr>
      <w:caps/>
      <w:spacing w:val="60"/>
    </w:rPr>
  </w:style>
  <w:style w:type="paragraph" w:customStyle="1" w:styleId="VARIANTA-konec">
    <w:name w:val="VARIANTA - konec"/>
    <w:basedOn w:val="Normln"/>
    <w:next w:val="Normln"/>
    <w:rsid w:val="00A92050"/>
    <w:rPr>
      <w:caps/>
      <w:spacing w:val="60"/>
    </w:rPr>
  </w:style>
  <w:style w:type="paragraph" w:customStyle="1" w:styleId="Nadpisparagrafu">
    <w:name w:val="Nadpis paragrafu"/>
    <w:basedOn w:val="Paragraf"/>
    <w:next w:val="Textodstavce"/>
    <w:rsid w:val="00A92050"/>
    <w:rPr>
      <w:b/>
    </w:rPr>
  </w:style>
  <w:style w:type="paragraph" w:customStyle="1" w:styleId="Nadpislnku">
    <w:name w:val="Nadpis článku"/>
    <w:basedOn w:val="lnek"/>
    <w:next w:val="Textodstavce"/>
    <w:rsid w:val="00A92050"/>
    <w:rPr>
      <w:b/>
    </w:rPr>
  </w:style>
  <w:style w:type="paragraph" w:customStyle="1" w:styleId="Odsazentlatextu">
    <w:name w:val="Odsazení těla textu"/>
    <w:basedOn w:val="Normln"/>
    <w:rsid w:val="00B65891"/>
    <w:pPr>
      <w:tabs>
        <w:tab w:val="left" w:pos="-720"/>
        <w:tab w:val="left" w:pos="709"/>
      </w:tabs>
      <w:suppressAutoHyphens/>
      <w:ind w:left="709" w:hanging="709"/>
      <w:jc w:val="left"/>
    </w:pPr>
    <w:rPr>
      <w:szCs w:val="20"/>
      <w:lang w:eastAsia="zh-CN" w:bidi="hi-IN"/>
    </w:rPr>
  </w:style>
  <w:style w:type="paragraph" w:styleId="Odstavecseseznamem">
    <w:name w:val="List Paragraph"/>
    <w:basedOn w:val="Normln"/>
    <w:link w:val="OdstavecseseznamemChar"/>
    <w:uiPriority w:val="34"/>
    <w:qFormat/>
    <w:rsid w:val="00B65891"/>
    <w:pPr>
      <w:suppressAutoHyphens/>
      <w:spacing w:after="200" w:line="276" w:lineRule="auto"/>
      <w:ind w:left="720"/>
      <w:jc w:val="left"/>
    </w:pPr>
    <w:rPr>
      <w:rFonts w:ascii="Calibri" w:eastAsia="Calibri" w:hAnsi="Calibri" w:cs="Calibri"/>
      <w:sz w:val="22"/>
      <w:szCs w:val="20"/>
      <w:lang w:eastAsia="zh-CN" w:bidi="hi-IN"/>
    </w:rPr>
  </w:style>
  <w:style w:type="character" w:customStyle="1" w:styleId="OdstavecseseznamemChar">
    <w:name w:val="Odstavec se seznamem Char"/>
    <w:link w:val="Odstavecseseznamem"/>
    <w:uiPriority w:val="34"/>
    <w:locked/>
    <w:rsid w:val="00B65891"/>
    <w:rPr>
      <w:rFonts w:ascii="Calibri" w:eastAsia="Calibri" w:hAnsi="Calibri" w:cs="Calibri"/>
      <w:sz w:val="22"/>
      <w:lang w:eastAsia="zh-CN" w:bidi="hi-IN"/>
    </w:rPr>
  </w:style>
  <w:style w:type="paragraph" w:styleId="Bezmezer">
    <w:name w:val="No Spacing"/>
    <w:basedOn w:val="Normln"/>
    <w:uiPriority w:val="1"/>
    <w:qFormat/>
    <w:rsid w:val="00E57DF4"/>
    <w:rPr>
      <w:rFonts w:eastAsia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87</TotalTime>
  <Pages>9</Pages>
  <Words>3144</Words>
  <Characters>16668</Characters>
  <Application>Microsoft Office Word</Application>
  <DocSecurity>0</DocSecurity>
  <Lines>138</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19773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11</cp:revision>
  <cp:lastPrinted>2018-05-22T15:24:00Z</cp:lastPrinted>
  <dcterms:created xsi:type="dcterms:W3CDTF">2018-05-22T14:59:00Z</dcterms:created>
  <dcterms:modified xsi:type="dcterms:W3CDTF">2018-05-23T08:45:00Z</dcterms:modified>
  <cp:category/>
</cp:coreProperties>
</file>