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89BAB" w14:textId="7D1A4D4E" w:rsidR="0000474D" w:rsidRPr="00812091" w:rsidRDefault="00BA4BA1" w:rsidP="0000474D">
      <w:pPr>
        <w:pStyle w:val="Nvrh"/>
        <w:rPr>
          <w:color w:val="000000"/>
          <w:szCs w:val="24"/>
        </w:rPr>
      </w:pPr>
      <w:r>
        <w:rPr>
          <w:color w:val="000000"/>
          <w:szCs w:val="24"/>
        </w:rPr>
        <w:t>Vládní n</w:t>
      </w:r>
      <w:r w:rsidR="0000474D" w:rsidRPr="00812091">
        <w:rPr>
          <w:color w:val="000000"/>
          <w:szCs w:val="24"/>
        </w:rPr>
        <w:t>ávrh</w:t>
      </w:r>
      <w:r w:rsidR="00EF0077">
        <w:rPr>
          <w:color w:val="000000"/>
          <w:szCs w:val="24"/>
        </w:rPr>
        <w:t xml:space="preserve">                           </w:t>
      </w:r>
    </w:p>
    <w:p w14:paraId="54D8AE49" w14:textId="77777777" w:rsidR="0000474D" w:rsidRPr="00812091" w:rsidRDefault="0000474D" w:rsidP="0000474D">
      <w:pPr>
        <w:pStyle w:val="ZKON"/>
        <w:rPr>
          <w:color w:val="000000"/>
          <w:szCs w:val="24"/>
        </w:rPr>
      </w:pPr>
      <w:r w:rsidRPr="00812091">
        <w:rPr>
          <w:color w:val="000000"/>
          <w:szCs w:val="24"/>
        </w:rPr>
        <w:t>ZÁKON</w:t>
      </w:r>
    </w:p>
    <w:p w14:paraId="17A30515" w14:textId="77777777" w:rsidR="0000474D" w:rsidRPr="00812091" w:rsidRDefault="0000474D" w:rsidP="0000474D">
      <w:pPr>
        <w:pStyle w:val="nadpiszkona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>ze dne      2020</w:t>
      </w:r>
      <w:r w:rsidRPr="00812091">
        <w:rPr>
          <w:b w:val="0"/>
          <w:color w:val="000000"/>
          <w:szCs w:val="24"/>
        </w:rPr>
        <w:t>,</w:t>
      </w:r>
    </w:p>
    <w:p w14:paraId="6406B2F2" w14:textId="2D7C4EDC" w:rsidR="0000474D" w:rsidRPr="00812091" w:rsidRDefault="0000474D" w:rsidP="0000474D">
      <w:pPr>
        <w:pStyle w:val="nadpiszkona"/>
        <w:rPr>
          <w:color w:val="000000"/>
          <w:szCs w:val="24"/>
        </w:rPr>
      </w:pPr>
      <w:r w:rsidRPr="00812091">
        <w:rPr>
          <w:color w:val="000000"/>
          <w:szCs w:val="24"/>
        </w:rPr>
        <w:t xml:space="preserve">kterým se mění zákon </w:t>
      </w:r>
      <w:r>
        <w:rPr>
          <w:color w:val="000000"/>
          <w:szCs w:val="24"/>
        </w:rPr>
        <w:t>č. 555/199</w:t>
      </w:r>
      <w:r w:rsidR="002B7436">
        <w:rPr>
          <w:color w:val="000000"/>
          <w:szCs w:val="24"/>
        </w:rPr>
        <w:t>2</w:t>
      </w:r>
      <w:r>
        <w:rPr>
          <w:color w:val="000000"/>
          <w:szCs w:val="24"/>
        </w:rPr>
        <w:t xml:space="preserve"> Sb., o Vězeňské službě a justiční stráži České republiky, ve znění pozdějších předpisů</w:t>
      </w:r>
    </w:p>
    <w:p w14:paraId="700BD038" w14:textId="77777777" w:rsidR="0000474D" w:rsidRPr="00A80568" w:rsidRDefault="0000474D" w:rsidP="0000474D">
      <w:pPr>
        <w:pStyle w:val="Parlament"/>
        <w:rPr>
          <w:color w:val="000000"/>
          <w:szCs w:val="24"/>
        </w:rPr>
      </w:pPr>
      <w:r w:rsidRPr="00A80568">
        <w:rPr>
          <w:color w:val="000000"/>
          <w:szCs w:val="24"/>
        </w:rPr>
        <w:t>Parlament se usnesl na tomto zákoně České republiky:</w:t>
      </w:r>
    </w:p>
    <w:p w14:paraId="5F3C3127" w14:textId="77777777" w:rsidR="0000474D" w:rsidRDefault="0000474D" w:rsidP="0000474D">
      <w:pPr>
        <w:pStyle w:val="lnek"/>
        <w:spacing w:before="120"/>
        <w:rPr>
          <w:color w:val="000000"/>
          <w:szCs w:val="24"/>
          <w:lang w:val="cs-CZ"/>
        </w:rPr>
      </w:pPr>
      <w:r w:rsidRPr="00A80568">
        <w:rPr>
          <w:color w:val="000000"/>
          <w:szCs w:val="24"/>
        </w:rPr>
        <w:t xml:space="preserve">Čl. </w:t>
      </w:r>
      <w:r w:rsidRPr="00A80568">
        <w:rPr>
          <w:color w:val="000000"/>
          <w:szCs w:val="24"/>
          <w:lang w:val="cs-CZ"/>
        </w:rPr>
        <w:t>I</w:t>
      </w:r>
    </w:p>
    <w:p w14:paraId="23368501" w14:textId="77777777" w:rsidR="00CE087A" w:rsidRDefault="001147FE" w:rsidP="0000474D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V § 24 z</w:t>
      </w:r>
      <w:r w:rsidR="0000474D" w:rsidRPr="0000474D">
        <w:rPr>
          <w:rFonts w:ascii="Times New Roman" w:hAnsi="Times New Roman" w:cs="Times New Roman"/>
          <w:sz w:val="24"/>
          <w:szCs w:val="24"/>
          <w:lang w:eastAsia="x-none"/>
        </w:rPr>
        <w:t>ákon</w:t>
      </w:r>
      <w:r>
        <w:rPr>
          <w:rFonts w:ascii="Times New Roman" w:hAnsi="Times New Roman" w:cs="Times New Roman"/>
          <w:sz w:val="24"/>
          <w:szCs w:val="24"/>
          <w:lang w:eastAsia="x-none"/>
        </w:rPr>
        <w:t>a</w:t>
      </w:r>
      <w:r w:rsidR="0000474D" w:rsidRPr="0000474D">
        <w:rPr>
          <w:rFonts w:ascii="Times New Roman" w:hAnsi="Times New Roman" w:cs="Times New Roman"/>
          <w:sz w:val="24"/>
          <w:szCs w:val="24"/>
          <w:lang w:eastAsia="x-none"/>
        </w:rPr>
        <w:t xml:space="preserve"> č. 555/1992 Sb., o Vězeňské službě a justiční stráži České republiky, </w:t>
      </w:r>
      <w:r w:rsidR="009F1C64">
        <w:rPr>
          <w:rFonts w:ascii="Times New Roman" w:hAnsi="Times New Roman" w:cs="Times New Roman"/>
          <w:sz w:val="24"/>
          <w:szCs w:val="24"/>
          <w:lang w:eastAsia="x-none"/>
        </w:rPr>
        <w:br/>
      </w:r>
      <w:r w:rsidR="0000474D" w:rsidRPr="0000474D">
        <w:rPr>
          <w:rFonts w:ascii="Times New Roman" w:hAnsi="Times New Roman" w:cs="Times New Roman"/>
          <w:sz w:val="24"/>
          <w:szCs w:val="24"/>
          <w:lang w:eastAsia="x-none"/>
        </w:rPr>
        <w:t xml:space="preserve">ve znění zákona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č. </w:t>
      </w:r>
      <w:r w:rsidR="009F1C64">
        <w:rPr>
          <w:rFonts w:ascii="Times New Roman" w:hAnsi="Times New Roman" w:cs="Times New Roman"/>
          <w:sz w:val="24"/>
          <w:szCs w:val="24"/>
          <w:lang w:eastAsia="x-none"/>
        </w:rPr>
        <w:t>460/2000 Sb. a</w:t>
      </w:r>
      <w:r w:rsidR="0000474D" w:rsidRPr="0000474D">
        <w:rPr>
          <w:rFonts w:ascii="Times New Roman" w:hAnsi="Times New Roman" w:cs="Times New Roman"/>
          <w:sz w:val="24"/>
          <w:szCs w:val="24"/>
          <w:lang w:eastAsia="x-none"/>
        </w:rPr>
        <w:t xml:space="preserve"> zákona č. 129/2008 Sb.,</w:t>
      </w:r>
      <w:r w:rsidR="009F1C64">
        <w:rPr>
          <w:rFonts w:ascii="Times New Roman" w:hAnsi="Times New Roman" w:cs="Times New Roman"/>
          <w:sz w:val="24"/>
          <w:szCs w:val="24"/>
          <w:lang w:eastAsia="x-none"/>
        </w:rPr>
        <w:t xml:space="preserve"> se doplňují odstavce 3 až 5, které znějí:</w:t>
      </w:r>
      <w:r w:rsidR="0000474D" w:rsidRPr="0000474D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</w:p>
    <w:p w14:paraId="7D99370D" w14:textId="5E609E3F" w:rsidR="00CE087A" w:rsidRPr="00CE087A" w:rsidRDefault="00CE087A" w:rsidP="00133174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bookmarkStart w:id="0" w:name="_Hlk54715944"/>
      <w:r>
        <w:rPr>
          <w:rFonts w:ascii="Times New Roman" w:hAnsi="Times New Roman" w:cs="Times New Roman"/>
          <w:sz w:val="24"/>
          <w:szCs w:val="24"/>
          <w:lang w:eastAsia="x-none"/>
        </w:rPr>
        <w:t xml:space="preserve">„(3) Pokud síly a prostředky </w:t>
      </w:r>
      <w:r w:rsidR="001147FE">
        <w:rPr>
          <w:rFonts w:ascii="Times New Roman" w:hAnsi="Times New Roman" w:cs="Times New Roman"/>
          <w:sz w:val="24"/>
          <w:szCs w:val="24"/>
          <w:lang w:eastAsia="x-none"/>
        </w:rPr>
        <w:t>Vězeňské služby</w:t>
      </w:r>
      <w:r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 nebudou dostatečné k</w:t>
      </w:r>
      <w:r w:rsidR="009F1C64">
        <w:rPr>
          <w:rFonts w:ascii="Times New Roman" w:hAnsi="Times New Roman" w:cs="Times New Roman"/>
          <w:sz w:val="24"/>
          <w:szCs w:val="24"/>
          <w:lang w:eastAsia="x-none"/>
        </w:rPr>
        <w:t> </w:t>
      </w:r>
      <w:r w:rsidRPr="00CE087A">
        <w:rPr>
          <w:rFonts w:ascii="Times New Roman" w:hAnsi="Times New Roman" w:cs="Times New Roman"/>
          <w:sz w:val="24"/>
          <w:szCs w:val="24"/>
          <w:lang w:eastAsia="x-none"/>
        </w:rPr>
        <w:t>zajištění</w:t>
      </w:r>
      <w:r w:rsidR="00133174" w:rsidRPr="00133174">
        <w:t xml:space="preserve"> </w:t>
      </w:r>
      <w:r w:rsidR="00133174" w:rsidRPr="00133174">
        <w:rPr>
          <w:rFonts w:ascii="Times New Roman" w:hAnsi="Times New Roman" w:cs="Times New Roman"/>
          <w:sz w:val="24"/>
          <w:szCs w:val="24"/>
        </w:rPr>
        <w:t>s</w:t>
      </w:r>
      <w:r w:rsidR="00133174" w:rsidRPr="00133174">
        <w:rPr>
          <w:rFonts w:ascii="Times New Roman" w:hAnsi="Times New Roman" w:cs="Times New Roman"/>
          <w:sz w:val="24"/>
          <w:szCs w:val="24"/>
          <w:lang w:eastAsia="x-none"/>
        </w:rPr>
        <w:t>třežení vazební</w:t>
      </w:r>
      <w:r w:rsidR="00133174">
        <w:rPr>
          <w:rFonts w:ascii="Times New Roman" w:hAnsi="Times New Roman" w:cs="Times New Roman"/>
          <w:sz w:val="24"/>
          <w:szCs w:val="24"/>
          <w:lang w:eastAsia="x-none"/>
        </w:rPr>
        <w:t>ch věznic, věznic nebo</w:t>
      </w:r>
      <w:r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="00133174">
        <w:rPr>
          <w:rFonts w:ascii="Times New Roman" w:hAnsi="Times New Roman" w:cs="Times New Roman"/>
          <w:sz w:val="24"/>
          <w:szCs w:val="24"/>
          <w:lang w:eastAsia="x-none"/>
        </w:rPr>
        <w:t>ústav</w:t>
      </w:r>
      <w:r w:rsidR="00F914A8">
        <w:rPr>
          <w:rFonts w:ascii="Times New Roman" w:hAnsi="Times New Roman" w:cs="Times New Roman"/>
          <w:sz w:val="24"/>
          <w:szCs w:val="24"/>
          <w:lang w:eastAsia="x-none"/>
        </w:rPr>
        <w:t>ů</w:t>
      </w:r>
      <w:r w:rsidR="00133174" w:rsidRPr="00133174">
        <w:rPr>
          <w:rFonts w:ascii="Times New Roman" w:hAnsi="Times New Roman" w:cs="Times New Roman"/>
          <w:sz w:val="24"/>
          <w:szCs w:val="24"/>
          <w:lang w:eastAsia="x-none"/>
        </w:rPr>
        <w:t xml:space="preserve"> pro výkon zabezpečovací detence, </w:t>
      </w:r>
      <w:r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může vláda České republiky </w:t>
      </w:r>
      <w:r w:rsidR="001147FE">
        <w:rPr>
          <w:rFonts w:ascii="Times New Roman" w:hAnsi="Times New Roman" w:cs="Times New Roman"/>
          <w:sz w:val="24"/>
          <w:szCs w:val="24"/>
          <w:lang w:eastAsia="x-none"/>
        </w:rPr>
        <w:t xml:space="preserve">na nezbytnou dobu </w:t>
      </w:r>
      <w:r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povolat k plnění úkolů </w:t>
      </w:r>
      <w:r w:rsidR="00A64A68">
        <w:rPr>
          <w:rFonts w:ascii="Times New Roman" w:hAnsi="Times New Roman" w:cs="Times New Roman"/>
          <w:sz w:val="24"/>
          <w:szCs w:val="24"/>
          <w:lang w:eastAsia="x-none"/>
        </w:rPr>
        <w:t xml:space="preserve">Vězeňské služby </w:t>
      </w:r>
      <w:r w:rsidR="005348BC">
        <w:rPr>
          <w:rFonts w:ascii="Times New Roman" w:hAnsi="Times New Roman" w:cs="Times New Roman"/>
          <w:sz w:val="24"/>
          <w:szCs w:val="24"/>
          <w:lang w:eastAsia="x-none"/>
        </w:rPr>
        <w:t>příslušníky Policie České republiky</w:t>
      </w:r>
      <w:r w:rsidRPr="00CE087A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14:paraId="79E1D6B2" w14:textId="3EFAAE59" w:rsidR="00CE087A" w:rsidRPr="00CE087A" w:rsidRDefault="009708D5" w:rsidP="009F1C64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(4</w:t>
      </w:r>
      <w:r w:rsidR="00CE087A"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) </w:t>
      </w:r>
      <w:r w:rsidR="00517FB3">
        <w:rPr>
          <w:rFonts w:ascii="Times New Roman" w:hAnsi="Times New Roman" w:cs="Times New Roman"/>
          <w:sz w:val="24"/>
          <w:szCs w:val="24"/>
          <w:lang w:eastAsia="x-none"/>
        </w:rPr>
        <w:t>Příslušníci Policie České republiky</w:t>
      </w:r>
      <w:r w:rsidR="00517FB3" w:rsidDel="00517FB3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x-none"/>
        </w:rPr>
        <w:t>povolaní podle odstavce 3 mají při plnění úkolů Vězeňské služby</w:t>
      </w:r>
      <w:r w:rsidR="00CE087A"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x-none"/>
        </w:rPr>
        <w:t>oprávnění a</w:t>
      </w:r>
      <w:r w:rsidR="005348BC">
        <w:rPr>
          <w:rFonts w:ascii="Times New Roman" w:hAnsi="Times New Roman" w:cs="Times New Roman"/>
          <w:sz w:val="24"/>
          <w:szCs w:val="24"/>
          <w:lang w:eastAsia="x-none"/>
        </w:rPr>
        <w:t> </w:t>
      </w:r>
      <w:r>
        <w:rPr>
          <w:rFonts w:ascii="Times New Roman" w:hAnsi="Times New Roman" w:cs="Times New Roman"/>
          <w:sz w:val="24"/>
          <w:szCs w:val="24"/>
          <w:lang w:eastAsia="x-none"/>
        </w:rPr>
        <w:t>povinnosti příslušníků</w:t>
      </w:r>
      <w:r w:rsidR="00CE087A" w:rsidRPr="00CE087A">
        <w:rPr>
          <w:rFonts w:ascii="Times New Roman" w:hAnsi="Times New Roman" w:cs="Times New Roman"/>
          <w:sz w:val="24"/>
          <w:szCs w:val="24"/>
          <w:lang w:eastAsia="x-none"/>
        </w:rPr>
        <w:t>; vláda České republiky může rozsah těchto oprávnění a povinností omezit.</w:t>
      </w:r>
    </w:p>
    <w:p w14:paraId="67F656EF" w14:textId="5665D343" w:rsidR="001A5D26" w:rsidRDefault="009708D5" w:rsidP="001A5D26">
      <w:pPr>
        <w:spacing w:before="12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>(5</w:t>
      </w:r>
      <w:r w:rsidR="00CE087A"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) </w:t>
      </w:r>
      <w:r w:rsidR="00517FB3">
        <w:rPr>
          <w:rFonts w:ascii="Times New Roman" w:hAnsi="Times New Roman" w:cs="Times New Roman"/>
          <w:sz w:val="24"/>
          <w:szCs w:val="24"/>
          <w:lang w:eastAsia="x-none"/>
        </w:rPr>
        <w:t>Příslušníci Policie České republiky</w:t>
      </w:r>
      <w:r w:rsidR="00517FB3" w:rsidDel="00517FB3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x-none"/>
        </w:rPr>
        <w:t>povolaní podle odstavce 3</w:t>
      </w:r>
      <w:r w:rsidR="00CE087A" w:rsidRPr="00CE087A">
        <w:rPr>
          <w:rFonts w:ascii="Times New Roman" w:hAnsi="Times New Roman" w:cs="Times New Roman"/>
          <w:sz w:val="24"/>
          <w:szCs w:val="24"/>
          <w:lang w:eastAsia="x-none"/>
        </w:rPr>
        <w:t xml:space="preserve"> prokazují svou příslušnost k plnění úkolů </w:t>
      </w:r>
      <w:r w:rsidR="00493C4D">
        <w:rPr>
          <w:rFonts w:ascii="Times New Roman" w:hAnsi="Times New Roman" w:cs="Times New Roman"/>
          <w:sz w:val="24"/>
          <w:szCs w:val="24"/>
          <w:lang w:eastAsia="x-none"/>
        </w:rPr>
        <w:t>V</w:t>
      </w:r>
      <w:r w:rsidR="0091122A">
        <w:rPr>
          <w:rFonts w:ascii="Times New Roman" w:hAnsi="Times New Roman" w:cs="Times New Roman"/>
          <w:sz w:val="24"/>
          <w:szCs w:val="24"/>
          <w:lang w:eastAsia="x-none"/>
        </w:rPr>
        <w:t xml:space="preserve">ězeňské </w:t>
      </w:r>
      <w:r w:rsidR="00493C4D">
        <w:rPr>
          <w:rFonts w:ascii="Times New Roman" w:hAnsi="Times New Roman" w:cs="Times New Roman"/>
          <w:sz w:val="24"/>
          <w:szCs w:val="24"/>
          <w:lang w:eastAsia="x-none"/>
        </w:rPr>
        <w:t xml:space="preserve">služby </w:t>
      </w:r>
      <w:r w:rsidR="001A5D26" w:rsidRPr="001A5D26">
        <w:rPr>
          <w:rFonts w:ascii="Times New Roman" w:hAnsi="Times New Roman" w:cs="Times New Roman"/>
          <w:sz w:val="24"/>
          <w:szCs w:val="24"/>
          <w:lang w:eastAsia="x-none"/>
        </w:rPr>
        <w:t>svým předepsaným stejnokro</w:t>
      </w:r>
      <w:r w:rsidR="00831165">
        <w:rPr>
          <w:rFonts w:ascii="Times New Roman" w:hAnsi="Times New Roman" w:cs="Times New Roman"/>
          <w:sz w:val="24"/>
          <w:szCs w:val="24"/>
          <w:lang w:eastAsia="x-none"/>
        </w:rPr>
        <w:t xml:space="preserve">jem s vnějším označením </w:t>
      </w:r>
      <w:r w:rsidR="001A5D26">
        <w:rPr>
          <w:rFonts w:ascii="Times New Roman" w:hAnsi="Times New Roman" w:cs="Times New Roman"/>
          <w:sz w:val="24"/>
          <w:szCs w:val="24"/>
          <w:lang w:eastAsia="x-none"/>
        </w:rPr>
        <w:t>„</w:t>
      </w:r>
      <w:r w:rsidR="001F6105">
        <w:rPr>
          <w:rFonts w:ascii="Times New Roman" w:hAnsi="Times New Roman" w:cs="Times New Roman"/>
          <w:sz w:val="24"/>
          <w:szCs w:val="24"/>
          <w:lang w:eastAsia="x-none"/>
        </w:rPr>
        <w:t xml:space="preserve">VĚZEŇSKÁ SLUŽBA“. </w:t>
      </w:r>
      <w:r w:rsidR="001A5D26">
        <w:rPr>
          <w:rFonts w:ascii="Times New Roman" w:hAnsi="Times New Roman" w:cs="Times New Roman"/>
          <w:sz w:val="24"/>
          <w:szCs w:val="24"/>
          <w:lang w:eastAsia="x-none"/>
        </w:rPr>
        <w:t xml:space="preserve">Ústním prohlášením „Vězeňská služba“ prokazují </w:t>
      </w:r>
      <w:r w:rsidR="001A5D26" w:rsidRPr="00CE087A">
        <w:rPr>
          <w:rFonts w:ascii="Times New Roman" w:hAnsi="Times New Roman" w:cs="Times New Roman"/>
          <w:sz w:val="24"/>
          <w:szCs w:val="24"/>
          <w:lang w:eastAsia="x-none"/>
        </w:rPr>
        <w:t>svoji příslušnost ve výjimečných případech, kdy okolnosti služebního zákroku neumožňují prokázat příslušnost stanoveným způsobem</w:t>
      </w:r>
      <w:r w:rsidR="001A5D26">
        <w:rPr>
          <w:rFonts w:ascii="Times New Roman" w:hAnsi="Times New Roman" w:cs="Times New Roman"/>
          <w:sz w:val="24"/>
          <w:szCs w:val="24"/>
          <w:lang w:eastAsia="x-none"/>
        </w:rPr>
        <w:t xml:space="preserve">. </w:t>
      </w:r>
      <w:r w:rsidR="001A5D26" w:rsidRPr="001A5D26">
        <w:rPr>
          <w:rFonts w:ascii="Times New Roman" w:hAnsi="Times New Roman" w:cs="Times New Roman"/>
          <w:sz w:val="24"/>
          <w:szCs w:val="24"/>
          <w:lang w:eastAsia="x-none"/>
        </w:rPr>
        <w:t xml:space="preserve">Ministerstvo stanoví vyhláškou </w:t>
      </w:r>
      <w:r w:rsidR="001F6105">
        <w:rPr>
          <w:rFonts w:ascii="Times New Roman" w:hAnsi="Times New Roman" w:cs="Times New Roman"/>
          <w:sz w:val="24"/>
          <w:szCs w:val="24"/>
          <w:lang w:eastAsia="x-none"/>
        </w:rPr>
        <w:t>vzor</w:t>
      </w:r>
      <w:r w:rsidR="001A5D26">
        <w:rPr>
          <w:rFonts w:ascii="Times New Roman" w:hAnsi="Times New Roman" w:cs="Times New Roman"/>
          <w:sz w:val="24"/>
          <w:szCs w:val="24"/>
          <w:lang w:eastAsia="x-none"/>
        </w:rPr>
        <w:t xml:space="preserve"> vnějšího označení </w:t>
      </w:r>
      <w:r w:rsidR="00831165">
        <w:rPr>
          <w:rFonts w:ascii="Times New Roman" w:hAnsi="Times New Roman" w:cs="Times New Roman"/>
          <w:sz w:val="24"/>
          <w:szCs w:val="24"/>
          <w:lang w:eastAsia="x-none"/>
        </w:rPr>
        <w:t>„</w:t>
      </w:r>
      <w:r w:rsidR="001F6105">
        <w:rPr>
          <w:rFonts w:ascii="Times New Roman" w:hAnsi="Times New Roman" w:cs="Times New Roman"/>
          <w:sz w:val="24"/>
          <w:szCs w:val="24"/>
          <w:lang w:eastAsia="x-none"/>
        </w:rPr>
        <w:t>VĚZEŇSKÁ SLUŽBA</w:t>
      </w:r>
      <w:r w:rsidR="00831165" w:rsidRPr="001A5D26">
        <w:rPr>
          <w:rFonts w:ascii="Times New Roman" w:hAnsi="Times New Roman" w:cs="Times New Roman"/>
          <w:sz w:val="24"/>
          <w:szCs w:val="24"/>
          <w:lang w:eastAsia="x-none"/>
        </w:rPr>
        <w:t>“</w:t>
      </w:r>
      <w:r w:rsidR="001F6105">
        <w:rPr>
          <w:rFonts w:ascii="Times New Roman" w:hAnsi="Times New Roman" w:cs="Times New Roman"/>
          <w:sz w:val="24"/>
          <w:szCs w:val="24"/>
          <w:lang w:eastAsia="x-none"/>
        </w:rPr>
        <w:t>.</w:t>
      </w:r>
      <w:r w:rsidR="00DF3DB2">
        <w:rPr>
          <w:rFonts w:ascii="Times New Roman" w:hAnsi="Times New Roman" w:cs="Times New Roman"/>
          <w:sz w:val="24"/>
          <w:szCs w:val="24"/>
          <w:lang w:eastAsia="x-none"/>
        </w:rPr>
        <w:t>“.</w:t>
      </w:r>
    </w:p>
    <w:bookmarkEnd w:id="0"/>
    <w:p w14:paraId="5965950D" w14:textId="77777777" w:rsidR="00A96AFC" w:rsidRDefault="00A96AFC" w:rsidP="00570F2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6BA5A7E3" w14:textId="017E77AF" w:rsidR="00572BE0" w:rsidRDefault="00572BE0" w:rsidP="00572BE0">
      <w:pPr>
        <w:pStyle w:val="lnek"/>
        <w:rPr>
          <w:color w:val="000000"/>
          <w:szCs w:val="24"/>
          <w:lang w:val="cs-CZ"/>
        </w:rPr>
      </w:pPr>
      <w:r w:rsidRPr="00812091">
        <w:rPr>
          <w:color w:val="000000"/>
          <w:szCs w:val="24"/>
        </w:rPr>
        <w:t xml:space="preserve">Čl. </w:t>
      </w:r>
      <w:r>
        <w:rPr>
          <w:color w:val="000000"/>
          <w:szCs w:val="24"/>
          <w:lang w:val="cs-CZ"/>
        </w:rPr>
        <w:t>II</w:t>
      </w:r>
    </w:p>
    <w:p w14:paraId="6BC238C2" w14:textId="34171DF0" w:rsidR="00517FB3" w:rsidRPr="00570F2F" w:rsidRDefault="00517FB3" w:rsidP="00570F2F">
      <w:pPr>
        <w:pStyle w:val="lnek"/>
        <w:rPr>
          <w:b/>
          <w:color w:val="000000"/>
          <w:szCs w:val="24"/>
        </w:rPr>
      </w:pPr>
      <w:r w:rsidRPr="00570F2F">
        <w:rPr>
          <w:b/>
          <w:color w:val="000000"/>
          <w:szCs w:val="24"/>
        </w:rPr>
        <w:t>Účinnost</w:t>
      </w:r>
    </w:p>
    <w:p w14:paraId="4D26955E" w14:textId="5CC8CEED" w:rsidR="00572BE0" w:rsidRDefault="00572BE0" w:rsidP="001C59B1">
      <w:pPr>
        <w:pStyle w:val="lnek"/>
        <w:spacing w:before="120"/>
        <w:ind w:firstLine="426"/>
        <w:jc w:val="both"/>
        <w:rPr>
          <w:color w:val="000000"/>
          <w:szCs w:val="24"/>
          <w:lang w:val="cs-CZ"/>
        </w:rPr>
      </w:pPr>
      <w:r w:rsidRPr="001C59B1">
        <w:rPr>
          <w:color w:val="000000"/>
          <w:szCs w:val="24"/>
          <w:lang w:val="cs-CZ"/>
        </w:rPr>
        <w:t xml:space="preserve">Tento zákon nabývá účinnosti dnem </w:t>
      </w:r>
      <w:r>
        <w:rPr>
          <w:color w:val="000000"/>
          <w:szCs w:val="24"/>
          <w:lang w:val="cs-CZ"/>
        </w:rPr>
        <w:t>n</w:t>
      </w:r>
      <w:r w:rsidRPr="001C59B1">
        <w:rPr>
          <w:color w:val="000000"/>
          <w:szCs w:val="24"/>
          <w:lang w:val="cs-CZ"/>
        </w:rPr>
        <w:t>ásledující</w:t>
      </w:r>
      <w:r>
        <w:rPr>
          <w:color w:val="000000"/>
          <w:szCs w:val="24"/>
          <w:lang w:val="cs-CZ"/>
        </w:rPr>
        <w:t>m</w:t>
      </w:r>
      <w:r w:rsidRPr="001C59B1">
        <w:rPr>
          <w:color w:val="000000"/>
          <w:szCs w:val="24"/>
          <w:lang w:val="cs-CZ"/>
        </w:rPr>
        <w:t xml:space="preserve"> po </w:t>
      </w:r>
      <w:r w:rsidR="00CD369D">
        <w:rPr>
          <w:color w:val="000000"/>
          <w:szCs w:val="24"/>
          <w:lang w:val="cs-CZ"/>
        </w:rPr>
        <w:t xml:space="preserve">dni </w:t>
      </w:r>
      <w:r w:rsidRPr="001C59B1">
        <w:rPr>
          <w:color w:val="000000"/>
          <w:szCs w:val="24"/>
          <w:lang w:val="cs-CZ"/>
        </w:rPr>
        <w:t>jeho vyhlášení.</w:t>
      </w:r>
    </w:p>
    <w:p w14:paraId="1EB752BC" w14:textId="79EDBAB4" w:rsidR="00BA4BA1" w:rsidRDefault="00BA4BA1" w:rsidP="00BA4BA1">
      <w:pPr>
        <w:rPr>
          <w:lang w:eastAsia="x-none"/>
        </w:rPr>
      </w:pPr>
    </w:p>
    <w:p w14:paraId="30208560" w14:textId="6AA9829F" w:rsidR="00BA4BA1" w:rsidRDefault="00BA4BA1" w:rsidP="00BA4BA1">
      <w:pPr>
        <w:rPr>
          <w:lang w:eastAsia="x-none"/>
        </w:rPr>
      </w:pPr>
    </w:p>
    <w:p w14:paraId="04050A4C" w14:textId="5068B4BD" w:rsidR="00BA4BA1" w:rsidRDefault="00BA4BA1" w:rsidP="00BA4BA1">
      <w:pPr>
        <w:rPr>
          <w:lang w:eastAsia="x-none"/>
        </w:rPr>
      </w:pPr>
    </w:p>
    <w:p w14:paraId="5BEA9A2A" w14:textId="52291F7D" w:rsidR="00BA4BA1" w:rsidRDefault="00BA4BA1" w:rsidP="00BA4BA1">
      <w:pPr>
        <w:rPr>
          <w:lang w:eastAsia="x-none"/>
        </w:rPr>
      </w:pPr>
    </w:p>
    <w:p w14:paraId="0EA9DD46" w14:textId="7514AAD9" w:rsidR="00BA4BA1" w:rsidRDefault="00BA4BA1" w:rsidP="00BA4BA1">
      <w:pPr>
        <w:rPr>
          <w:lang w:eastAsia="x-none"/>
        </w:rPr>
      </w:pPr>
    </w:p>
    <w:p w14:paraId="34EB32A8" w14:textId="3E031932" w:rsidR="00BA4BA1" w:rsidRDefault="00BA4BA1" w:rsidP="00BA4BA1">
      <w:pPr>
        <w:rPr>
          <w:lang w:eastAsia="x-none"/>
        </w:rPr>
      </w:pPr>
    </w:p>
    <w:p w14:paraId="17EA558E" w14:textId="13E0D984" w:rsidR="00BA4BA1" w:rsidRDefault="00BA4BA1" w:rsidP="00BA4BA1">
      <w:pPr>
        <w:rPr>
          <w:lang w:eastAsia="x-none"/>
        </w:rPr>
      </w:pPr>
    </w:p>
    <w:p w14:paraId="340567E2" w14:textId="4E6F1527" w:rsidR="00BA4BA1" w:rsidRDefault="00BA4BA1" w:rsidP="00BA4BA1">
      <w:pPr>
        <w:rPr>
          <w:lang w:eastAsia="x-none"/>
        </w:rPr>
      </w:pPr>
    </w:p>
    <w:p w14:paraId="168B6105" w14:textId="7C15CD36" w:rsidR="00BA4BA1" w:rsidRDefault="00BA4BA1" w:rsidP="00BA4BA1">
      <w:pPr>
        <w:rPr>
          <w:lang w:eastAsia="x-none"/>
        </w:rPr>
      </w:pPr>
    </w:p>
    <w:p w14:paraId="674AF19E" w14:textId="77777777" w:rsidR="00BA4BA1" w:rsidRPr="00BA4BA1" w:rsidRDefault="00BA4BA1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DŮVODOVÁ ZPRÁVA</w:t>
      </w:r>
    </w:p>
    <w:p w14:paraId="4124258C" w14:textId="77777777" w:rsidR="00BA4BA1" w:rsidRPr="00BA4BA1" w:rsidRDefault="00BA4BA1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O b e c n á  č á s t</w:t>
      </w:r>
    </w:p>
    <w:p w14:paraId="22C13BF6" w14:textId="77777777" w:rsidR="00BA4BA1" w:rsidRPr="00BA4BA1" w:rsidRDefault="00BA4BA1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A260682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Hodnocení dopadů regulace podle obecných zásad</w:t>
      </w:r>
    </w:p>
    <w:p w14:paraId="4FD4A7A1" w14:textId="77777777" w:rsidR="00BA4BA1" w:rsidRPr="00BA4BA1" w:rsidRDefault="00BA4BA1" w:rsidP="00BA4BA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Hodnocení dopadů regulace (RIA) nebylo k tomuto návrhu zákona zpracováno na základě výjimky obsažené v článku 3.8 písm. c) Obecných zásad pro hodnocení RIA, neboť se navrhuje, aby návrh zákona byl projednán ve stavu legislativní nouze.</w:t>
      </w:r>
    </w:p>
    <w:p w14:paraId="2C2FB5BD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D5BDCDE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Zhodnocení platného právního stavu, odůvodnění hlavních principů navrhované právní úpravy a vysvětlení nezbytnosti navrhované právní úpravy v jejím celku</w:t>
      </w:r>
    </w:p>
    <w:p w14:paraId="0834F5E3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Spolupráci Vězeňské služby při plnění jejích úkolů s jinými složkami upravuje § 24 zákona </w:t>
      </w:r>
      <w:r w:rsidRPr="00BA4BA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č. 555/1992 Sb., o Vězeňské službě a justiční stráži České republiky, přičemž výslovně je zmíněna spolupráce s ozbrojenými bezpečnostními orgány České republiky, s dalšími orgány státu, s orgány obcí a s obdobnými institucemi v zahraničí. Takové obecné součinnostní ustanovení nicméně neumožňuje, aby tyto orgány přímo plnily úkoly zákonem svěřené Vězeňské službě. </w:t>
      </w:r>
    </w:p>
    <w:p w14:paraId="72C9B2A5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V § 24 odst. 2 citovaného zákona se Vězeňské službě umožňuje požádat o zásah Policii České republiky, tato možnost je však omezena na mimořádné situace typu vzpoury ve věznici, vazební věznici nebo v ústavu pro výkon zabezpečovací detence, kdy cílem takového zásahu je obnovení pořádku a bezpečnosti v objektech střežených Vězeňskou službou; jde o součinnost při (jednorázovém) zásahu, nikoli tedy při dlouhodobějším plnění úkolů Vězeňské služby. </w:t>
      </w:r>
    </w:p>
    <w:p w14:paraId="3ED75216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Ustanovení § 24a citovaného zákona pak upravuje pouze situaci opačnou, tj. povolání příslušníků Vězeňské služby k plnění úkolů Policie České republiky. </w:t>
      </w:r>
    </w:p>
    <w:p w14:paraId="6574F06E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Stávající právní úprava tak neumožňuje, aby byli příslušníci Policie České republiky (dále jen „policisté“) povoláni k plnění úkolů Vězeňské služby.</w:t>
      </w:r>
    </w:p>
    <w:p w14:paraId="52388F04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Cílem předkládaného návrhu zákona je umožnit, aby vláda na nezbytně nutnou dobu mohla nařízením vlády povolat policisty k plnění úkolů Vězeňské služby, pokud s ohledem na aktuální mimořádnou situaci Vězeňská služba není schopna zabezpečit plnění svých úkolů vlastními silami. </w:t>
      </w:r>
      <w:r w:rsidRPr="00BA4BA1">
        <w:rPr>
          <w:rFonts w:ascii="Times New Roman" w:eastAsia="Times New Roman" w:hAnsi="Times New Roman" w:cs="Times New Roman"/>
          <w:sz w:val="24"/>
          <w:szCs w:val="24"/>
          <w:lang w:eastAsia="cs-CZ"/>
        </w:rPr>
        <w:t>Taková možnost by se týkala obecně takových situací, kdy Vězeňská služba nemůže zajistit výkon strážní služby vlastními příslušníky např. z důvodu epidemiologické situace, živelné a ekologické katastrofy apod. v objektech Vězeňské služby.</w:t>
      </w:r>
    </w:p>
    <w:p w14:paraId="5ED36B3C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Tento stav by mohl zcela paralyzovat plnění některých úkolů Vězeňské služby podle ustanovení § 2 zákona č. 555/1992 Sb., o Vězeňské službě a justiční stráži České republiky. Policisté (či jiné osoby plnící úkoly Policie – viz § 22 zákona č. 273/2008 Sb., o Policii České republiky) povolaní k plnění úkolů Vězeňské služby by byli využiti k zajištění vnější ostrahy věznic, vazebních věznic a ústavů pro výkon zabezpečovací detence (samostatný výkon služby na strážních věžích), k výkonu strážní služby na vstupech a vjezdech do věznic a ve strážní a zásahové hlídce.</w:t>
      </w:r>
    </w:p>
    <w:p w14:paraId="1371898C" w14:textId="30A79756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B68087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Zhodnocení současného stavu a dopadů navrhovaného řešení ve vztahu k zákazu diskriminace a ve vztahu k rovnosti mužů a žen</w:t>
      </w:r>
    </w:p>
    <w:p w14:paraId="456D6527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Ani stávající, ani navrhovaná právní úprava nemá bezprostřední, ani sekundární dopady na rovnost mužů a žen a nevede k diskriminaci jednoho z pohlaví, neboť nijak nerozlišuje, </w:t>
      </w:r>
      <w:r w:rsidRPr="00BA4BA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ani nezvýhodňuje, jedno z pohlaví, a nestanoví pro něj odlišné podmínky. Stávající i navrhovaná právní úprava má zcela stejné dopady na muže i na ženy.</w:t>
      </w:r>
    </w:p>
    <w:p w14:paraId="10CE6628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931CFF7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Zhodnocení souladu navrhované právní úpravy s ústavním pořádkem České republiky, judikaturou Evropského soudu pro lidská práva, mezinárodními smlouvami, jimiž je Česká republika vázána, a s předpisy Evropské unie, judikaturou soudních orgánů Evropské unie nebo obecnými právními zásadami práva Evropské unie</w:t>
      </w:r>
    </w:p>
    <w:p w14:paraId="670422DA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Návrh je plně v souladu s čl. 2 odst. 2 Listiny základních práv a svobod, a s čl. 2 odst. 3 Ústavy, podle kterých lze státní moc uplatňovat v případech, v mezích a způsoby, které stanoví zákon, přičemž státní moc slouží všem občanům. Návrh se konkrétně nedotýká základních práv osob a respektuje ústavně zakotvenou dělbu moci. </w:t>
      </w:r>
    </w:p>
    <w:p w14:paraId="24B9E328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Mezinárodní smlouvy, jimiž je Česká republika vázána, ani judikatura Evropského soudu pro lidská práva se problematikou upravenou v návrhu zákona nezabývají. </w:t>
      </w:r>
    </w:p>
    <w:p w14:paraId="0A4C46D5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Times New Roman" w:hAnsi="Times New Roman" w:cs="Times New Roman"/>
          <w:bCs/>
          <w:sz w:val="24"/>
          <w:szCs w:val="24"/>
        </w:rPr>
        <w:t>Návrhem zákona nejsou implementovány ani adaptovány předpisy Evropské unie a návrh s nimi není ani v rozporu. Judikatura Evropského soudního dvora, ani obecné právní zásady práva Evropské unie se navržené úpravy nedotýkají.</w:t>
      </w:r>
    </w:p>
    <w:p w14:paraId="2B460FEE" w14:textId="77777777" w:rsidR="00BA4BA1" w:rsidRPr="00BA4BA1" w:rsidRDefault="00BA4BA1" w:rsidP="00BA4BA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</w:pPr>
    </w:p>
    <w:p w14:paraId="39DDD9EE" w14:textId="77777777" w:rsidR="00BA4BA1" w:rsidRPr="00BA4BA1" w:rsidRDefault="00BA4BA1" w:rsidP="00BA4BA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a dopady na životní prostředí</w:t>
      </w:r>
    </w:p>
    <w:p w14:paraId="0EFE4958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BA1"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Navrhovaná právní úprava není spojena s dopady na státní rozpočet, předpokládá se, že plnění úkolů Vězeňské služby povolanými policisty bude zajištěno v rámci schváleného státního rozpočtu a nebude požadováno jeho navýšení. </w:t>
      </w:r>
    </w:p>
    <w:p w14:paraId="4C506C31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BA1">
        <w:rPr>
          <w:rFonts w:ascii="Times New Roman" w:eastAsia="Times New Roman" w:hAnsi="Times New Roman" w:cs="Times New Roman"/>
          <w:bCs/>
          <w:sz w:val="24"/>
          <w:szCs w:val="24"/>
        </w:rPr>
        <w:t>Navrhovaná právní úprava není spojena ani s dopady na ostatní veřejné rozpočty. Nemá ani dopady na podnikatelské prostředí v České republice.</w:t>
      </w:r>
    </w:p>
    <w:p w14:paraId="4453689F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A4BA1"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Navrhovaná právní úprava sama o sobě jako taková není spojena se sociálními dopady </w:t>
      </w:r>
      <w:r w:rsidRPr="00BA4BA1">
        <w:rPr>
          <w:rFonts w:ascii="Times New Roman" w:eastAsia="Times New Roman" w:hAnsi="Times New Roman" w:cs="Times New Roman"/>
          <w:bCs/>
          <w:sz w:val="24"/>
          <w:szCs w:val="24"/>
        </w:rPr>
        <w:br/>
        <w:t>a dopady na rodinu.</w:t>
      </w:r>
    </w:p>
    <w:p w14:paraId="4EE166EA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35FFF7" w14:textId="77777777" w:rsidR="00BA4BA1" w:rsidRPr="00BA4BA1" w:rsidRDefault="00BA4BA1" w:rsidP="00BA4BA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Zhodnocení dopadů navrhovaného řešení ve vztahu k ochraně soukromí a osobních údajů</w:t>
      </w:r>
    </w:p>
    <w:p w14:paraId="0AA98239" w14:textId="77777777" w:rsidR="00BA4BA1" w:rsidRPr="00BA4BA1" w:rsidRDefault="00BA4BA1" w:rsidP="00BA4BA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Navrhovaná právní úprava se přímo nedotýká ochrany soukromí a osobních údajů. </w:t>
      </w:r>
    </w:p>
    <w:p w14:paraId="23F56FDE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9D1631B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Zhodnocení korupčních rizik</w:t>
      </w:r>
    </w:p>
    <w:p w14:paraId="10D3B2EA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Navrhovaná úprava nepřináší zvýšení korupčního rizika. </w:t>
      </w:r>
    </w:p>
    <w:p w14:paraId="24838603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Navrhovaná právní úprava není spojena s vyššími korupčními riziky, než kterým čelí příslušníci Policie České republiky obecně. Korupční riziko pro ně není nové, je přítomno i při účinnosti stávající právní úpravy. Prostředky ochrany proti tomuto riziku jsou tudíž obsaženy již ve stávající právní úpravě. </w:t>
      </w:r>
    </w:p>
    <w:p w14:paraId="64B8F41C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Kromě těchto pojistek spočívajících zejména v požadavcích stanovených na osoby, které jsou přijímány do služebního poměru, se čelí tomuto riziku i stanovením trestního postihu korupčního jednání.</w:t>
      </w:r>
    </w:p>
    <w:p w14:paraId="2679B9E7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DDA3B1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Zhodnocení dopadů na bezpečnost nebo obranu státu</w:t>
      </w:r>
    </w:p>
    <w:p w14:paraId="1FDD8FCD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Navrhovaná úprava je spojena s pozitivními dopady na bezpečnost státu, neboť umožňuje účinně zabezpečit plnění úkolů Vězeňské služby a tím zajistit vnitřní bezpečnost České republiky. Navržená úprava nemá ani negativní dopady na obranu státu. </w:t>
      </w:r>
    </w:p>
    <w:p w14:paraId="11E25E6D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4D42DB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Návrh na projednání návrhu zákona ve stavu legislativní nouze</w:t>
      </w:r>
    </w:p>
    <w:p w14:paraId="130A9B6F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Vzhledem k tomu, že v důsledku aktuální epidemiologické situace v České republice Vězeňská služba čelí obtížím při zabezpečení plnění svých úkolů a není vyloučeno zhoršení situace, se navrhuje, aby byl návrh zákona schválen ve stavu legislativní nouze za využití postupu podle § 99 odst. 2 zákona o jednacím řádu Poslanecké sněmovny a § 118 zákona o jednacím řádu Senátu.</w:t>
      </w:r>
    </w:p>
    <w:p w14:paraId="18F9BCEE" w14:textId="0D46B864" w:rsidR="00BA4BA1" w:rsidRDefault="00BA4BA1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1C98CF" w14:textId="77777777" w:rsidR="0090609B" w:rsidRPr="00BA4BA1" w:rsidRDefault="0090609B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D1B480" w14:textId="77777777" w:rsidR="00BA4BA1" w:rsidRPr="00BA4BA1" w:rsidRDefault="00BA4BA1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</w:rPr>
        <w:t>Z v l á š t n í   č á s t</w:t>
      </w:r>
    </w:p>
    <w:p w14:paraId="6B067B9F" w14:textId="77777777" w:rsidR="00BA4BA1" w:rsidRPr="00BA4BA1" w:rsidRDefault="00BA4BA1" w:rsidP="00BA4BA1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C17CE4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 čl. I  – změna zákona o Vězeňské službě a justiční stráži České republiky</w:t>
      </w:r>
    </w:p>
    <w:p w14:paraId="03E13A08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Ustanovení § 24 zákona se doplňuje tak, aby bylo možné na nezbytnou dobu posílit Vězeňskou službu při plnění úkolů strážní služby policisty. V podrobnostech ohledně předpokládaného rozsahu jejich činnosti lze odkázat na obecnou část odůvodnění (odůvodnění hlavních principů navrhované právní úpravy).</w:t>
      </w:r>
    </w:p>
    <w:p w14:paraId="727BFA7A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Povolaní policisté mají po dobu povolání stejná oprávnění a povinnosti jako příslušníci Vězeňské služby. Umožňuje se, aby, pokud nejsou všechna oprávnění a povinnosti pro vykonávanou činnost nutné, vláda v nařízení vlády jejich rozsah omezila.</w:t>
      </w:r>
    </w:p>
    <w:p w14:paraId="194515A8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>Příslušnost k Vězeňské službě budou povolaní policisté prokazovat svým stejnokrojem doplněným rukávovou páskou s vnějším označením „VĚZEŇSKÁ SLUŽBA“. Přípustné je též prokázání ústním prohlášením Vězeňská služba. Podobu rukávové pásky s vnějším označením bude upravovat vyhláška ministryně spravedlnosti.</w:t>
      </w:r>
    </w:p>
    <w:p w14:paraId="0A5C80E9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CA2AF0" w14:textId="77777777" w:rsidR="00BA4BA1" w:rsidRPr="00BA4BA1" w:rsidRDefault="00BA4BA1" w:rsidP="00BA4BA1">
      <w:pPr>
        <w:tabs>
          <w:tab w:val="left" w:pos="1020"/>
        </w:tabs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A4BA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K čl. II - účinnost</w:t>
      </w:r>
    </w:p>
    <w:p w14:paraId="7BDDE6D1" w14:textId="77777777" w:rsidR="00BA4BA1" w:rsidRP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S ohledem na současnou situaci, kdy Světová zdravotnická organizace (WHO) prohlásila epidemii koronaviru SARS-CoV-2 za pandemii, nelze postupovat podle § 3 odst. 3 zákona č. 309/1999 Sb., o Sbírce zákonů a o Sbírce mezinárodních smluv, tj. nelze stanovit účinnost k 1. lednu nebo k 1. červenci kalendářního roku. </w:t>
      </w:r>
    </w:p>
    <w:p w14:paraId="6B6E8CFF" w14:textId="4E7338D0" w:rsidR="00BA4BA1" w:rsidRDefault="00BA4BA1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Naopak je třeba postupovat podle odstavce 4 citovaného paragrafu, kdy je možné stanovit, že návrh zákona nabývá účinnosti dnem vyhlášení ve Sbírce zákonů, pokud je </w:t>
      </w:r>
      <w:r w:rsidRPr="00BA4BA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vyhlášen nouzový stav, stav ohrožení státu nebo válečný stav nebo vydává-li se právní předpis v souvislosti s ním anebo jedná-li se o zákonodárný proces ve stavu legislativní nouze. Tyto podmínky předkládaný návrh zákona splňuje, neboť je </w:t>
      </w:r>
      <w:r w:rsidRPr="00BA4BA1">
        <w:rPr>
          <w:rFonts w:ascii="Times New Roman" w:eastAsia="Calibri" w:hAnsi="Times New Roman" w:cs="Times New Roman"/>
          <w:bCs/>
          <w:sz w:val="24"/>
          <w:szCs w:val="24"/>
        </w:rPr>
        <w:t xml:space="preserve">předkládán v souvislosti s vyhlášeným </w:t>
      </w:r>
      <w:r w:rsidRPr="00BA4BA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nouzovým stavem a v režimu stavu legislativní nouze. Stanoví se, že návrh nabude účinnosti dnem po vyhlášení ve Sbírce zákonů.</w:t>
      </w:r>
    </w:p>
    <w:p w14:paraId="33DA9C82" w14:textId="77777777" w:rsidR="0090609B" w:rsidRDefault="0090609B" w:rsidP="004A4590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468FE5" w14:textId="77777777" w:rsidR="0090609B" w:rsidRDefault="0090609B" w:rsidP="004A4590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4378BF" w14:textId="77777777" w:rsidR="009539E4" w:rsidRPr="004A4590" w:rsidRDefault="009539E4" w:rsidP="009539E4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V Praze dne 30. listopadu 2020</w:t>
      </w:r>
    </w:p>
    <w:p w14:paraId="2D7C1AF8" w14:textId="77777777" w:rsidR="009539E4" w:rsidRPr="004A4590" w:rsidRDefault="009539E4" w:rsidP="009539E4">
      <w:pPr>
        <w:spacing w:before="120"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D236A8C" w14:textId="77777777" w:rsidR="009539E4" w:rsidRDefault="009539E4" w:rsidP="009539E4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Předseda vlády:</w:t>
      </w:r>
    </w:p>
    <w:p w14:paraId="22BB3728" w14:textId="77777777" w:rsidR="009539E4" w:rsidRDefault="009539E4" w:rsidP="009539E4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Ing. Andrej Babiš v. r.</w:t>
      </w:r>
    </w:p>
    <w:p w14:paraId="033FB926" w14:textId="77777777" w:rsidR="009539E4" w:rsidRDefault="009539E4" w:rsidP="009539E4">
      <w:pPr>
        <w:spacing w:before="120"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AEA273" w14:textId="77777777" w:rsidR="009539E4" w:rsidRDefault="009539E4" w:rsidP="009539E4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C9ADFBC" w14:textId="77777777" w:rsidR="009539E4" w:rsidRDefault="009539E4" w:rsidP="009539E4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Ministryně spravedlnosti:</w:t>
      </w:r>
    </w:p>
    <w:p w14:paraId="6C86047D" w14:textId="77777777" w:rsidR="009539E4" w:rsidRPr="00533945" w:rsidRDefault="009539E4" w:rsidP="009539E4">
      <w:pPr>
        <w:spacing w:before="120"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Mgr. Marie Benešová v. r.</w:t>
      </w:r>
    </w:p>
    <w:p w14:paraId="35575F33" w14:textId="77777777" w:rsidR="004A4590" w:rsidRPr="00BA4BA1" w:rsidRDefault="004A4590" w:rsidP="00BA4BA1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sectPr w:rsidR="004A4590" w:rsidRPr="00BA4B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201400" w16cid:durableId="2342EB44"/>
  <w16cid:commentId w16cid:paraId="658ABDE2" w16cid:durableId="2342E2D5"/>
  <w16cid:commentId w16cid:paraId="138CEF6C" w16cid:durableId="2342EE54"/>
  <w16cid:commentId w16cid:paraId="4BDAA6DD" w16cid:durableId="2342F015"/>
  <w16cid:commentId w16cid:paraId="12585374" w16cid:durableId="2342E9CD"/>
  <w16cid:commentId w16cid:paraId="3E30D771" w16cid:durableId="2342F976"/>
  <w16cid:commentId w16cid:paraId="75F47105" w16cid:durableId="2342EAE2"/>
  <w16cid:commentId w16cid:paraId="16999A67" w16cid:durableId="2342E2D6"/>
  <w16cid:commentId w16cid:paraId="40F3A14F" w16cid:durableId="2342F866"/>
  <w16cid:commentId w16cid:paraId="1DC52F7F" w16cid:durableId="2342E7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8762B" w14:textId="77777777" w:rsidR="000A746B" w:rsidRDefault="000A746B" w:rsidP="00B74F8F">
      <w:pPr>
        <w:spacing w:after="0" w:line="240" w:lineRule="auto"/>
      </w:pPr>
      <w:r>
        <w:separator/>
      </w:r>
    </w:p>
  </w:endnote>
  <w:endnote w:type="continuationSeparator" w:id="0">
    <w:p w14:paraId="34FA2846" w14:textId="77777777" w:rsidR="000A746B" w:rsidRDefault="000A746B" w:rsidP="00B7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70240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ED7575" w14:textId="3ABF8822" w:rsidR="00BA4BA1" w:rsidRPr="00BA4BA1" w:rsidRDefault="00BA4BA1">
        <w:pPr>
          <w:pStyle w:val="Zpat"/>
          <w:jc w:val="center"/>
          <w:rPr>
            <w:rFonts w:ascii="Times New Roman" w:hAnsi="Times New Roman" w:cs="Times New Roman"/>
          </w:rPr>
        </w:pPr>
        <w:r w:rsidRPr="00BA4BA1">
          <w:rPr>
            <w:rFonts w:ascii="Times New Roman" w:hAnsi="Times New Roman" w:cs="Times New Roman"/>
          </w:rPr>
          <w:fldChar w:fldCharType="begin"/>
        </w:r>
        <w:r w:rsidRPr="00BA4BA1">
          <w:rPr>
            <w:rFonts w:ascii="Times New Roman" w:hAnsi="Times New Roman" w:cs="Times New Roman"/>
          </w:rPr>
          <w:instrText>PAGE   \* MERGEFORMAT</w:instrText>
        </w:r>
        <w:r w:rsidRPr="00BA4BA1">
          <w:rPr>
            <w:rFonts w:ascii="Times New Roman" w:hAnsi="Times New Roman" w:cs="Times New Roman"/>
          </w:rPr>
          <w:fldChar w:fldCharType="separate"/>
        </w:r>
        <w:r w:rsidR="009539E4">
          <w:rPr>
            <w:rFonts w:ascii="Times New Roman" w:hAnsi="Times New Roman" w:cs="Times New Roman"/>
            <w:noProof/>
          </w:rPr>
          <w:t>4</w:t>
        </w:r>
        <w:r w:rsidRPr="00BA4BA1">
          <w:rPr>
            <w:rFonts w:ascii="Times New Roman" w:hAnsi="Times New Roman" w:cs="Times New Roman"/>
          </w:rPr>
          <w:fldChar w:fldCharType="end"/>
        </w:r>
      </w:p>
    </w:sdtContent>
  </w:sdt>
  <w:p w14:paraId="673FCE4B" w14:textId="77777777" w:rsidR="001911B1" w:rsidRDefault="001911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CC00A" w14:textId="77777777" w:rsidR="000A746B" w:rsidRDefault="000A746B" w:rsidP="00B74F8F">
      <w:pPr>
        <w:spacing w:after="0" w:line="240" w:lineRule="auto"/>
      </w:pPr>
      <w:r>
        <w:separator/>
      </w:r>
    </w:p>
  </w:footnote>
  <w:footnote w:type="continuationSeparator" w:id="0">
    <w:p w14:paraId="6D086E52" w14:textId="77777777" w:rsidR="000A746B" w:rsidRDefault="000A746B" w:rsidP="00B74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A91"/>
    <w:multiLevelType w:val="singleLevel"/>
    <w:tmpl w:val="A3547B6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1" w15:restartNumberingAfterBreak="0">
    <w:nsid w:val="500F11B7"/>
    <w:multiLevelType w:val="hybridMultilevel"/>
    <w:tmpl w:val="179893F6"/>
    <w:lvl w:ilvl="0" w:tplc="ADE01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66848"/>
    <w:multiLevelType w:val="hybridMultilevel"/>
    <w:tmpl w:val="29760E36"/>
    <w:lvl w:ilvl="0" w:tplc="993E4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AC8"/>
    <w:rsid w:val="0000474D"/>
    <w:rsid w:val="00016225"/>
    <w:rsid w:val="0002092B"/>
    <w:rsid w:val="000278FB"/>
    <w:rsid w:val="00041B6E"/>
    <w:rsid w:val="00056C87"/>
    <w:rsid w:val="00086370"/>
    <w:rsid w:val="000A746B"/>
    <w:rsid w:val="000B2510"/>
    <w:rsid w:val="001147FE"/>
    <w:rsid w:val="0012698C"/>
    <w:rsid w:val="00133174"/>
    <w:rsid w:val="00165074"/>
    <w:rsid w:val="001911B1"/>
    <w:rsid w:val="001A46DE"/>
    <w:rsid w:val="001A5D26"/>
    <w:rsid w:val="001C59B1"/>
    <w:rsid w:val="001D08A8"/>
    <w:rsid w:val="001E6369"/>
    <w:rsid w:val="001F6105"/>
    <w:rsid w:val="0024119F"/>
    <w:rsid w:val="002B7436"/>
    <w:rsid w:val="002F59D0"/>
    <w:rsid w:val="00305808"/>
    <w:rsid w:val="00346224"/>
    <w:rsid w:val="003F1E8A"/>
    <w:rsid w:val="00447CEF"/>
    <w:rsid w:val="00451198"/>
    <w:rsid w:val="00493C4D"/>
    <w:rsid w:val="004A4590"/>
    <w:rsid w:val="004C566A"/>
    <w:rsid w:val="004C7BBB"/>
    <w:rsid w:val="005042F7"/>
    <w:rsid w:val="00517FB3"/>
    <w:rsid w:val="00525370"/>
    <w:rsid w:val="005348BC"/>
    <w:rsid w:val="005557C4"/>
    <w:rsid w:val="00570F2F"/>
    <w:rsid w:val="00572BE0"/>
    <w:rsid w:val="005A04BB"/>
    <w:rsid w:val="006252AE"/>
    <w:rsid w:val="00625ADF"/>
    <w:rsid w:val="006355E5"/>
    <w:rsid w:val="006448B5"/>
    <w:rsid w:val="006734FC"/>
    <w:rsid w:val="006B04A3"/>
    <w:rsid w:val="00703813"/>
    <w:rsid w:val="00763AC8"/>
    <w:rsid w:val="007A0936"/>
    <w:rsid w:val="007A43A0"/>
    <w:rsid w:val="007D14E3"/>
    <w:rsid w:val="00831165"/>
    <w:rsid w:val="00896419"/>
    <w:rsid w:val="0090609B"/>
    <w:rsid w:val="0091122A"/>
    <w:rsid w:val="00941E05"/>
    <w:rsid w:val="009539E4"/>
    <w:rsid w:val="00955979"/>
    <w:rsid w:val="009708D5"/>
    <w:rsid w:val="009A11DF"/>
    <w:rsid w:val="009C5170"/>
    <w:rsid w:val="009F1688"/>
    <w:rsid w:val="009F1C64"/>
    <w:rsid w:val="00A64A68"/>
    <w:rsid w:val="00A96AFC"/>
    <w:rsid w:val="00B74F8F"/>
    <w:rsid w:val="00BA081C"/>
    <w:rsid w:val="00BA4BA1"/>
    <w:rsid w:val="00BD16BA"/>
    <w:rsid w:val="00BF6661"/>
    <w:rsid w:val="00C13428"/>
    <w:rsid w:val="00C405FF"/>
    <w:rsid w:val="00C770CC"/>
    <w:rsid w:val="00C96F01"/>
    <w:rsid w:val="00CA3A97"/>
    <w:rsid w:val="00CC1B11"/>
    <w:rsid w:val="00CD369D"/>
    <w:rsid w:val="00CE087A"/>
    <w:rsid w:val="00CE26A0"/>
    <w:rsid w:val="00CE398E"/>
    <w:rsid w:val="00D019EC"/>
    <w:rsid w:val="00DA5360"/>
    <w:rsid w:val="00DB42FC"/>
    <w:rsid w:val="00DF02E1"/>
    <w:rsid w:val="00DF3DB2"/>
    <w:rsid w:val="00E32A75"/>
    <w:rsid w:val="00E82ADB"/>
    <w:rsid w:val="00EC3D7A"/>
    <w:rsid w:val="00EF0077"/>
    <w:rsid w:val="00F914A8"/>
    <w:rsid w:val="00FB738E"/>
    <w:rsid w:val="00FD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8AC764"/>
  <w15:docId w15:val="{E03BABBA-1FC6-4C61-BE11-79F77B31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ON">
    <w:name w:val="ZÁKON"/>
    <w:basedOn w:val="Normln"/>
    <w:next w:val="nadpiszkona"/>
    <w:rsid w:val="0000474D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customStyle="1" w:styleId="nadpiszkona">
    <w:name w:val="nadpis zákona"/>
    <w:basedOn w:val="Normln"/>
    <w:next w:val="Normln"/>
    <w:rsid w:val="0000474D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vrh">
    <w:name w:val="Návrh"/>
    <w:basedOn w:val="Normln"/>
    <w:next w:val="ZKON"/>
    <w:rsid w:val="0000474D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  <w:lang w:eastAsia="cs-CZ"/>
    </w:rPr>
  </w:style>
  <w:style w:type="paragraph" w:customStyle="1" w:styleId="lnek">
    <w:name w:val="Článek"/>
    <w:basedOn w:val="Normln"/>
    <w:next w:val="Normln"/>
    <w:link w:val="lnekChar"/>
    <w:rsid w:val="0000474D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lnekChar">
    <w:name w:val="Článek Char"/>
    <w:link w:val="lnek"/>
    <w:rsid w:val="0000474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">
    <w:name w:val="ČÁST"/>
    <w:basedOn w:val="Normln"/>
    <w:next w:val="NADPISSTI"/>
    <w:rsid w:val="0000474D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00474D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DPISSTIChar">
    <w:name w:val="NADPIS ČÁSTI Char"/>
    <w:link w:val="NADPISSTI"/>
    <w:rsid w:val="0000474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Parlament">
    <w:name w:val="Parlament"/>
    <w:basedOn w:val="Normln"/>
    <w:next w:val="Normln"/>
    <w:rsid w:val="0000474D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E087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33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31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317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31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317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17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74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F8F"/>
  </w:style>
  <w:style w:type="paragraph" w:styleId="Zpat">
    <w:name w:val="footer"/>
    <w:basedOn w:val="Normln"/>
    <w:link w:val="ZpatChar"/>
    <w:uiPriority w:val="99"/>
    <w:unhideWhenUsed/>
    <w:rsid w:val="00B74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F8F"/>
  </w:style>
  <w:style w:type="paragraph" w:styleId="Revize">
    <w:name w:val="Revision"/>
    <w:hidden/>
    <w:uiPriority w:val="99"/>
    <w:semiHidden/>
    <w:rsid w:val="00BD16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2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5" w:color="CCCCCC"/>
          </w:divBdr>
          <w:divsChild>
            <w:div w:id="176949980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0438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12261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7585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08947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8788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9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3939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3553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3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9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1448</Words>
  <Characters>8546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Trešlová Lenka Mgr.</dc:creator>
  <cp:lastModifiedBy>Magová Veronika, Mgr.</cp:lastModifiedBy>
  <cp:revision>17</cp:revision>
  <dcterms:created xsi:type="dcterms:W3CDTF">2020-11-23T14:04:00Z</dcterms:created>
  <dcterms:modified xsi:type="dcterms:W3CDTF">2020-11-30T15:15:00Z</dcterms:modified>
</cp:coreProperties>
</file>