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66C" w:rsidRDefault="001E666C">
      <w:pPr>
        <w:spacing w:before="1440"/>
      </w:pPr>
    </w:p>
    <w:p w:rsidR="00E91B17" w:rsidRDefault="00E91B17">
      <w:pPr>
        <w:spacing w:before="1440"/>
      </w:pPr>
    </w:p>
    <w:p w:rsidR="00AB04B4" w:rsidRDefault="00AB04B4" w:rsidP="00AB04B4">
      <w:pPr>
        <w:pStyle w:val="Styl18bTunzarovnnnasted"/>
      </w:pPr>
      <w:r>
        <w:t>NÁVRH</w:t>
      </w:r>
    </w:p>
    <w:p w:rsidR="00AB04B4" w:rsidRDefault="00AB04B4" w:rsidP="00AB04B4">
      <w:pPr>
        <w:pStyle w:val="Styl18bTunzarovnnnasted"/>
      </w:pPr>
      <w:r>
        <w:t>STÁTNÍHO ZÁVĚREČNÉHO ÚČTU</w:t>
      </w:r>
    </w:p>
    <w:p w:rsidR="00AB04B4" w:rsidRDefault="00AB04B4" w:rsidP="00AB04B4">
      <w:pPr>
        <w:pStyle w:val="Styl18bTunzarovnnnasted"/>
      </w:pPr>
      <w:r>
        <w:t>ČESKÉ REPUBLIKY</w:t>
      </w:r>
    </w:p>
    <w:p w:rsidR="001E666C" w:rsidRDefault="00AB04B4" w:rsidP="00AB04B4">
      <w:pPr>
        <w:pStyle w:val="Styl18bTunzarovnnnasted"/>
        <w:rPr>
          <w:spacing w:val="22"/>
        </w:rPr>
      </w:pPr>
      <w:r>
        <w:t>ZA ROK 201</w:t>
      </w:r>
      <w:r w:rsidR="00D408D1">
        <w:t>7</w:t>
      </w:r>
    </w:p>
    <w:p w:rsidR="001E666C" w:rsidRDefault="001E666C" w:rsidP="0079366D">
      <w:pPr>
        <w:pStyle w:val="Styl18bTunzarovnnnasted"/>
      </w:pPr>
    </w:p>
    <w:p w:rsidR="001E666C" w:rsidRDefault="001E666C" w:rsidP="0079366D">
      <w:pPr>
        <w:pStyle w:val="Styl18bTunzarovnnnasted"/>
      </w:pPr>
    </w:p>
    <w:p w:rsidR="001E666C" w:rsidRPr="00EF234E" w:rsidRDefault="002B7BD8" w:rsidP="0079366D">
      <w:pPr>
        <w:pStyle w:val="Styl18bTunzarovnnnasted"/>
        <w:rPr>
          <w:color w:val="000080"/>
        </w:rPr>
      </w:pPr>
      <w:r>
        <w:rPr>
          <w:color w:val="000080"/>
        </w:rPr>
        <w:t>E</w:t>
      </w:r>
      <w:r w:rsidR="001E666C" w:rsidRPr="00EF234E">
        <w:rPr>
          <w:color w:val="000080"/>
        </w:rPr>
        <w:t>.</w:t>
      </w:r>
    </w:p>
    <w:p w:rsidR="001E666C" w:rsidRPr="00EF234E" w:rsidRDefault="00CB7B61" w:rsidP="0079366D">
      <w:pPr>
        <w:pStyle w:val="Styl18bTunzarovnnnasted"/>
        <w:rPr>
          <w:color w:val="000080"/>
          <w:szCs w:val="28"/>
        </w:rPr>
      </w:pPr>
      <w:r>
        <w:rPr>
          <w:color w:val="000080"/>
          <w:szCs w:val="28"/>
        </w:rPr>
        <w:t xml:space="preserve">ZPRÁVA O řÍZENÍ </w:t>
      </w:r>
      <w:r w:rsidR="001E666C">
        <w:rPr>
          <w:color w:val="000080"/>
          <w:szCs w:val="28"/>
        </w:rPr>
        <w:t>státní</w:t>
      </w:r>
      <w:r>
        <w:rPr>
          <w:color w:val="000080"/>
          <w:szCs w:val="28"/>
        </w:rPr>
        <w:t>HO</w:t>
      </w:r>
      <w:r w:rsidR="001E666C">
        <w:rPr>
          <w:color w:val="000080"/>
          <w:szCs w:val="28"/>
        </w:rPr>
        <w:t xml:space="preserve"> dluh</w:t>
      </w:r>
      <w:r>
        <w:rPr>
          <w:color w:val="000080"/>
          <w:szCs w:val="28"/>
        </w:rPr>
        <w:t>U</w:t>
      </w:r>
    </w:p>
    <w:p w:rsidR="001E666C" w:rsidRDefault="001E666C" w:rsidP="0079366D"/>
    <w:p w:rsidR="001E666C" w:rsidRDefault="001E666C" w:rsidP="0079366D">
      <w:pPr>
        <w:pStyle w:val="Nzev"/>
        <w:spacing w:line="360" w:lineRule="atLeast"/>
        <w:outlineLvl w:val="0"/>
        <w:rPr>
          <w:spacing w:val="40"/>
        </w:rPr>
        <w:sectPr w:rsidR="001E666C" w:rsidSect="000E053A">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418" w:left="1418" w:header="567" w:footer="567" w:gutter="0"/>
          <w:paperSrc w:first="7" w:other="7"/>
          <w:cols w:space="708"/>
        </w:sectPr>
      </w:pPr>
    </w:p>
    <w:p w:rsidR="001E666C" w:rsidRDefault="001E666C" w:rsidP="0079366D">
      <w:pPr>
        <w:rPr>
          <w:b/>
          <w:sz w:val="28"/>
          <w:szCs w:val="28"/>
        </w:rPr>
      </w:pPr>
      <w:r w:rsidRPr="006C3F64">
        <w:rPr>
          <w:b/>
          <w:sz w:val="28"/>
          <w:szCs w:val="28"/>
        </w:rPr>
        <w:lastRenderedPageBreak/>
        <w:t>Obsah</w:t>
      </w:r>
    </w:p>
    <w:p w:rsidR="00CC25B2" w:rsidRPr="006C3F64" w:rsidRDefault="00CC25B2" w:rsidP="0079366D">
      <w:pPr>
        <w:rPr>
          <w:b/>
          <w:sz w:val="28"/>
          <w:szCs w:val="28"/>
        </w:rPr>
      </w:pPr>
    </w:p>
    <w:p w:rsidR="003933BF" w:rsidRDefault="00A66E17">
      <w:pPr>
        <w:pStyle w:val="Obsah1"/>
        <w:tabs>
          <w:tab w:val="left" w:pos="480"/>
          <w:tab w:val="right" w:leader="dot" w:pos="9061"/>
        </w:tabs>
        <w:rPr>
          <w:rFonts w:asciiTheme="minorHAnsi" w:eastAsiaTheme="minorEastAsia" w:hAnsiTheme="minorHAnsi" w:cstheme="minorBidi"/>
          <w:b w:val="0"/>
          <w:bCs w:val="0"/>
          <w:caps w:val="0"/>
          <w:noProof/>
          <w:sz w:val="22"/>
          <w:szCs w:val="22"/>
        </w:rPr>
      </w:pPr>
      <w:r>
        <w:fldChar w:fldCharType="begin"/>
      </w:r>
      <w:r w:rsidR="001E666C">
        <w:instrText xml:space="preserve"> TOC \o "1-3" \h \z \u </w:instrText>
      </w:r>
      <w:r>
        <w:fldChar w:fldCharType="separate"/>
      </w:r>
      <w:hyperlink w:anchor="_Toc508286918" w:history="1">
        <w:r w:rsidR="003933BF" w:rsidRPr="002F2D89">
          <w:rPr>
            <w:rStyle w:val="Hypertextovodkaz"/>
            <w:noProof/>
          </w:rPr>
          <w:t>I.</w:t>
        </w:r>
        <w:r w:rsidR="003933BF">
          <w:rPr>
            <w:rFonts w:asciiTheme="minorHAnsi" w:eastAsiaTheme="minorEastAsia" w:hAnsiTheme="minorHAnsi" w:cstheme="minorBidi"/>
            <w:b w:val="0"/>
            <w:bCs w:val="0"/>
            <w:caps w:val="0"/>
            <w:noProof/>
            <w:sz w:val="22"/>
            <w:szCs w:val="22"/>
          </w:rPr>
          <w:tab/>
        </w:r>
        <w:r w:rsidR="003933BF" w:rsidRPr="002F2D89">
          <w:rPr>
            <w:rStyle w:val="Hypertextovodkaz"/>
            <w:noProof/>
          </w:rPr>
          <w:t>Vývoj a stav státního dluhu</w:t>
        </w:r>
        <w:r w:rsidR="003933BF">
          <w:rPr>
            <w:noProof/>
            <w:webHidden/>
          </w:rPr>
          <w:tab/>
        </w:r>
        <w:r w:rsidR="003933BF">
          <w:rPr>
            <w:noProof/>
            <w:webHidden/>
          </w:rPr>
          <w:fldChar w:fldCharType="begin"/>
        </w:r>
        <w:r w:rsidR="003933BF">
          <w:rPr>
            <w:noProof/>
            <w:webHidden/>
          </w:rPr>
          <w:instrText xml:space="preserve"> PAGEREF _Toc508286918 \h </w:instrText>
        </w:r>
        <w:r w:rsidR="003933BF">
          <w:rPr>
            <w:noProof/>
            <w:webHidden/>
          </w:rPr>
        </w:r>
        <w:r w:rsidR="003933BF">
          <w:rPr>
            <w:noProof/>
            <w:webHidden/>
          </w:rPr>
          <w:fldChar w:fldCharType="separate"/>
        </w:r>
        <w:r w:rsidR="00E8377E">
          <w:rPr>
            <w:noProof/>
            <w:webHidden/>
          </w:rPr>
          <w:t>1</w:t>
        </w:r>
        <w:r w:rsidR="003933BF">
          <w:rPr>
            <w:noProof/>
            <w:webHidden/>
          </w:rPr>
          <w:fldChar w:fldCharType="end"/>
        </w:r>
      </w:hyperlink>
    </w:p>
    <w:p w:rsidR="003933BF" w:rsidRDefault="000C0143">
      <w:pPr>
        <w:pStyle w:val="Obsah2"/>
        <w:tabs>
          <w:tab w:val="left" w:pos="720"/>
          <w:tab w:val="right" w:leader="dot" w:pos="9061"/>
        </w:tabs>
        <w:rPr>
          <w:rFonts w:asciiTheme="minorHAnsi" w:eastAsiaTheme="minorEastAsia" w:hAnsiTheme="minorHAnsi" w:cstheme="minorBidi"/>
          <w:smallCaps w:val="0"/>
          <w:noProof/>
          <w:sz w:val="22"/>
          <w:szCs w:val="22"/>
        </w:rPr>
      </w:pPr>
      <w:hyperlink w:anchor="_Toc508286919" w:history="1">
        <w:r w:rsidR="003933BF" w:rsidRPr="002F2D89">
          <w:rPr>
            <w:rStyle w:val="Hypertextovodkaz"/>
            <w:noProof/>
          </w:rPr>
          <w:t>1.</w:t>
        </w:r>
        <w:r w:rsidR="003933BF">
          <w:rPr>
            <w:rFonts w:asciiTheme="minorHAnsi" w:eastAsiaTheme="minorEastAsia" w:hAnsiTheme="minorHAnsi" w:cstheme="minorBidi"/>
            <w:smallCaps w:val="0"/>
            <w:noProof/>
            <w:sz w:val="22"/>
            <w:szCs w:val="22"/>
          </w:rPr>
          <w:tab/>
        </w:r>
        <w:r w:rsidR="003933BF" w:rsidRPr="002F2D89">
          <w:rPr>
            <w:rStyle w:val="Hypertextovodkaz"/>
            <w:noProof/>
          </w:rPr>
          <w:t>Vývoj státního dluhu v letech 2008 až 2017</w:t>
        </w:r>
        <w:r w:rsidR="003933BF">
          <w:rPr>
            <w:noProof/>
            <w:webHidden/>
          </w:rPr>
          <w:tab/>
        </w:r>
        <w:r w:rsidR="003933BF">
          <w:rPr>
            <w:noProof/>
            <w:webHidden/>
          </w:rPr>
          <w:fldChar w:fldCharType="begin"/>
        </w:r>
        <w:r w:rsidR="003933BF">
          <w:rPr>
            <w:noProof/>
            <w:webHidden/>
          </w:rPr>
          <w:instrText xml:space="preserve"> PAGEREF _Toc508286919 \h </w:instrText>
        </w:r>
        <w:r w:rsidR="003933BF">
          <w:rPr>
            <w:noProof/>
            <w:webHidden/>
          </w:rPr>
        </w:r>
        <w:r w:rsidR="003933BF">
          <w:rPr>
            <w:noProof/>
            <w:webHidden/>
          </w:rPr>
          <w:fldChar w:fldCharType="separate"/>
        </w:r>
        <w:r w:rsidR="00E8377E">
          <w:rPr>
            <w:noProof/>
            <w:webHidden/>
          </w:rPr>
          <w:t>1</w:t>
        </w:r>
        <w:r w:rsidR="003933BF">
          <w:rPr>
            <w:noProof/>
            <w:webHidden/>
          </w:rPr>
          <w:fldChar w:fldCharType="end"/>
        </w:r>
      </w:hyperlink>
    </w:p>
    <w:p w:rsidR="003933BF" w:rsidRDefault="000C0143">
      <w:pPr>
        <w:pStyle w:val="Obsah2"/>
        <w:tabs>
          <w:tab w:val="left" w:pos="720"/>
          <w:tab w:val="right" w:leader="dot" w:pos="9061"/>
        </w:tabs>
        <w:rPr>
          <w:rFonts w:asciiTheme="minorHAnsi" w:eastAsiaTheme="minorEastAsia" w:hAnsiTheme="minorHAnsi" w:cstheme="minorBidi"/>
          <w:smallCaps w:val="0"/>
          <w:noProof/>
          <w:sz w:val="22"/>
          <w:szCs w:val="22"/>
        </w:rPr>
      </w:pPr>
      <w:hyperlink w:anchor="_Toc508286920" w:history="1">
        <w:r w:rsidR="003933BF" w:rsidRPr="002F2D89">
          <w:rPr>
            <w:rStyle w:val="Hypertextovodkaz"/>
            <w:noProof/>
          </w:rPr>
          <w:t>2.</w:t>
        </w:r>
        <w:r w:rsidR="003933BF">
          <w:rPr>
            <w:rFonts w:asciiTheme="minorHAnsi" w:eastAsiaTheme="minorEastAsia" w:hAnsiTheme="minorHAnsi" w:cstheme="minorBidi"/>
            <w:smallCaps w:val="0"/>
            <w:noProof/>
            <w:sz w:val="22"/>
            <w:szCs w:val="22"/>
          </w:rPr>
          <w:tab/>
        </w:r>
        <w:r w:rsidR="003933BF" w:rsidRPr="002F2D89">
          <w:rPr>
            <w:rStyle w:val="Hypertextovodkaz"/>
            <w:noProof/>
          </w:rPr>
          <w:t>Vývoj státního dluhu v roce 2017</w:t>
        </w:r>
        <w:r w:rsidR="003933BF">
          <w:rPr>
            <w:noProof/>
            <w:webHidden/>
          </w:rPr>
          <w:tab/>
        </w:r>
        <w:r w:rsidR="003933BF">
          <w:rPr>
            <w:noProof/>
            <w:webHidden/>
          </w:rPr>
          <w:fldChar w:fldCharType="begin"/>
        </w:r>
        <w:r w:rsidR="003933BF">
          <w:rPr>
            <w:noProof/>
            <w:webHidden/>
          </w:rPr>
          <w:instrText xml:space="preserve"> PAGEREF _Toc508286920 \h </w:instrText>
        </w:r>
        <w:r w:rsidR="003933BF">
          <w:rPr>
            <w:noProof/>
            <w:webHidden/>
          </w:rPr>
        </w:r>
        <w:r w:rsidR="003933BF">
          <w:rPr>
            <w:noProof/>
            <w:webHidden/>
          </w:rPr>
          <w:fldChar w:fldCharType="separate"/>
        </w:r>
        <w:r w:rsidR="00E8377E">
          <w:rPr>
            <w:noProof/>
            <w:webHidden/>
          </w:rPr>
          <w:t>1</w:t>
        </w:r>
        <w:r w:rsidR="003933BF">
          <w:rPr>
            <w:noProof/>
            <w:webHidden/>
          </w:rPr>
          <w:fldChar w:fldCharType="end"/>
        </w:r>
      </w:hyperlink>
    </w:p>
    <w:p w:rsidR="003933BF" w:rsidRDefault="000C0143">
      <w:pPr>
        <w:pStyle w:val="Obsah2"/>
        <w:tabs>
          <w:tab w:val="left" w:pos="720"/>
          <w:tab w:val="right" w:leader="dot" w:pos="9061"/>
        </w:tabs>
        <w:rPr>
          <w:rFonts w:asciiTheme="minorHAnsi" w:eastAsiaTheme="minorEastAsia" w:hAnsiTheme="minorHAnsi" w:cstheme="minorBidi"/>
          <w:smallCaps w:val="0"/>
          <w:noProof/>
          <w:sz w:val="22"/>
          <w:szCs w:val="22"/>
        </w:rPr>
      </w:pPr>
      <w:hyperlink w:anchor="_Toc508286921" w:history="1">
        <w:r w:rsidR="003933BF" w:rsidRPr="002F2D89">
          <w:rPr>
            <w:rStyle w:val="Hypertextovodkaz"/>
            <w:noProof/>
          </w:rPr>
          <w:t>3.</w:t>
        </w:r>
        <w:r w:rsidR="003933BF">
          <w:rPr>
            <w:rFonts w:asciiTheme="minorHAnsi" w:eastAsiaTheme="minorEastAsia" w:hAnsiTheme="minorHAnsi" w:cstheme="minorBidi"/>
            <w:smallCaps w:val="0"/>
            <w:noProof/>
            <w:sz w:val="22"/>
            <w:szCs w:val="22"/>
          </w:rPr>
          <w:tab/>
        </w:r>
        <w:r w:rsidR="003933BF" w:rsidRPr="002F2D89">
          <w:rPr>
            <w:rStyle w:val="Hypertextovodkaz"/>
            <w:noProof/>
          </w:rPr>
          <w:t>Stav státního dluhu</w:t>
        </w:r>
        <w:r w:rsidR="003933BF">
          <w:rPr>
            <w:noProof/>
            <w:webHidden/>
          </w:rPr>
          <w:tab/>
        </w:r>
        <w:r w:rsidR="003933BF">
          <w:rPr>
            <w:noProof/>
            <w:webHidden/>
          </w:rPr>
          <w:fldChar w:fldCharType="begin"/>
        </w:r>
        <w:r w:rsidR="003933BF">
          <w:rPr>
            <w:noProof/>
            <w:webHidden/>
          </w:rPr>
          <w:instrText xml:space="preserve"> PAGEREF _Toc508286921 \h </w:instrText>
        </w:r>
        <w:r w:rsidR="003933BF">
          <w:rPr>
            <w:noProof/>
            <w:webHidden/>
          </w:rPr>
        </w:r>
        <w:r w:rsidR="003933BF">
          <w:rPr>
            <w:noProof/>
            <w:webHidden/>
          </w:rPr>
          <w:fldChar w:fldCharType="separate"/>
        </w:r>
        <w:r w:rsidR="00E8377E">
          <w:rPr>
            <w:noProof/>
            <w:webHidden/>
          </w:rPr>
          <w:t>2</w:t>
        </w:r>
        <w:r w:rsidR="003933BF">
          <w:rPr>
            <w:noProof/>
            <w:webHidden/>
          </w:rPr>
          <w:fldChar w:fldCharType="end"/>
        </w:r>
      </w:hyperlink>
    </w:p>
    <w:p w:rsidR="003933BF" w:rsidRDefault="000C0143">
      <w:pPr>
        <w:pStyle w:val="Obsah3"/>
        <w:tabs>
          <w:tab w:val="left" w:pos="1200"/>
          <w:tab w:val="right" w:leader="dot" w:pos="9061"/>
        </w:tabs>
        <w:rPr>
          <w:rFonts w:asciiTheme="minorHAnsi" w:eastAsiaTheme="minorEastAsia" w:hAnsiTheme="minorHAnsi" w:cstheme="minorBidi"/>
          <w:i w:val="0"/>
          <w:iCs w:val="0"/>
          <w:noProof/>
          <w:sz w:val="22"/>
          <w:szCs w:val="22"/>
        </w:rPr>
      </w:pPr>
      <w:hyperlink w:anchor="_Toc508286926" w:history="1">
        <w:r w:rsidR="003933BF" w:rsidRPr="002F2D89">
          <w:rPr>
            <w:rStyle w:val="Hypertextovodkaz"/>
            <w:noProof/>
            <w14:scene3d>
              <w14:camera w14:prst="orthographicFront"/>
              <w14:lightRig w14:rig="threePt" w14:dir="t">
                <w14:rot w14:lat="0" w14:lon="0" w14:rev="0"/>
              </w14:lightRig>
            </w14:scene3d>
          </w:rPr>
          <w:t>3.1.</w:t>
        </w:r>
        <w:r w:rsidR="003933BF">
          <w:rPr>
            <w:rFonts w:asciiTheme="minorHAnsi" w:eastAsiaTheme="minorEastAsia" w:hAnsiTheme="minorHAnsi" w:cstheme="minorBidi"/>
            <w:i w:val="0"/>
            <w:iCs w:val="0"/>
            <w:noProof/>
            <w:sz w:val="22"/>
            <w:szCs w:val="22"/>
          </w:rPr>
          <w:tab/>
        </w:r>
        <w:r w:rsidR="003933BF" w:rsidRPr="002F2D89">
          <w:rPr>
            <w:rStyle w:val="Hypertextovodkaz"/>
            <w:noProof/>
          </w:rPr>
          <w:t>Měnová skladba</w:t>
        </w:r>
        <w:r w:rsidR="003933BF">
          <w:rPr>
            <w:noProof/>
            <w:webHidden/>
          </w:rPr>
          <w:tab/>
        </w:r>
        <w:r w:rsidR="003933BF">
          <w:rPr>
            <w:noProof/>
            <w:webHidden/>
          </w:rPr>
          <w:fldChar w:fldCharType="begin"/>
        </w:r>
        <w:r w:rsidR="003933BF">
          <w:rPr>
            <w:noProof/>
            <w:webHidden/>
          </w:rPr>
          <w:instrText xml:space="preserve"> PAGEREF _Toc508286926 \h </w:instrText>
        </w:r>
        <w:r w:rsidR="003933BF">
          <w:rPr>
            <w:noProof/>
            <w:webHidden/>
          </w:rPr>
        </w:r>
        <w:r w:rsidR="003933BF">
          <w:rPr>
            <w:noProof/>
            <w:webHidden/>
          </w:rPr>
          <w:fldChar w:fldCharType="separate"/>
        </w:r>
        <w:r w:rsidR="00E8377E">
          <w:rPr>
            <w:noProof/>
            <w:webHidden/>
          </w:rPr>
          <w:t>2</w:t>
        </w:r>
        <w:r w:rsidR="003933BF">
          <w:rPr>
            <w:noProof/>
            <w:webHidden/>
          </w:rPr>
          <w:fldChar w:fldCharType="end"/>
        </w:r>
      </w:hyperlink>
    </w:p>
    <w:p w:rsidR="003933BF" w:rsidRDefault="000C0143">
      <w:pPr>
        <w:pStyle w:val="Obsah3"/>
        <w:tabs>
          <w:tab w:val="left" w:pos="1200"/>
          <w:tab w:val="right" w:leader="dot" w:pos="9061"/>
        </w:tabs>
        <w:rPr>
          <w:rFonts w:asciiTheme="minorHAnsi" w:eastAsiaTheme="minorEastAsia" w:hAnsiTheme="minorHAnsi" w:cstheme="minorBidi"/>
          <w:i w:val="0"/>
          <w:iCs w:val="0"/>
          <w:noProof/>
          <w:sz w:val="22"/>
          <w:szCs w:val="22"/>
        </w:rPr>
      </w:pPr>
      <w:hyperlink w:anchor="_Toc508286927" w:history="1">
        <w:r w:rsidR="003933BF" w:rsidRPr="002F2D89">
          <w:rPr>
            <w:rStyle w:val="Hypertextovodkaz"/>
            <w:noProof/>
            <w14:scene3d>
              <w14:camera w14:prst="orthographicFront"/>
              <w14:lightRig w14:rig="threePt" w14:dir="t">
                <w14:rot w14:lat="0" w14:lon="0" w14:rev="0"/>
              </w14:lightRig>
            </w14:scene3d>
          </w:rPr>
          <w:t>3.2.</w:t>
        </w:r>
        <w:r w:rsidR="003933BF">
          <w:rPr>
            <w:rFonts w:asciiTheme="minorHAnsi" w:eastAsiaTheme="minorEastAsia" w:hAnsiTheme="minorHAnsi" w:cstheme="minorBidi"/>
            <w:i w:val="0"/>
            <w:iCs w:val="0"/>
            <w:noProof/>
            <w:sz w:val="22"/>
            <w:szCs w:val="22"/>
          </w:rPr>
          <w:tab/>
        </w:r>
        <w:r w:rsidR="003933BF" w:rsidRPr="002F2D89">
          <w:rPr>
            <w:rStyle w:val="Hypertextovodkaz"/>
            <w:noProof/>
          </w:rPr>
          <w:t>Skladba podle držitele</w:t>
        </w:r>
        <w:r w:rsidR="003933BF">
          <w:rPr>
            <w:noProof/>
            <w:webHidden/>
          </w:rPr>
          <w:tab/>
        </w:r>
        <w:r w:rsidR="003933BF">
          <w:rPr>
            <w:noProof/>
            <w:webHidden/>
          </w:rPr>
          <w:fldChar w:fldCharType="begin"/>
        </w:r>
        <w:r w:rsidR="003933BF">
          <w:rPr>
            <w:noProof/>
            <w:webHidden/>
          </w:rPr>
          <w:instrText xml:space="preserve"> PAGEREF _Toc508286927 \h </w:instrText>
        </w:r>
        <w:r w:rsidR="003933BF">
          <w:rPr>
            <w:noProof/>
            <w:webHidden/>
          </w:rPr>
        </w:r>
        <w:r w:rsidR="003933BF">
          <w:rPr>
            <w:noProof/>
            <w:webHidden/>
          </w:rPr>
          <w:fldChar w:fldCharType="separate"/>
        </w:r>
        <w:r w:rsidR="00E8377E">
          <w:rPr>
            <w:noProof/>
            <w:webHidden/>
          </w:rPr>
          <w:t>3</w:t>
        </w:r>
        <w:r w:rsidR="003933BF">
          <w:rPr>
            <w:noProof/>
            <w:webHidden/>
          </w:rPr>
          <w:fldChar w:fldCharType="end"/>
        </w:r>
      </w:hyperlink>
    </w:p>
    <w:p w:rsidR="003933BF" w:rsidRDefault="000C0143">
      <w:pPr>
        <w:pStyle w:val="Obsah2"/>
        <w:tabs>
          <w:tab w:val="left" w:pos="720"/>
          <w:tab w:val="right" w:leader="dot" w:pos="9061"/>
        </w:tabs>
        <w:rPr>
          <w:rFonts w:asciiTheme="minorHAnsi" w:eastAsiaTheme="minorEastAsia" w:hAnsiTheme="minorHAnsi" w:cstheme="minorBidi"/>
          <w:smallCaps w:val="0"/>
          <w:noProof/>
          <w:sz w:val="22"/>
          <w:szCs w:val="22"/>
        </w:rPr>
      </w:pPr>
      <w:hyperlink w:anchor="_Toc508286928" w:history="1">
        <w:r w:rsidR="003933BF" w:rsidRPr="002F2D89">
          <w:rPr>
            <w:rStyle w:val="Hypertextovodkaz"/>
            <w:noProof/>
          </w:rPr>
          <w:t>4.</w:t>
        </w:r>
        <w:r w:rsidR="003933BF">
          <w:rPr>
            <w:rFonts w:asciiTheme="minorHAnsi" w:eastAsiaTheme="minorEastAsia" w:hAnsiTheme="minorHAnsi" w:cstheme="minorBidi"/>
            <w:smallCaps w:val="0"/>
            <w:noProof/>
            <w:sz w:val="22"/>
            <w:szCs w:val="22"/>
          </w:rPr>
          <w:tab/>
        </w:r>
        <w:r w:rsidR="003933BF" w:rsidRPr="002F2D89">
          <w:rPr>
            <w:rStyle w:val="Hypertextovodkaz"/>
            <w:noProof/>
          </w:rPr>
          <w:t>Emise a splátky dluhových instrumentů a realizace zápůjček</w:t>
        </w:r>
        <w:r w:rsidR="003933BF">
          <w:rPr>
            <w:noProof/>
            <w:webHidden/>
          </w:rPr>
          <w:tab/>
        </w:r>
        <w:r w:rsidR="003933BF">
          <w:rPr>
            <w:noProof/>
            <w:webHidden/>
          </w:rPr>
          <w:fldChar w:fldCharType="begin"/>
        </w:r>
        <w:r w:rsidR="003933BF">
          <w:rPr>
            <w:noProof/>
            <w:webHidden/>
          </w:rPr>
          <w:instrText xml:space="preserve"> PAGEREF _Toc508286928 \h </w:instrText>
        </w:r>
        <w:r w:rsidR="003933BF">
          <w:rPr>
            <w:noProof/>
            <w:webHidden/>
          </w:rPr>
        </w:r>
        <w:r w:rsidR="003933BF">
          <w:rPr>
            <w:noProof/>
            <w:webHidden/>
          </w:rPr>
          <w:fldChar w:fldCharType="separate"/>
        </w:r>
        <w:r w:rsidR="00E8377E">
          <w:rPr>
            <w:noProof/>
            <w:webHidden/>
          </w:rPr>
          <w:t>3</w:t>
        </w:r>
        <w:r w:rsidR="003933BF">
          <w:rPr>
            <w:noProof/>
            <w:webHidden/>
          </w:rPr>
          <w:fldChar w:fldCharType="end"/>
        </w:r>
      </w:hyperlink>
    </w:p>
    <w:p w:rsidR="003933BF" w:rsidRDefault="000C0143">
      <w:pPr>
        <w:pStyle w:val="Obsah3"/>
        <w:tabs>
          <w:tab w:val="left" w:pos="1200"/>
          <w:tab w:val="right" w:leader="dot" w:pos="9061"/>
        </w:tabs>
        <w:rPr>
          <w:rFonts w:asciiTheme="minorHAnsi" w:eastAsiaTheme="minorEastAsia" w:hAnsiTheme="minorHAnsi" w:cstheme="minorBidi"/>
          <w:i w:val="0"/>
          <w:iCs w:val="0"/>
          <w:noProof/>
          <w:sz w:val="22"/>
          <w:szCs w:val="22"/>
        </w:rPr>
      </w:pPr>
      <w:hyperlink w:anchor="_Toc508286930" w:history="1">
        <w:r w:rsidR="003933BF" w:rsidRPr="002F2D89">
          <w:rPr>
            <w:rStyle w:val="Hypertextovodkaz"/>
            <w:noProof/>
            <w14:scene3d>
              <w14:camera w14:prst="orthographicFront"/>
              <w14:lightRig w14:rig="threePt" w14:dir="t">
                <w14:rot w14:lat="0" w14:lon="0" w14:rev="0"/>
              </w14:lightRig>
            </w14:scene3d>
          </w:rPr>
          <w:t>4.1.</w:t>
        </w:r>
        <w:r w:rsidR="003933BF">
          <w:rPr>
            <w:rFonts w:asciiTheme="minorHAnsi" w:eastAsiaTheme="minorEastAsia" w:hAnsiTheme="minorHAnsi" w:cstheme="minorBidi"/>
            <w:i w:val="0"/>
            <w:iCs w:val="0"/>
            <w:noProof/>
            <w:sz w:val="22"/>
            <w:szCs w:val="22"/>
          </w:rPr>
          <w:tab/>
        </w:r>
        <w:r w:rsidR="003933BF" w:rsidRPr="002F2D89">
          <w:rPr>
            <w:rStyle w:val="Hypertextovodkaz"/>
            <w:noProof/>
          </w:rPr>
          <w:t>Státní pokladniční poukázky</w:t>
        </w:r>
        <w:r w:rsidR="003933BF">
          <w:rPr>
            <w:noProof/>
            <w:webHidden/>
          </w:rPr>
          <w:tab/>
        </w:r>
        <w:r w:rsidR="003933BF">
          <w:rPr>
            <w:noProof/>
            <w:webHidden/>
          </w:rPr>
          <w:fldChar w:fldCharType="begin"/>
        </w:r>
        <w:r w:rsidR="003933BF">
          <w:rPr>
            <w:noProof/>
            <w:webHidden/>
          </w:rPr>
          <w:instrText xml:space="preserve"> PAGEREF _Toc508286930 \h </w:instrText>
        </w:r>
        <w:r w:rsidR="003933BF">
          <w:rPr>
            <w:noProof/>
            <w:webHidden/>
          </w:rPr>
        </w:r>
        <w:r w:rsidR="003933BF">
          <w:rPr>
            <w:noProof/>
            <w:webHidden/>
          </w:rPr>
          <w:fldChar w:fldCharType="separate"/>
        </w:r>
        <w:r w:rsidR="00E8377E">
          <w:rPr>
            <w:noProof/>
            <w:webHidden/>
          </w:rPr>
          <w:t>4</w:t>
        </w:r>
        <w:r w:rsidR="003933BF">
          <w:rPr>
            <w:noProof/>
            <w:webHidden/>
          </w:rPr>
          <w:fldChar w:fldCharType="end"/>
        </w:r>
      </w:hyperlink>
    </w:p>
    <w:p w:rsidR="003933BF" w:rsidRDefault="000C0143">
      <w:pPr>
        <w:pStyle w:val="Obsah3"/>
        <w:tabs>
          <w:tab w:val="left" w:pos="1200"/>
          <w:tab w:val="right" w:leader="dot" w:pos="9061"/>
        </w:tabs>
        <w:rPr>
          <w:rFonts w:asciiTheme="minorHAnsi" w:eastAsiaTheme="minorEastAsia" w:hAnsiTheme="minorHAnsi" w:cstheme="minorBidi"/>
          <w:i w:val="0"/>
          <w:iCs w:val="0"/>
          <w:noProof/>
          <w:sz w:val="22"/>
          <w:szCs w:val="22"/>
        </w:rPr>
      </w:pPr>
      <w:hyperlink w:anchor="_Toc508286931" w:history="1">
        <w:r w:rsidR="003933BF" w:rsidRPr="002F2D89">
          <w:rPr>
            <w:rStyle w:val="Hypertextovodkaz"/>
            <w:noProof/>
            <w14:scene3d>
              <w14:camera w14:prst="orthographicFront"/>
              <w14:lightRig w14:rig="threePt" w14:dir="t">
                <w14:rot w14:lat="0" w14:lon="0" w14:rev="0"/>
              </w14:lightRig>
            </w14:scene3d>
          </w:rPr>
          <w:t>4.2.</w:t>
        </w:r>
        <w:r w:rsidR="003933BF">
          <w:rPr>
            <w:rFonts w:asciiTheme="minorHAnsi" w:eastAsiaTheme="minorEastAsia" w:hAnsiTheme="minorHAnsi" w:cstheme="minorBidi"/>
            <w:i w:val="0"/>
            <w:iCs w:val="0"/>
            <w:noProof/>
            <w:sz w:val="22"/>
            <w:szCs w:val="22"/>
          </w:rPr>
          <w:tab/>
        </w:r>
        <w:r w:rsidR="003933BF" w:rsidRPr="002F2D89">
          <w:rPr>
            <w:rStyle w:val="Hypertextovodkaz"/>
            <w:noProof/>
          </w:rPr>
          <w:t>Střednědobé a dlouhodobé státní dluhopisy na domácím trhu</w:t>
        </w:r>
        <w:r w:rsidR="003933BF">
          <w:rPr>
            <w:noProof/>
            <w:webHidden/>
          </w:rPr>
          <w:tab/>
        </w:r>
        <w:r w:rsidR="003933BF">
          <w:rPr>
            <w:noProof/>
            <w:webHidden/>
          </w:rPr>
          <w:fldChar w:fldCharType="begin"/>
        </w:r>
        <w:r w:rsidR="003933BF">
          <w:rPr>
            <w:noProof/>
            <w:webHidden/>
          </w:rPr>
          <w:instrText xml:space="preserve"> PAGEREF _Toc508286931 \h </w:instrText>
        </w:r>
        <w:r w:rsidR="003933BF">
          <w:rPr>
            <w:noProof/>
            <w:webHidden/>
          </w:rPr>
        </w:r>
        <w:r w:rsidR="003933BF">
          <w:rPr>
            <w:noProof/>
            <w:webHidden/>
          </w:rPr>
          <w:fldChar w:fldCharType="separate"/>
        </w:r>
        <w:r w:rsidR="00E8377E">
          <w:rPr>
            <w:noProof/>
            <w:webHidden/>
          </w:rPr>
          <w:t>4</w:t>
        </w:r>
        <w:r w:rsidR="003933BF">
          <w:rPr>
            <w:noProof/>
            <w:webHidden/>
          </w:rPr>
          <w:fldChar w:fldCharType="end"/>
        </w:r>
      </w:hyperlink>
    </w:p>
    <w:p w:rsidR="003933BF" w:rsidRDefault="000C0143">
      <w:pPr>
        <w:pStyle w:val="Obsah3"/>
        <w:tabs>
          <w:tab w:val="left" w:pos="1200"/>
          <w:tab w:val="right" w:leader="dot" w:pos="9061"/>
        </w:tabs>
        <w:rPr>
          <w:rFonts w:asciiTheme="minorHAnsi" w:eastAsiaTheme="minorEastAsia" w:hAnsiTheme="minorHAnsi" w:cstheme="minorBidi"/>
          <w:i w:val="0"/>
          <w:iCs w:val="0"/>
          <w:noProof/>
          <w:sz w:val="22"/>
          <w:szCs w:val="22"/>
        </w:rPr>
      </w:pPr>
      <w:hyperlink w:anchor="_Toc508286932" w:history="1">
        <w:r w:rsidR="003933BF" w:rsidRPr="002F2D89">
          <w:rPr>
            <w:rStyle w:val="Hypertextovodkaz"/>
            <w:noProof/>
            <w14:scene3d>
              <w14:camera w14:prst="orthographicFront"/>
              <w14:lightRig w14:rig="threePt" w14:dir="t">
                <w14:rot w14:lat="0" w14:lon="0" w14:rev="0"/>
              </w14:lightRig>
            </w14:scene3d>
          </w:rPr>
          <w:t>4.3.</w:t>
        </w:r>
        <w:r w:rsidR="003933BF">
          <w:rPr>
            <w:rFonts w:asciiTheme="minorHAnsi" w:eastAsiaTheme="minorEastAsia" w:hAnsiTheme="minorHAnsi" w:cstheme="minorBidi"/>
            <w:i w:val="0"/>
            <w:iCs w:val="0"/>
            <w:noProof/>
            <w:sz w:val="22"/>
            <w:szCs w:val="22"/>
          </w:rPr>
          <w:tab/>
        </w:r>
        <w:r w:rsidR="003933BF" w:rsidRPr="002F2D89">
          <w:rPr>
            <w:rStyle w:val="Hypertextovodkaz"/>
            <w:noProof/>
          </w:rPr>
          <w:t>Spořicí státní dluhopisy</w:t>
        </w:r>
        <w:r w:rsidR="003933BF">
          <w:rPr>
            <w:noProof/>
            <w:webHidden/>
          </w:rPr>
          <w:tab/>
        </w:r>
        <w:r w:rsidR="003933BF">
          <w:rPr>
            <w:noProof/>
            <w:webHidden/>
          </w:rPr>
          <w:fldChar w:fldCharType="begin"/>
        </w:r>
        <w:r w:rsidR="003933BF">
          <w:rPr>
            <w:noProof/>
            <w:webHidden/>
          </w:rPr>
          <w:instrText xml:space="preserve"> PAGEREF _Toc508286932 \h </w:instrText>
        </w:r>
        <w:r w:rsidR="003933BF">
          <w:rPr>
            <w:noProof/>
            <w:webHidden/>
          </w:rPr>
        </w:r>
        <w:r w:rsidR="003933BF">
          <w:rPr>
            <w:noProof/>
            <w:webHidden/>
          </w:rPr>
          <w:fldChar w:fldCharType="separate"/>
        </w:r>
        <w:r w:rsidR="00E8377E">
          <w:rPr>
            <w:noProof/>
            <w:webHidden/>
          </w:rPr>
          <w:t>6</w:t>
        </w:r>
        <w:r w:rsidR="003933BF">
          <w:rPr>
            <w:noProof/>
            <w:webHidden/>
          </w:rPr>
          <w:fldChar w:fldCharType="end"/>
        </w:r>
      </w:hyperlink>
    </w:p>
    <w:p w:rsidR="003933BF" w:rsidRDefault="000C0143">
      <w:pPr>
        <w:pStyle w:val="Obsah3"/>
        <w:tabs>
          <w:tab w:val="left" w:pos="1200"/>
          <w:tab w:val="right" w:leader="dot" w:pos="9061"/>
        </w:tabs>
        <w:rPr>
          <w:rFonts w:asciiTheme="minorHAnsi" w:eastAsiaTheme="minorEastAsia" w:hAnsiTheme="minorHAnsi" w:cstheme="minorBidi"/>
          <w:i w:val="0"/>
          <w:iCs w:val="0"/>
          <w:noProof/>
          <w:sz w:val="22"/>
          <w:szCs w:val="22"/>
        </w:rPr>
      </w:pPr>
      <w:hyperlink w:anchor="_Toc508286933" w:history="1">
        <w:r w:rsidR="003933BF" w:rsidRPr="002F2D89">
          <w:rPr>
            <w:rStyle w:val="Hypertextovodkaz"/>
            <w:noProof/>
            <w14:scene3d>
              <w14:camera w14:prst="orthographicFront"/>
              <w14:lightRig w14:rig="threePt" w14:dir="t">
                <w14:rot w14:lat="0" w14:lon="0" w14:rev="0"/>
              </w14:lightRig>
            </w14:scene3d>
          </w:rPr>
          <w:t>4.4.</w:t>
        </w:r>
        <w:r w:rsidR="003933BF">
          <w:rPr>
            <w:rFonts w:asciiTheme="minorHAnsi" w:eastAsiaTheme="minorEastAsia" w:hAnsiTheme="minorHAnsi" w:cstheme="minorBidi"/>
            <w:i w:val="0"/>
            <w:iCs w:val="0"/>
            <w:noProof/>
            <w:sz w:val="22"/>
            <w:szCs w:val="22"/>
          </w:rPr>
          <w:tab/>
        </w:r>
        <w:r w:rsidR="003933BF" w:rsidRPr="002F2D89">
          <w:rPr>
            <w:rStyle w:val="Hypertextovodkaz"/>
            <w:noProof/>
          </w:rPr>
          <w:t>Střednědobé a dlouhodobé dluhopisy vydané na zahraničních trzích</w:t>
        </w:r>
        <w:r w:rsidR="003933BF">
          <w:rPr>
            <w:noProof/>
            <w:webHidden/>
          </w:rPr>
          <w:tab/>
        </w:r>
        <w:r w:rsidR="003933BF">
          <w:rPr>
            <w:noProof/>
            <w:webHidden/>
          </w:rPr>
          <w:fldChar w:fldCharType="begin"/>
        </w:r>
        <w:r w:rsidR="003933BF">
          <w:rPr>
            <w:noProof/>
            <w:webHidden/>
          </w:rPr>
          <w:instrText xml:space="preserve"> PAGEREF _Toc508286933 \h </w:instrText>
        </w:r>
        <w:r w:rsidR="003933BF">
          <w:rPr>
            <w:noProof/>
            <w:webHidden/>
          </w:rPr>
        </w:r>
        <w:r w:rsidR="003933BF">
          <w:rPr>
            <w:noProof/>
            <w:webHidden/>
          </w:rPr>
          <w:fldChar w:fldCharType="separate"/>
        </w:r>
        <w:r w:rsidR="00E8377E">
          <w:rPr>
            <w:noProof/>
            <w:webHidden/>
          </w:rPr>
          <w:t>6</w:t>
        </w:r>
        <w:r w:rsidR="003933BF">
          <w:rPr>
            <w:noProof/>
            <w:webHidden/>
          </w:rPr>
          <w:fldChar w:fldCharType="end"/>
        </w:r>
      </w:hyperlink>
    </w:p>
    <w:p w:rsidR="003933BF" w:rsidRDefault="000C0143">
      <w:pPr>
        <w:pStyle w:val="Obsah3"/>
        <w:tabs>
          <w:tab w:val="left" w:pos="1200"/>
          <w:tab w:val="right" w:leader="dot" w:pos="9061"/>
        </w:tabs>
        <w:rPr>
          <w:rFonts w:asciiTheme="minorHAnsi" w:eastAsiaTheme="minorEastAsia" w:hAnsiTheme="minorHAnsi" w:cstheme="minorBidi"/>
          <w:i w:val="0"/>
          <w:iCs w:val="0"/>
          <w:noProof/>
          <w:sz w:val="22"/>
          <w:szCs w:val="22"/>
        </w:rPr>
      </w:pPr>
      <w:hyperlink w:anchor="_Toc508286934" w:history="1">
        <w:r w:rsidR="003933BF" w:rsidRPr="002F2D89">
          <w:rPr>
            <w:rStyle w:val="Hypertextovodkaz"/>
            <w:noProof/>
            <w14:scene3d>
              <w14:camera w14:prst="orthographicFront"/>
              <w14:lightRig w14:rig="threePt" w14:dir="t">
                <w14:rot w14:lat="0" w14:lon="0" w14:rev="0"/>
              </w14:lightRig>
            </w14:scene3d>
          </w:rPr>
          <w:t>4.5.</w:t>
        </w:r>
        <w:r w:rsidR="003933BF">
          <w:rPr>
            <w:rFonts w:asciiTheme="minorHAnsi" w:eastAsiaTheme="minorEastAsia" w:hAnsiTheme="minorHAnsi" w:cstheme="minorBidi"/>
            <w:i w:val="0"/>
            <w:iCs w:val="0"/>
            <w:noProof/>
            <w:sz w:val="22"/>
            <w:szCs w:val="22"/>
          </w:rPr>
          <w:tab/>
        </w:r>
        <w:r w:rsidR="003933BF" w:rsidRPr="002F2D89">
          <w:rPr>
            <w:rStyle w:val="Hypertextovodkaz"/>
            <w:noProof/>
          </w:rPr>
          <w:t>Státní dluhopisy celkem</w:t>
        </w:r>
        <w:r w:rsidR="003933BF">
          <w:rPr>
            <w:noProof/>
            <w:webHidden/>
          </w:rPr>
          <w:tab/>
        </w:r>
        <w:r w:rsidR="003933BF">
          <w:rPr>
            <w:noProof/>
            <w:webHidden/>
          </w:rPr>
          <w:fldChar w:fldCharType="begin"/>
        </w:r>
        <w:r w:rsidR="003933BF">
          <w:rPr>
            <w:noProof/>
            <w:webHidden/>
          </w:rPr>
          <w:instrText xml:space="preserve"> PAGEREF _Toc508286934 \h </w:instrText>
        </w:r>
        <w:r w:rsidR="003933BF">
          <w:rPr>
            <w:noProof/>
            <w:webHidden/>
          </w:rPr>
        </w:r>
        <w:r w:rsidR="003933BF">
          <w:rPr>
            <w:noProof/>
            <w:webHidden/>
          </w:rPr>
          <w:fldChar w:fldCharType="separate"/>
        </w:r>
        <w:r w:rsidR="00E8377E">
          <w:rPr>
            <w:noProof/>
            <w:webHidden/>
          </w:rPr>
          <w:t>6</w:t>
        </w:r>
        <w:r w:rsidR="003933BF">
          <w:rPr>
            <w:noProof/>
            <w:webHidden/>
          </w:rPr>
          <w:fldChar w:fldCharType="end"/>
        </w:r>
      </w:hyperlink>
    </w:p>
    <w:p w:rsidR="003933BF" w:rsidRDefault="000C0143">
      <w:pPr>
        <w:pStyle w:val="Obsah3"/>
        <w:tabs>
          <w:tab w:val="left" w:pos="1200"/>
          <w:tab w:val="right" w:leader="dot" w:pos="9061"/>
        </w:tabs>
        <w:rPr>
          <w:rFonts w:asciiTheme="minorHAnsi" w:eastAsiaTheme="minorEastAsia" w:hAnsiTheme="minorHAnsi" w:cstheme="minorBidi"/>
          <w:i w:val="0"/>
          <w:iCs w:val="0"/>
          <w:noProof/>
          <w:sz w:val="22"/>
          <w:szCs w:val="22"/>
        </w:rPr>
      </w:pPr>
      <w:hyperlink w:anchor="_Toc508286935" w:history="1">
        <w:r w:rsidR="003933BF" w:rsidRPr="002F2D89">
          <w:rPr>
            <w:rStyle w:val="Hypertextovodkaz"/>
            <w:noProof/>
            <w14:scene3d>
              <w14:camera w14:prst="orthographicFront"/>
              <w14:lightRig w14:rig="threePt" w14:dir="t">
                <w14:rot w14:lat="0" w14:lon="0" w14:rev="0"/>
              </w14:lightRig>
            </w14:scene3d>
          </w:rPr>
          <w:t>4.6.</w:t>
        </w:r>
        <w:r w:rsidR="003933BF">
          <w:rPr>
            <w:rFonts w:asciiTheme="minorHAnsi" w:eastAsiaTheme="minorEastAsia" w:hAnsiTheme="minorHAnsi" w:cstheme="minorBidi"/>
            <w:i w:val="0"/>
            <w:iCs w:val="0"/>
            <w:noProof/>
            <w:sz w:val="22"/>
            <w:szCs w:val="22"/>
          </w:rPr>
          <w:tab/>
        </w:r>
        <w:r w:rsidR="003933BF" w:rsidRPr="002F2D89">
          <w:rPr>
            <w:rStyle w:val="Hypertextovodkaz"/>
            <w:noProof/>
          </w:rPr>
          <w:t>Úvěry od Evropské investiční banky</w:t>
        </w:r>
        <w:r w:rsidR="003933BF">
          <w:rPr>
            <w:noProof/>
            <w:webHidden/>
          </w:rPr>
          <w:tab/>
        </w:r>
        <w:r w:rsidR="003933BF">
          <w:rPr>
            <w:noProof/>
            <w:webHidden/>
          </w:rPr>
          <w:fldChar w:fldCharType="begin"/>
        </w:r>
        <w:r w:rsidR="003933BF">
          <w:rPr>
            <w:noProof/>
            <w:webHidden/>
          </w:rPr>
          <w:instrText xml:space="preserve"> PAGEREF _Toc508286935 \h </w:instrText>
        </w:r>
        <w:r w:rsidR="003933BF">
          <w:rPr>
            <w:noProof/>
            <w:webHidden/>
          </w:rPr>
        </w:r>
        <w:r w:rsidR="003933BF">
          <w:rPr>
            <w:noProof/>
            <w:webHidden/>
          </w:rPr>
          <w:fldChar w:fldCharType="separate"/>
        </w:r>
        <w:r w:rsidR="00E8377E">
          <w:rPr>
            <w:noProof/>
            <w:webHidden/>
          </w:rPr>
          <w:t>7</w:t>
        </w:r>
        <w:r w:rsidR="003933BF">
          <w:rPr>
            <w:noProof/>
            <w:webHidden/>
          </w:rPr>
          <w:fldChar w:fldCharType="end"/>
        </w:r>
      </w:hyperlink>
    </w:p>
    <w:p w:rsidR="003933BF" w:rsidRDefault="000C0143">
      <w:pPr>
        <w:pStyle w:val="Obsah3"/>
        <w:tabs>
          <w:tab w:val="left" w:pos="1200"/>
          <w:tab w:val="right" w:leader="dot" w:pos="9061"/>
        </w:tabs>
        <w:rPr>
          <w:rFonts w:asciiTheme="minorHAnsi" w:eastAsiaTheme="minorEastAsia" w:hAnsiTheme="minorHAnsi" w:cstheme="minorBidi"/>
          <w:i w:val="0"/>
          <w:iCs w:val="0"/>
          <w:noProof/>
          <w:sz w:val="22"/>
          <w:szCs w:val="22"/>
        </w:rPr>
      </w:pPr>
      <w:hyperlink w:anchor="_Toc508286936" w:history="1">
        <w:r w:rsidR="003933BF" w:rsidRPr="002F2D89">
          <w:rPr>
            <w:rStyle w:val="Hypertextovodkaz"/>
            <w:noProof/>
            <w14:scene3d>
              <w14:camera w14:prst="orthographicFront"/>
              <w14:lightRig w14:rig="threePt" w14:dir="t">
                <w14:rot w14:lat="0" w14:lon="0" w14:rev="0"/>
              </w14:lightRig>
            </w14:scene3d>
          </w:rPr>
          <w:t>4.7.</w:t>
        </w:r>
        <w:r w:rsidR="003933BF">
          <w:rPr>
            <w:rFonts w:asciiTheme="minorHAnsi" w:eastAsiaTheme="minorEastAsia" w:hAnsiTheme="minorHAnsi" w:cstheme="minorBidi"/>
            <w:i w:val="0"/>
            <w:iCs w:val="0"/>
            <w:noProof/>
            <w:sz w:val="22"/>
            <w:szCs w:val="22"/>
          </w:rPr>
          <w:tab/>
        </w:r>
        <w:r w:rsidR="003933BF" w:rsidRPr="002F2D89">
          <w:rPr>
            <w:rStyle w:val="Hypertextovodkaz"/>
            <w:noProof/>
          </w:rPr>
          <w:t>Krátkodobé zápůjčky a státem vystavené směnky</w:t>
        </w:r>
        <w:r w:rsidR="003933BF">
          <w:rPr>
            <w:noProof/>
            <w:webHidden/>
          </w:rPr>
          <w:tab/>
        </w:r>
        <w:r w:rsidR="003933BF">
          <w:rPr>
            <w:noProof/>
            <w:webHidden/>
          </w:rPr>
          <w:fldChar w:fldCharType="begin"/>
        </w:r>
        <w:r w:rsidR="003933BF">
          <w:rPr>
            <w:noProof/>
            <w:webHidden/>
          </w:rPr>
          <w:instrText xml:space="preserve"> PAGEREF _Toc508286936 \h </w:instrText>
        </w:r>
        <w:r w:rsidR="003933BF">
          <w:rPr>
            <w:noProof/>
            <w:webHidden/>
          </w:rPr>
        </w:r>
        <w:r w:rsidR="003933BF">
          <w:rPr>
            <w:noProof/>
            <w:webHidden/>
          </w:rPr>
          <w:fldChar w:fldCharType="separate"/>
        </w:r>
        <w:r w:rsidR="00E8377E">
          <w:rPr>
            <w:noProof/>
            <w:webHidden/>
          </w:rPr>
          <w:t>7</w:t>
        </w:r>
        <w:r w:rsidR="003933BF">
          <w:rPr>
            <w:noProof/>
            <w:webHidden/>
          </w:rPr>
          <w:fldChar w:fldCharType="end"/>
        </w:r>
      </w:hyperlink>
    </w:p>
    <w:p w:rsidR="003933BF" w:rsidRDefault="000C0143">
      <w:pPr>
        <w:pStyle w:val="Obsah1"/>
        <w:tabs>
          <w:tab w:val="left" w:pos="480"/>
          <w:tab w:val="right" w:leader="dot" w:pos="9061"/>
        </w:tabs>
        <w:rPr>
          <w:rFonts w:asciiTheme="minorHAnsi" w:eastAsiaTheme="minorEastAsia" w:hAnsiTheme="minorHAnsi" w:cstheme="minorBidi"/>
          <w:b w:val="0"/>
          <w:bCs w:val="0"/>
          <w:caps w:val="0"/>
          <w:noProof/>
          <w:sz w:val="22"/>
          <w:szCs w:val="22"/>
        </w:rPr>
      </w:pPr>
      <w:hyperlink w:anchor="_Toc508286937" w:history="1">
        <w:r w:rsidR="003933BF" w:rsidRPr="002F2D89">
          <w:rPr>
            <w:rStyle w:val="Hypertextovodkaz"/>
            <w:noProof/>
          </w:rPr>
          <w:t>II.</w:t>
        </w:r>
        <w:r w:rsidR="003933BF">
          <w:rPr>
            <w:rFonts w:asciiTheme="minorHAnsi" w:eastAsiaTheme="minorEastAsia" w:hAnsiTheme="minorHAnsi" w:cstheme="minorBidi"/>
            <w:b w:val="0"/>
            <w:bCs w:val="0"/>
            <w:caps w:val="0"/>
            <w:noProof/>
            <w:sz w:val="22"/>
            <w:szCs w:val="22"/>
          </w:rPr>
          <w:tab/>
        </w:r>
        <w:r w:rsidR="003933BF" w:rsidRPr="002F2D89">
          <w:rPr>
            <w:rStyle w:val="Hypertextovodkaz"/>
            <w:noProof/>
          </w:rPr>
          <w:t>Výdaje na obsluhu státního dluhu</w:t>
        </w:r>
        <w:r w:rsidR="003933BF">
          <w:rPr>
            <w:noProof/>
            <w:webHidden/>
          </w:rPr>
          <w:tab/>
        </w:r>
        <w:r w:rsidR="003933BF">
          <w:rPr>
            <w:noProof/>
            <w:webHidden/>
          </w:rPr>
          <w:fldChar w:fldCharType="begin"/>
        </w:r>
        <w:r w:rsidR="003933BF">
          <w:rPr>
            <w:noProof/>
            <w:webHidden/>
          </w:rPr>
          <w:instrText xml:space="preserve"> PAGEREF _Toc508286937 \h </w:instrText>
        </w:r>
        <w:r w:rsidR="003933BF">
          <w:rPr>
            <w:noProof/>
            <w:webHidden/>
          </w:rPr>
        </w:r>
        <w:r w:rsidR="003933BF">
          <w:rPr>
            <w:noProof/>
            <w:webHidden/>
          </w:rPr>
          <w:fldChar w:fldCharType="separate"/>
        </w:r>
        <w:r w:rsidR="00E8377E">
          <w:rPr>
            <w:noProof/>
            <w:webHidden/>
          </w:rPr>
          <w:t>8</w:t>
        </w:r>
        <w:r w:rsidR="003933BF">
          <w:rPr>
            <w:noProof/>
            <w:webHidden/>
          </w:rPr>
          <w:fldChar w:fldCharType="end"/>
        </w:r>
      </w:hyperlink>
    </w:p>
    <w:p w:rsidR="003933BF" w:rsidRDefault="000C0143">
      <w:pPr>
        <w:pStyle w:val="Obsah2"/>
        <w:tabs>
          <w:tab w:val="left" w:pos="720"/>
          <w:tab w:val="right" w:leader="dot" w:pos="9061"/>
        </w:tabs>
        <w:rPr>
          <w:rFonts w:asciiTheme="minorHAnsi" w:eastAsiaTheme="minorEastAsia" w:hAnsiTheme="minorHAnsi" w:cstheme="minorBidi"/>
          <w:smallCaps w:val="0"/>
          <w:noProof/>
          <w:sz w:val="22"/>
          <w:szCs w:val="22"/>
        </w:rPr>
      </w:pPr>
      <w:hyperlink w:anchor="_Toc508286938" w:history="1">
        <w:r w:rsidR="003933BF" w:rsidRPr="002F2D89">
          <w:rPr>
            <w:rStyle w:val="Hypertextovodkaz"/>
            <w:noProof/>
          </w:rPr>
          <w:t>1.</w:t>
        </w:r>
        <w:r w:rsidR="003933BF">
          <w:rPr>
            <w:rFonts w:asciiTheme="minorHAnsi" w:eastAsiaTheme="minorEastAsia" w:hAnsiTheme="minorHAnsi" w:cstheme="minorBidi"/>
            <w:smallCaps w:val="0"/>
            <w:noProof/>
            <w:sz w:val="22"/>
            <w:szCs w:val="22"/>
          </w:rPr>
          <w:tab/>
        </w:r>
        <w:r w:rsidR="003933BF" w:rsidRPr="002F2D89">
          <w:rPr>
            <w:rStyle w:val="Hypertextovodkaz"/>
            <w:noProof/>
          </w:rPr>
          <w:t>Základní tendence ve vývoji výdajů na obsluhu státního dluhu v letech 2011 až 2017</w:t>
        </w:r>
        <w:r w:rsidR="003933BF">
          <w:rPr>
            <w:noProof/>
            <w:webHidden/>
          </w:rPr>
          <w:tab/>
        </w:r>
        <w:r w:rsidR="003933BF">
          <w:rPr>
            <w:noProof/>
            <w:webHidden/>
          </w:rPr>
          <w:fldChar w:fldCharType="begin"/>
        </w:r>
        <w:r w:rsidR="003933BF">
          <w:rPr>
            <w:noProof/>
            <w:webHidden/>
          </w:rPr>
          <w:instrText xml:space="preserve"> PAGEREF _Toc508286938 \h </w:instrText>
        </w:r>
        <w:r w:rsidR="003933BF">
          <w:rPr>
            <w:noProof/>
            <w:webHidden/>
          </w:rPr>
        </w:r>
        <w:r w:rsidR="003933BF">
          <w:rPr>
            <w:noProof/>
            <w:webHidden/>
          </w:rPr>
          <w:fldChar w:fldCharType="separate"/>
        </w:r>
        <w:r w:rsidR="00E8377E">
          <w:rPr>
            <w:noProof/>
            <w:webHidden/>
          </w:rPr>
          <w:t>8</w:t>
        </w:r>
        <w:r w:rsidR="003933BF">
          <w:rPr>
            <w:noProof/>
            <w:webHidden/>
          </w:rPr>
          <w:fldChar w:fldCharType="end"/>
        </w:r>
      </w:hyperlink>
    </w:p>
    <w:p w:rsidR="003933BF" w:rsidRDefault="000C0143">
      <w:pPr>
        <w:pStyle w:val="Obsah2"/>
        <w:tabs>
          <w:tab w:val="left" w:pos="720"/>
          <w:tab w:val="right" w:leader="dot" w:pos="9061"/>
        </w:tabs>
        <w:rPr>
          <w:rFonts w:asciiTheme="minorHAnsi" w:eastAsiaTheme="minorEastAsia" w:hAnsiTheme="minorHAnsi" w:cstheme="minorBidi"/>
          <w:smallCaps w:val="0"/>
          <w:noProof/>
          <w:sz w:val="22"/>
          <w:szCs w:val="22"/>
        </w:rPr>
      </w:pPr>
      <w:hyperlink w:anchor="_Toc508286939" w:history="1">
        <w:r w:rsidR="003933BF" w:rsidRPr="002F2D89">
          <w:rPr>
            <w:rStyle w:val="Hypertextovodkaz"/>
            <w:noProof/>
          </w:rPr>
          <w:t>2.</w:t>
        </w:r>
        <w:r w:rsidR="003933BF">
          <w:rPr>
            <w:rFonts w:asciiTheme="minorHAnsi" w:eastAsiaTheme="minorEastAsia" w:hAnsiTheme="minorHAnsi" w:cstheme="minorBidi"/>
            <w:smallCaps w:val="0"/>
            <w:noProof/>
            <w:sz w:val="22"/>
            <w:szCs w:val="22"/>
          </w:rPr>
          <w:tab/>
        </w:r>
        <w:r w:rsidR="003933BF" w:rsidRPr="002F2D89">
          <w:rPr>
            <w:rStyle w:val="Hypertextovodkaz"/>
            <w:noProof/>
          </w:rPr>
          <w:t>Rozpočet kapitoly Státní dluh a jeho plnění</w:t>
        </w:r>
        <w:r w:rsidR="003933BF">
          <w:rPr>
            <w:noProof/>
            <w:webHidden/>
          </w:rPr>
          <w:tab/>
        </w:r>
        <w:r w:rsidR="003933BF">
          <w:rPr>
            <w:noProof/>
            <w:webHidden/>
          </w:rPr>
          <w:fldChar w:fldCharType="begin"/>
        </w:r>
        <w:r w:rsidR="003933BF">
          <w:rPr>
            <w:noProof/>
            <w:webHidden/>
          </w:rPr>
          <w:instrText xml:space="preserve"> PAGEREF _Toc508286939 \h </w:instrText>
        </w:r>
        <w:r w:rsidR="003933BF">
          <w:rPr>
            <w:noProof/>
            <w:webHidden/>
          </w:rPr>
        </w:r>
        <w:r w:rsidR="003933BF">
          <w:rPr>
            <w:noProof/>
            <w:webHidden/>
          </w:rPr>
          <w:fldChar w:fldCharType="separate"/>
        </w:r>
        <w:r w:rsidR="00E8377E">
          <w:rPr>
            <w:noProof/>
            <w:webHidden/>
          </w:rPr>
          <w:t>8</w:t>
        </w:r>
        <w:r w:rsidR="003933BF">
          <w:rPr>
            <w:noProof/>
            <w:webHidden/>
          </w:rPr>
          <w:fldChar w:fldCharType="end"/>
        </w:r>
      </w:hyperlink>
    </w:p>
    <w:p w:rsidR="003933BF" w:rsidRDefault="000C0143">
      <w:pPr>
        <w:pStyle w:val="Obsah3"/>
        <w:tabs>
          <w:tab w:val="left" w:pos="1200"/>
          <w:tab w:val="right" w:leader="dot" w:pos="9061"/>
        </w:tabs>
        <w:rPr>
          <w:rFonts w:asciiTheme="minorHAnsi" w:eastAsiaTheme="minorEastAsia" w:hAnsiTheme="minorHAnsi" w:cstheme="minorBidi"/>
          <w:i w:val="0"/>
          <w:iCs w:val="0"/>
          <w:noProof/>
          <w:sz w:val="22"/>
          <w:szCs w:val="22"/>
        </w:rPr>
      </w:pPr>
      <w:hyperlink w:anchor="_Toc508286943" w:history="1">
        <w:r w:rsidR="003933BF" w:rsidRPr="002F2D89">
          <w:rPr>
            <w:rStyle w:val="Hypertextovodkaz"/>
            <w:noProof/>
            <w14:scene3d>
              <w14:camera w14:prst="orthographicFront"/>
              <w14:lightRig w14:rig="threePt" w14:dir="t">
                <w14:rot w14:lat="0" w14:lon="0" w14:rev="0"/>
              </w14:lightRig>
            </w14:scene3d>
          </w:rPr>
          <w:t>2.1.</w:t>
        </w:r>
        <w:r w:rsidR="003933BF">
          <w:rPr>
            <w:rFonts w:asciiTheme="minorHAnsi" w:eastAsiaTheme="minorEastAsia" w:hAnsiTheme="minorHAnsi" w:cstheme="minorBidi"/>
            <w:i w:val="0"/>
            <w:iCs w:val="0"/>
            <w:noProof/>
            <w:sz w:val="22"/>
            <w:szCs w:val="22"/>
          </w:rPr>
          <w:tab/>
        </w:r>
        <w:r w:rsidR="003933BF" w:rsidRPr="002F2D89">
          <w:rPr>
            <w:rStyle w:val="Hypertextovodkaz"/>
            <w:noProof/>
          </w:rPr>
          <w:t>Příjmy kapitoly Státní dluh</w:t>
        </w:r>
        <w:r w:rsidR="003933BF">
          <w:rPr>
            <w:noProof/>
            <w:webHidden/>
          </w:rPr>
          <w:tab/>
        </w:r>
        <w:r w:rsidR="003933BF">
          <w:rPr>
            <w:noProof/>
            <w:webHidden/>
          </w:rPr>
          <w:fldChar w:fldCharType="begin"/>
        </w:r>
        <w:r w:rsidR="003933BF">
          <w:rPr>
            <w:noProof/>
            <w:webHidden/>
          </w:rPr>
          <w:instrText xml:space="preserve"> PAGEREF _Toc508286943 \h </w:instrText>
        </w:r>
        <w:r w:rsidR="003933BF">
          <w:rPr>
            <w:noProof/>
            <w:webHidden/>
          </w:rPr>
        </w:r>
        <w:r w:rsidR="003933BF">
          <w:rPr>
            <w:noProof/>
            <w:webHidden/>
          </w:rPr>
          <w:fldChar w:fldCharType="separate"/>
        </w:r>
        <w:r w:rsidR="00E8377E">
          <w:rPr>
            <w:noProof/>
            <w:webHidden/>
          </w:rPr>
          <w:t>9</w:t>
        </w:r>
        <w:r w:rsidR="003933BF">
          <w:rPr>
            <w:noProof/>
            <w:webHidden/>
          </w:rPr>
          <w:fldChar w:fldCharType="end"/>
        </w:r>
      </w:hyperlink>
    </w:p>
    <w:p w:rsidR="003933BF" w:rsidRDefault="000C0143">
      <w:pPr>
        <w:pStyle w:val="Obsah3"/>
        <w:tabs>
          <w:tab w:val="left" w:pos="1200"/>
          <w:tab w:val="right" w:leader="dot" w:pos="9061"/>
        </w:tabs>
        <w:rPr>
          <w:rFonts w:asciiTheme="minorHAnsi" w:eastAsiaTheme="minorEastAsia" w:hAnsiTheme="minorHAnsi" w:cstheme="minorBidi"/>
          <w:i w:val="0"/>
          <w:iCs w:val="0"/>
          <w:noProof/>
          <w:sz w:val="22"/>
          <w:szCs w:val="22"/>
        </w:rPr>
      </w:pPr>
      <w:hyperlink w:anchor="_Toc508286944" w:history="1">
        <w:r w:rsidR="003933BF" w:rsidRPr="002F2D89">
          <w:rPr>
            <w:rStyle w:val="Hypertextovodkaz"/>
            <w:noProof/>
            <w14:scene3d>
              <w14:camera w14:prst="orthographicFront"/>
              <w14:lightRig w14:rig="threePt" w14:dir="t">
                <w14:rot w14:lat="0" w14:lon="0" w14:rev="0"/>
              </w14:lightRig>
            </w14:scene3d>
          </w:rPr>
          <w:t>2.2.</w:t>
        </w:r>
        <w:r w:rsidR="003933BF">
          <w:rPr>
            <w:rFonts w:asciiTheme="minorHAnsi" w:eastAsiaTheme="minorEastAsia" w:hAnsiTheme="minorHAnsi" w:cstheme="minorBidi"/>
            <w:i w:val="0"/>
            <w:iCs w:val="0"/>
            <w:noProof/>
            <w:sz w:val="22"/>
            <w:szCs w:val="22"/>
          </w:rPr>
          <w:tab/>
        </w:r>
        <w:r w:rsidR="003933BF" w:rsidRPr="002F2D89">
          <w:rPr>
            <w:rStyle w:val="Hypertextovodkaz"/>
            <w:noProof/>
          </w:rPr>
          <w:t>Výdaje kapitoly Státní dluh</w:t>
        </w:r>
        <w:r w:rsidR="003933BF">
          <w:rPr>
            <w:noProof/>
            <w:webHidden/>
          </w:rPr>
          <w:tab/>
        </w:r>
        <w:r w:rsidR="003933BF">
          <w:rPr>
            <w:noProof/>
            <w:webHidden/>
          </w:rPr>
          <w:fldChar w:fldCharType="begin"/>
        </w:r>
        <w:r w:rsidR="003933BF">
          <w:rPr>
            <w:noProof/>
            <w:webHidden/>
          </w:rPr>
          <w:instrText xml:space="preserve"> PAGEREF _Toc508286944 \h </w:instrText>
        </w:r>
        <w:r w:rsidR="003933BF">
          <w:rPr>
            <w:noProof/>
            <w:webHidden/>
          </w:rPr>
        </w:r>
        <w:r w:rsidR="003933BF">
          <w:rPr>
            <w:noProof/>
            <w:webHidden/>
          </w:rPr>
          <w:fldChar w:fldCharType="separate"/>
        </w:r>
        <w:r w:rsidR="00E8377E">
          <w:rPr>
            <w:noProof/>
            <w:webHidden/>
          </w:rPr>
          <w:t>10</w:t>
        </w:r>
        <w:r w:rsidR="003933BF">
          <w:rPr>
            <w:noProof/>
            <w:webHidden/>
          </w:rPr>
          <w:fldChar w:fldCharType="end"/>
        </w:r>
      </w:hyperlink>
    </w:p>
    <w:p w:rsidR="003933BF" w:rsidRDefault="000C0143">
      <w:pPr>
        <w:pStyle w:val="Obsah3"/>
        <w:tabs>
          <w:tab w:val="left" w:pos="1200"/>
          <w:tab w:val="right" w:leader="dot" w:pos="9061"/>
        </w:tabs>
        <w:rPr>
          <w:rFonts w:asciiTheme="minorHAnsi" w:eastAsiaTheme="minorEastAsia" w:hAnsiTheme="minorHAnsi" w:cstheme="minorBidi"/>
          <w:i w:val="0"/>
          <w:iCs w:val="0"/>
          <w:noProof/>
          <w:sz w:val="22"/>
          <w:szCs w:val="22"/>
        </w:rPr>
      </w:pPr>
      <w:hyperlink w:anchor="_Toc508286945" w:history="1">
        <w:r w:rsidR="003933BF" w:rsidRPr="002F2D89">
          <w:rPr>
            <w:rStyle w:val="Hypertextovodkaz"/>
            <w:noProof/>
            <w14:scene3d>
              <w14:camera w14:prst="orthographicFront"/>
              <w14:lightRig w14:rig="threePt" w14:dir="t">
                <w14:rot w14:lat="0" w14:lon="0" w14:rev="0"/>
              </w14:lightRig>
            </w14:scene3d>
          </w:rPr>
          <w:t>2.3.</w:t>
        </w:r>
        <w:r w:rsidR="003933BF">
          <w:rPr>
            <w:rFonts w:asciiTheme="minorHAnsi" w:eastAsiaTheme="minorEastAsia" w:hAnsiTheme="minorHAnsi" w:cstheme="minorBidi"/>
            <w:i w:val="0"/>
            <w:iCs w:val="0"/>
            <w:noProof/>
            <w:sz w:val="22"/>
            <w:szCs w:val="22"/>
          </w:rPr>
          <w:tab/>
        </w:r>
        <w:r w:rsidR="003933BF" w:rsidRPr="002F2D89">
          <w:rPr>
            <w:rStyle w:val="Hypertextovodkaz"/>
            <w:noProof/>
          </w:rPr>
          <w:t>Podrobnější informace o příjmech a výdajích kapitoly Státní dluh</w:t>
        </w:r>
        <w:r w:rsidR="003933BF">
          <w:rPr>
            <w:noProof/>
            <w:webHidden/>
          </w:rPr>
          <w:tab/>
        </w:r>
        <w:r w:rsidR="003933BF">
          <w:rPr>
            <w:noProof/>
            <w:webHidden/>
          </w:rPr>
          <w:fldChar w:fldCharType="begin"/>
        </w:r>
        <w:r w:rsidR="003933BF">
          <w:rPr>
            <w:noProof/>
            <w:webHidden/>
          </w:rPr>
          <w:instrText xml:space="preserve"> PAGEREF _Toc508286945 \h </w:instrText>
        </w:r>
        <w:r w:rsidR="003933BF">
          <w:rPr>
            <w:noProof/>
            <w:webHidden/>
          </w:rPr>
        </w:r>
        <w:r w:rsidR="003933BF">
          <w:rPr>
            <w:noProof/>
            <w:webHidden/>
          </w:rPr>
          <w:fldChar w:fldCharType="separate"/>
        </w:r>
        <w:r w:rsidR="00E8377E">
          <w:rPr>
            <w:noProof/>
            <w:webHidden/>
          </w:rPr>
          <w:t>10</w:t>
        </w:r>
        <w:r w:rsidR="003933BF">
          <w:rPr>
            <w:noProof/>
            <w:webHidden/>
          </w:rPr>
          <w:fldChar w:fldCharType="end"/>
        </w:r>
      </w:hyperlink>
    </w:p>
    <w:p w:rsidR="003933BF" w:rsidRDefault="000C0143">
      <w:pPr>
        <w:pStyle w:val="Obsah3"/>
        <w:tabs>
          <w:tab w:val="left" w:pos="1200"/>
          <w:tab w:val="right" w:leader="dot" w:pos="9061"/>
        </w:tabs>
        <w:rPr>
          <w:rFonts w:asciiTheme="minorHAnsi" w:eastAsiaTheme="minorEastAsia" w:hAnsiTheme="minorHAnsi" w:cstheme="minorBidi"/>
          <w:i w:val="0"/>
          <w:iCs w:val="0"/>
          <w:noProof/>
          <w:sz w:val="22"/>
          <w:szCs w:val="22"/>
        </w:rPr>
      </w:pPr>
      <w:hyperlink w:anchor="_Toc508286946" w:history="1">
        <w:r w:rsidR="003933BF" w:rsidRPr="002F2D89">
          <w:rPr>
            <w:rStyle w:val="Hypertextovodkaz"/>
            <w:noProof/>
            <w14:scene3d>
              <w14:camera w14:prst="orthographicFront"/>
              <w14:lightRig w14:rig="threePt" w14:dir="t">
                <w14:rot w14:lat="0" w14:lon="0" w14:rev="0"/>
              </w14:lightRig>
            </w14:scene3d>
          </w:rPr>
          <w:t>2.4.</w:t>
        </w:r>
        <w:r w:rsidR="003933BF">
          <w:rPr>
            <w:rFonts w:asciiTheme="minorHAnsi" w:eastAsiaTheme="minorEastAsia" w:hAnsiTheme="minorHAnsi" w:cstheme="minorBidi"/>
            <w:i w:val="0"/>
            <w:iCs w:val="0"/>
            <w:noProof/>
            <w:sz w:val="22"/>
            <w:szCs w:val="22"/>
          </w:rPr>
          <w:tab/>
        </w:r>
        <w:r w:rsidR="003933BF" w:rsidRPr="002F2D89">
          <w:rPr>
            <w:rStyle w:val="Hypertextovodkaz"/>
            <w:noProof/>
          </w:rPr>
          <w:t>Přehled úprav rozpočtu kapitoly Státní dluh v roce 2017</w:t>
        </w:r>
        <w:r w:rsidR="003933BF">
          <w:rPr>
            <w:noProof/>
            <w:webHidden/>
          </w:rPr>
          <w:tab/>
        </w:r>
        <w:r w:rsidR="003933BF">
          <w:rPr>
            <w:noProof/>
            <w:webHidden/>
          </w:rPr>
          <w:fldChar w:fldCharType="begin"/>
        </w:r>
        <w:r w:rsidR="003933BF">
          <w:rPr>
            <w:noProof/>
            <w:webHidden/>
          </w:rPr>
          <w:instrText xml:space="preserve"> PAGEREF _Toc508286946 \h </w:instrText>
        </w:r>
        <w:r w:rsidR="003933BF">
          <w:rPr>
            <w:noProof/>
            <w:webHidden/>
          </w:rPr>
        </w:r>
        <w:r w:rsidR="003933BF">
          <w:rPr>
            <w:noProof/>
            <w:webHidden/>
          </w:rPr>
          <w:fldChar w:fldCharType="separate"/>
        </w:r>
        <w:r w:rsidR="00E8377E">
          <w:rPr>
            <w:noProof/>
            <w:webHidden/>
          </w:rPr>
          <w:t>13</w:t>
        </w:r>
        <w:r w:rsidR="003933BF">
          <w:rPr>
            <w:noProof/>
            <w:webHidden/>
          </w:rPr>
          <w:fldChar w:fldCharType="end"/>
        </w:r>
      </w:hyperlink>
    </w:p>
    <w:p w:rsidR="003933BF" w:rsidRDefault="000C0143">
      <w:pPr>
        <w:pStyle w:val="Obsah1"/>
        <w:tabs>
          <w:tab w:val="left" w:pos="720"/>
          <w:tab w:val="right" w:leader="dot" w:pos="9061"/>
        </w:tabs>
        <w:rPr>
          <w:rFonts w:asciiTheme="minorHAnsi" w:eastAsiaTheme="minorEastAsia" w:hAnsiTheme="minorHAnsi" w:cstheme="minorBidi"/>
          <w:b w:val="0"/>
          <w:bCs w:val="0"/>
          <w:caps w:val="0"/>
          <w:noProof/>
          <w:sz w:val="22"/>
          <w:szCs w:val="22"/>
        </w:rPr>
      </w:pPr>
      <w:hyperlink w:anchor="_Toc508286947" w:history="1">
        <w:r w:rsidR="003933BF" w:rsidRPr="002F2D89">
          <w:rPr>
            <w:rStyle w:val="Hypertextovodkaz"/>
            <w:noProof/>
          </w:rPr>
          <w:t>III.</w:t>
        </w:r>
        <w:r w:rsidR="003933BF">
          <w:rPr>
            <w:rFonts w:asciiTheme="minorHAnsi" w:eastAsiaTheme="minorEastAsia" w:hAnsiTheme="minorHAnsi" w:cstheme="minorBidi"/>
            <w:b w:val="0"/>
            <w:bCs w:val="0"/>
            <w:caps w:val="0"/>
            <w:noProof/>
            <w:sz w:val="22"/>
            <w:szCs w:val="22"/>
          </w:rPr>
          <w:tab/>
        </w:r>
        <w:r w:rsidR="003933BF" w:rsidRPr="002F2D89">
          <w:rPr>
            <w:rStyle w:val="Hypertextovodkaz"/>
            <w:noProof/>
          </w:rPr>
          <w:t>Řízení státního dluhu</w:t>
        </w:r>
        <w:r w:rsidR="003933BF">
          <w:rPr>
            <w:noProof/>
            <w:webHidden/>
          </w:rPr>
          <w:tab/>
        </w:r>
        <w:r w:rsidR="003933BF">
          <w:rPr>
            <w:noProof/>
            <w:webHidden/>
          </w:rPr>
          <w:fldChar w:fldCharType="begin"/>
        </w:r>
        <w:r w:rsidR="003933BF">
          <w:rPr>
            <w:noProof/>
            <w:webHidden/>
          </w:rPr>
          <w:instrText xml:space="preserve"> PAGEREF _Toc508286947 \h </w:instrText>
        </w:r>
        <w:r w:rsidR="003933BF">
          <w:rPr>
            <w:noProof/>
            <w:webHidden/>
          </w:rPr>
        </w:r>
        <w:r w:rsidR="003933BF">
          <w:rPr>
            <w:noProof/>
            <w:webHidden/>
          </w:rPr>
          <w:fldChar w:fldCharType="separate"/>
        </w:r>
        <w:r w:rsidR="00E8377E">
          <w:rPr>
            <w:noProof/>
            <w:webHidden/>
          </w:rPr>
          <w:t>14</w:t>
        </w:r>
        <w:r w:rsidR="003933BF">
          <w:rPr>
            <w:noProof/>
            <w:webHidden/>
          </w:rPr>
          <w:fldChar w:fldCharType="end"/>
        </w:r>
      </w:hyperlink>
    </w:p>
    <w:p w:rsidR="003933BF" w:rsidRDefault="000C0143">
      <w:pPr>
        <w:pStyle w:val="Obsah2"/>
        <w:tabs>
          <w:tab w:val="left" w:pos="720"/>
          <w:tab w:val="right" w:leader="dot" w:pos="9061"/>
        </w:tabs>
        <w:rPr>
          <w:rFonts w:asciiTheme="minorHAnsi" w:eastAsiaTheme="minorEastAsia" w:hAnsiTheme="minorHAnsi" w:cstheme="minorBidi"/>
          <w:smallCaps w:val="0"/>
          <w:noProof/>
          <w:sz w:val="22"/>
          <w:szCs w:val="22"/>
        </w:rPr>
      </w:pPr>
      <w:hyperlink w:anchor="_Toc508286948" w:history="1">
        <w:r w:rsidR="003933BF" w:rsidRPr="002F2D89">
          <w:rPr>
            <w:rStyle w:val="Hypertextovodkaz"/>
            <w:noProof/>
          </w:rPr>
          <w:t>1.</w:t>
        </w:r>
        <w:r w:rsidR="003933BF">
          <w:rPr>
            <w:rFonts w:asciiTheme="minorHAnsi" w:eastAsiaTheme="minorEastAsia" w:hAnsiTheme="minorHAnsi" w:cstheme="minorBidi"/>
            <w:smallCaps w:val="0"/>
            <w:noProof/>
            <w:sz w:val="22"/>
            <w:szCs w:val="22"/>
          </w:rPr>
          <w:tab/>
        </w:r>
        <w:r w:rsidR="003933BF" w:rsidRPr="002F2D89">
          <w:rPr>
            <w:rStyle w:val="Hypertextovodkaz"/>
            <w:noProof/>
          </w:rPr>
          <w:t>Dluhová strategie a rezerva peněžních prostředků</w:t>
        </w:r>
        <w:r w:rsidR="003933BF">
          <w:rPr>
            <w:noProof/>
            <w:webHidden/>
          </w:rPr>
          <w:tab/>
        </w:r>
        <w:r w:rsidR="003933BF">
          <w:rPr>
            <w:noProof/>
            <w:webHidden/>
          </w:rPr>
          <w:fldChar w:fldCharType="begin"/>
        </w:r>
        <w:r w:rsidR="003933BF">
          <w:rPr>
            <w:noProof/>
            <w:webHidden/>
          </w:rPr>
          <w:instrText xml:space="preserve"> PAGEREF _Toc508286948 \h </w:instrText>
        </w:r>
        <w:r w:rsidR="003933BF">
          <w:rPr>
            <w:noProof/>
            <w:webHidden/>
          </w:rPr>
        </w:r>
        <w:r w:rsidR="003933BF">
          <w:rPr>
            <w:noProof/>
            <w:webHidden/>
          </w:rPr>
          <w:fldChar w:fldCharType="separate"/>
        </w:r>
        <w:r w:rsidR="00E8377E">
          <w:rPr>
            <w:noProof/>
            <w:webHidden/>
          </w:rPr>
          <w:t>14</w:t>
        </w:r>
        <w:r w:rsidR="003933BF">
          <w:rPr>
            <w:noProof/>
            <w:webHidden/>
          </w:rPr>
          <w:fldChar w:fldCharType="end"/>
        </w:r>
      </w:hyperlink>
    </w:p>
    <w:p w:rsidR="003933BF" w:rsidRDefault="000C0143">
      <w:pPr>
        <w:pStyle w:val="Obsah3"/>
        <w:tabs>
          <w:tab w:val="left" w:pos="1200"/>
          <w:tab w:val="right" w:leader="dot" w:pos="9061"/>
        </w:tabs>
        <w:rPr>
          <w:rFonts w:asciiTheme="minorHAnsi" w:eastAsiaTheme="minorEastAsia" w:hAnsiTheme="minorHAnsi" w:cstheme="minorBidi"/>
          <w:i w:val="0"/>
          <w:iCs w:val="0"/>
          <w:noProof/>
          <w:sz w:val="22"/>
          <w:szCs w:val="22"/>
        </w:rPr>
      </w:pPr>
      <w:hyperlink w:anchor="_Toc508286951" w:history="1">
        <w:r w:rsidR="003933BF" w:rsidRPr="002F2D89">
          <w:rPr>
            <w:rStyle w:val="Hypertextovodkaz"/>
            <w:noProof/>
            <w14:scene3d>
              <w14:camera w14:prst="orthographicFront"/>
              <w14:lightRig w14:rig="threePt" w14:dir="t">
                <w14:rot w14:lat="0" w14:lon="0" w14:rev="0"/>
              </w14:lightRig>
            </w14:scene3d>
          </w:rPr>
          <w:t>1.1.</w:t>
        </w:r>
        <w:r w:rsidR="003933BF">
          <w:rPr>
            <w:rFonts w:asciiTheme="minorHAnsi" w:eastAsiaTheme="minorEastAsia" w:hAnsiTheme="minorHAnsi" w:cstheme="minorBidi"/>
            <w:i w:val="0"/>
            <w:iCs w:val="0"/>
            <w:noProof/>
            <w:sz w:val="22"/>
            <w:szCs w:val="22"/>
          </w:rPr>
          <w:tab/>
        </w:r>
        <w:r w:rsidR="003933BF" w:rsidRPr="002F2D89">
          <w:rPr>
            <w:rStyle w:val="Hypertextovodkaz"/>
            <w:noProof/>
          </w:rPr>
          <w:t>Strategie financování a řízení státního dluhu</w:t>
        </w:r>
        <w:r w:rsidR="003933BF">
          <w:rPr>
            <w:noProof/>
            <w:webHidden/>
          </w:rPr>
          <w:tab/>
        </w:r>
        <w:r w:rsidR="003933BF">
          <w:rPr>
            <w:noProof/>
            <w:webHidden/>
          </w:rPr>
          <w:fldChar w:fldCharType="begin"/>
        </w:r>
        <w:r w:rsidR="003933BF">
          <w:rPr>
            <w:noProof/>
            <w:webHidden/>
          </w:rPr>
          <w:instrText xml:space="preserve"> PAGEREF _Toc508286951 \h </w:instrText>
        </w:r>
        <w:r w:rsidR="003933BF">
          <w:rPr>
            <w:noProof/>
            <w:webHidden/>
          </w:rPr>
        </w:r>
        <w:r w:rsidR="003933BF">
          <w:rPr>
            <w:noProof/>
            <w:webHidden/>
          </w:rPr>
          <w:fldChar w:fldCharType="separate"/>
        </w:r>
        <w:r w:rsidR="00E8377E">
          <w:rPr>
            <w:noProof/>
            <w:webHidden/>
          </w:rPr>
          <w:t>14</w:t>
        </w:r>
        <w:r w:rsidR="003933BF">
          <w:rPr>
            <w:noProof/>
            <w:webHidden/>
          </w:rPr>
          <w:fldChar w:fldCharType="end"/>
        </w:r>
      </w:hyperlink>
    </w:p>
    <w:p w:rsidR="003933BF" w:rsidRDefault="000C0143">
      <w:pPr>
        <w:pStyle w:val="Obsah3"/>
        <w:tabs>
          <w:tab w:val="left" w:pos="1200"/>
          <w:tab w:val="right" w:leader="dot" w:pos="9061"/>
        </w:tabs>
        <w:rPr>
          <w:rFonts w:asciiTheme="minorHAnsi" w:eastAsiaTheme="minorEastAsia" w:hAnsiTheme="minorHAnsi" w:cstheme="minorBidi"/>
          <w:i w:val="0"/>
          <w:iCs w:val="0"/>
          <w:noProof/>
          <w:sz w:val="22"/>
          <w:szCs w:val="22"/>
        </w:rPr>
      </w:pPr>
      <w:hyperlink w:anchor="_Toc508286952" w:history="1">
        <w:r w:rsidR="003933BF" w:rsidRPr="002F2D89">
          <w:rPr>
            <w:rStyle w:val="Hypertextovodkaz"/>
            <w:noProof/>
            <w14:scene3d>
              <w14:camera w14:prst="orthographicFront"/>
              <w14:lightRig w14:rig="threePt" w14:dir="t">
                <w14:rot w14:lat="0" w14:lon="0" w14:rev="0"/>
              </w14:lightRig>
            </w14:scene3d>
          </w:rPr>
          <w:t>1.2.</w:t>
        </w:r>
        <w:r w:rsidR="003933BF">
          <w:rPr>
            <w:rFonts w:asciiTheme="minorHAnsi" w:eastAsiaTheme="minorEastAsia" w:hAnsiTheme="minorHAnsi" w:cstheme="minorBidi"/>
            <w:i w:val="0"/>
            <w:iCs w:val="0"/>
            <w:noProof/>
            <w:sz w:val="22"/>
            <w:szCs w:val="22"/>
          </w:rPr>
          <w:tab/>
        </w:r>
        <w:r w:rsidR="003933BF" w:rsidRPr="002F2D89">
          <w:rPr>
            <w:rStyle w:val="Hypertextovodkaz"/>
            <w:noProof/>
          </w:rPr>
          <w:t>Rezerva peněžních prostředků</w:t>
        </w:r>
        <w:r w:rsidR="003933BF">
          <w:rPr>
            <w:noProof/>
            <w:webHidden/>
          </w:rPr>
          <w:tab/>
        </w:r>
        <w:r w:rsidR="003933BF">
          <w:rPr>
            <w:noProof/>
            <w:webHidden/>
          </w:rPr>
          <w:fldChar w:fldCharType="begin"/>
        </w:r>
        <w:r w:rsidR="003933BF">
          <w:rPr>
            <w:noProof/>
            <w:webHidden/>
          </w:rPr>
          <w:instrText xml:space="preserve"> PAGEREF _Toc508286952 \h </w:instrText>
        </w:r>
        <w:r w:rsidR="003933BF">
          <w:rPr>
            <w:noProof/>
            <w:webHidden/>
          </w:rPr>
        </w:r>
        <w:r w:rsidR="003933BF">
          <w:rPr>
            <w:noProof/>
            <w:webHidden/>
          </w:rPr>
          <w:fldChar w:fldCharType="separate"/>
        </w:r>
        <w:r w:rsidR="00E8377E">
          <w:rPr>
            <w:noProof/>
            <w:webHidden/>
          </w:rPr>
          <w:t>17</w:t>
        </w:r>
        <w:r w:rsidR="003933BF">
          <w:rPr>
            <w:noProof/>
            <w:webHidden/>
          </w:rPr>
          <w:fldChar w:fldCharType="end"/>
        </w:r>
      </w:hyperlink>
    </w:p>
    <w:p w:rsidR="003933BF" w:rsidRDefault="000C0143">
      <w:pPr>
        <w:pStyle w:val="Obsah2"/>
        <w:tabs>
          <w:tab w:val="left" w:pos="720"/>
          <w:tab w:val="right" w:leader="dot" w:pos="9061"/>
        </w:tabs>
        <w:rPr>
          <w:rFonts w:asciiTheme="minorHAnsi" w:eastAsiaTheme="minorEastAsia" w:hAnsiTheme="minorHAnsi" w:cstheme="minorBidi"/>
          <w:smallCaps w:val="0"/>
          <w:noProof/>
          <w:sz w:val="22"/>
          <w:szCs w:val="22"/>
        </w:rPr>
      </w:pPr>
      <w:hyperlink w:anchor="_Toc508286953" w:history="1">
        <w:r w:rsidR="003933BF" w:rsidRPr="002F2D89">
          <w:rPr>
            <w:rStyle w:val="Hypertextovodkaz"/>
            <w:noProof/>
          </w:rPr>
          <w:t>2.</w:t>
        </w:r>
        <w:r w:rsidR="003933BF">
          <w:rPr>
            <w:rFonts w:asciiTheme="minorHAnsi" w:eastAsiaTheme="minorEastAsia" w:hAnsiTheme="minorHAnsi" w:cstheme="minorBidi"/>
            <w:smallCaps w:val="0"/>
            <w:noProof/>
            <w:sz w:val="22"/>
            <w:szCs w:val="22"/>
          </w:rPr>
          <w:tab/>
        </w:r>
        <w:r w:rsidR="003933BF" w:rsidRPr="002F2D89">
          <w:rPr>
            <w:rStyle w:val="Hypertextovodkaz"/>
            <w:noProof/>
          </w:rPr>
          <w:t>Řízení likvidity státního rozpočtu a státní pokladny</w:t>
        </w:r>
        <w:r w:rsidR="003933BF">
          <w:rPr>
            <w:noProof/>
            <w:webHidden/>
          </w:rPr>
          <w:tab/>
        </w:r>
        <w:r w:rsidR="003933BF">
          <w:rPr>
            <w:noProof/>
            <w:webHidden/>
          </w:rPr>
          <w:fldChar w:fldCharType="begin"/>
        </w:r>
        <w:r w:rsidR="003933BF">
          <w:rPr>
            <w:noProof/>
            <w:webHidden/>
          </w:rPr>
          <w:instrText xml:space="preserve"> PAGEREF _Toc508286953 \h </w:instrText>
        </w:r>
        <w:r w:rsidR="003933BF">
          <w:rPr>
            <w:noProof/>
            <w:webHidden/>
          </w:rPr>
        </w:r>
        <w:r w:rsidR="003933BF">
          <w:rPr>
            <w:noProof/>
            <w:webHidden/>
          </w:rPr>
          <w:fldChar w:fldCharType="separate"/>
        </w:r>
        <w:r w:rsidR="00E8377E">
          <w:rPr>
            <w:noProof/>
            <w:webHidden/>
          </w:rPr>
          <w:t>17</w:t>
        </w:r>
        <w:r w:rsidR="003933BF">
          <w:rPr>
            <w:noProof/>
            <w:webHidden/>
          </w:rPr>
          <w:fldChar w:fldCharType="end"/>
        </w:r>
      </w:hyperlink>
    </w:p>
    <w:p w:rsidR="003933BF" w:rsidRDefault="000C0143">
      <w:pPr>
        <w:pStyle w:val="Obsah3"/>
        <w:tabs>
          <w:tab w:val="left" w:pos="1200"/>
          <w:tab w:val="right" w:leader="dot" w:pos="9061"/>
        </w:tabs>
        <w:rPr>
          <w:rFonts w:asciiTheme="minorHAnsi" w:eastAsiaTheme="minorEastAsia" w:hAnsiTheme="minorHAnsi" w:cstheme="minorBidi"/>
          <w:i w:val="0"/>
          <w:iCs w:val="0"/>
          <w:noProof/>
          <w:sz w:val="22"/>
          <w:szCs w:val="22"/>
        </w:rPr>
      </w:pPr>
      <w:hyperlink w:anchor="_Toc508286957" w:history="1">
        <w:r w:rsidR="003933BF" w:rsidRPr="002F2D89">
          <w:rPr>
            <w:rStyle w:val="Hypertextovodkaz"/>
            <w:noProof/>
            <w14:scene3d>
              <w14:camera w14:prst="orthographicFront"/>
              <w14:lightRig w14:rig="threePt" w14:dir="t">
                <w14:rot w14:lat="0" w14:lon="0" w14:rev="0"/>
              </w14:lightRig>
            </w14:scene3d>
          </w:rPr>
          <w:t>2.1.</w:t>
        </w:r>
        <w:r w:rsidR="003933BF">
          <w:rPr>
            <w:rFonts w:asciiTheme="minorHAnsi" w:eastAsiaTheme="minorEastAsia" w:hAnsiTheme="minorHAnsi" w:cstheme="minorBidi"/>
            <w:i w:val="0"/>
            <w:iCs w:val="0"/>
            <w:noProof/>
            <w:sz w:val="22"/>
            <w:szCs w:val="22"/>
          </w:rPr>
          <w:tab/>
        </w:r>
        <w:r w:rsidR="003933BF" w:rsidRPr="002F2D89">
          <w:rPr>
            <w:rStyle w:val="Hypertextovodkaz"/>
            <w:noProof/>
          </w:rPr>
          <w:t>Řízení likvidity státní pokladny</w:t>
        </w:r>
        <w:r w:rsidR="003933BF">
          <w:rPr>
            <w:noProof/>
            <w:webHidden/>
          </w:rPr>
          <w:tab/>
        </w:r>
        <w:r w:rsidR="003933BF">
          <w:rPr>
            <w:noProof/>
            <w:webHidden/>
          </w:rPr>
          <w:fldChar w:fldCharType="begin"/>
        </w:r>
        <w:r w:rsidR="003933BF">
          <w:rPr>
            <w:noProof/>
            <w:webHidden/>
          </w:rPr>
          <w:instrText xml:space="preserve"> PAGEREF _Toc508286957 \h </w:instrText>
        </w:r>
        <w:r w:rsidR="003933BF">
          <w:rPr>
            <w:noProof/>
            <w:webHidden/>
          </w:rPr>
        </w:r>
        <w:r w:rsidR="003933BF">
          <w:rPr>
            <w:noProof/>
            <w:webHidden/>
          </w:rPr>
          <w:fldChar w:fldCharType="separate"/>
        </w:r>
        <w:r w:rsidR="00E8377E">
          <w:rPr>
            <w:noProof/>
            <w:webHidden/>
          </w:rPr>
          <w:t>17</w:t>
        </w:r>
        <w:r w:rsidR="003933BF">
          <w:rPr>
            <w:noProof/>
            <w:webHidden/>
          </w:rPr>
          <w:fldChar w:fldCharType="end"/>
        </w:r>
      </w:hyperlink>
    </w:p>
    <w:p w:rsidR="003933BF" w:rsidRDefault="000C0143">
      <w:pPr>
        <w:pStyle w:val="Obsah3"/>
        <w:tabs>
          <w:tab w:val="left" w:pos="1200"/>
          <w:tab w:val="right" w:leader="dot" w:pos="9061"/>
        </w:tabs>
        <w:rPr>
          <w:rFonts w:asciiTheme="minorHAnsi" w:eastAsiaTheme="minorEastAsia" w:hAnsiTheme="minorHAnsi" w:cstheme="minorBidi"/>
          <w:i w:val="0"/>
          <w:iCs w:val="0"/>
          <w:noProof/>
          <w:sz w:val="22"/>
          <w:szCs w:val="22"/>
        </w:rPr>
      </w:pPr>
      <w:hyperlink w:anchor="_Toc508286958" w:history="1">
        <w:r w:rsidR="003933BF" w:rsidRPr="002F2D89">
          <w:rPr>
            <w:rStyle w:val="Hypertextovodkaz"/>
            <w:noProof/>
            <w14:scene3d>
              <w14:camera w14:prst="orthographicFront"/>
              <w14:lightRig w14:rig="threePt" w14:dir="t">
                <w14:rot w14:lat="0" w14:lon="0" w14:rev="0"/>
              </w14:lightRig>
            </w14:scene3d>
          </w:rPr>
          <w:t>2.2.</w:t>
        </w:r>
        <w:r w:rsidR="003933BF">
          <w:rPr>
            <w:rFonts w:asciiTheme="minorHAnsi" w:eastAsiaTheme="minorEastAsia" w:hAnsiTheme="minorHAnsi" w:cstheme="minorBidi"/>
            <w:i w:val="0"/>
            <w:iCs w:val="0"/>
            <w:noProof/>
            <w:sz w:val="22"/>
            <w:szCs w:val="22"/>
          </w:rPr>
          <w:tab/>
        </w:r>
        <w:r w:rsidR="003933BF" w:rsidRPr="002F2D89">
          <w:rPr>
            <w:rStyle w:val="Hypertextovodkaz"/>
            <w:noProof/>
          </w:rPr>
          <w:t>Vývoj státní pokladny v roce 2016 a 2017</w:t>
        </w:r>
        <w:r w:rsidR="003933BF">
          <w:rPr>
            <w:noProof/>
            <w:webHidden/>
          </w:rPr>
          <w:tab/>
        </w:r>
        <w:r w:rsidR="003933BF">
          <w:rPr>
            <w:noProof/>
            <w:webHidden/>
          </w:rPr>
          <w:fldChar w:fldCharType="begin"/>
        </w:r>
        <w:r w:rsidR="003933BF">
          <w:rPr>
            <w:noProof/>
            <w:webHidden/>
          </w:rPr>
          <w:instrText xml:space="preserve"> PAGEREF _Toc508286958 \h </w:instrText>
        </w:r>
        <w:r w:rsidR="003933BF">
          <w:rPr>
            <w:noProof/>
            <w:webHidden/>
          </w:rPr>
        </w:r>
        <w:r w:rsidR="003933BF">
          <w:rPr>
            <w:noProof/>
            <w:webHidden/>
          </w:rPr>
          <w:fldChar w:fldCharType="separate"/>
        </w:r>
        <w:r w:rsidR="00E8377E">
          <w:rPr>
            <w:noProof/>
            <w:webHidden/>
          </w:rPr>
          <w:t>18</w:t>
        </w:r>
        <w:r w:rsidR="003933BF">
          <w:rPr>
            <w:noProof/>
            <w:webHidden/>
          </w:rPr>
          <w:fldChar w:fldCharType="end"/>
        </w:r>
      </w:hyperlink>
    </w:p>
    <w:p w:rsidR="003933BF" w:rsidRDefault="000C0143">
      <w:pPr>
        <w:pStyle w:val="Obsah3"/>
        <w:tabs>
          <w:tab w:val="left" w:pos="1200"/>
          <w:tab w:val="right" w:leader="dot" w:pos="9061"/>
        </w:tabs>
        <w:rPr>
          <w:rFonts w:asciiTheme="minorHAnsi" w:eastAsiaTheme="minorEastAsia" w:hAnsiTheme="minorHAnsi" w:cstheme="minorBidi"/>
          <w:i w:val="0"/>
          <w:iCs w:val="0"/>
          <w:noProof/>
          <w:sz w:val="22"/>
          <w:szCs w:val="22"/>
        </w:rPr>
      </w:pPr>
      <w:hyperlink w:anchor="_Toc508286959" w:history="1">
        <w:r w:rsidR="003933BF" w:rsidRPr="002F2D89">
          <w:rPr>
            <w:rStyle w:val="Hypertextovodkaz"/>
            <w:noProof/>
            <w14:scene3d>
              <w14:camera w14:prst="orthographicFront"/>
              <w14:lightRig w14:rig="threePt" w14:dir="t">
                <w14:rot w14:lat="0" w14:lon="0" w14:rev="0"/>
              </w14:lightRig>
            </w14:scene3d>
          </w:rPr>
          <w:t>2.3.</w:t>
        </w:r>
        <w:r w:rsidR="003933BF">
          <w:rPr>
            <w:rFonts w:asciiTheme="minorHAnsi" w:eastAsiaTheme="minorEastAsia" w:hAnsiTheme="minorHAnsi" w:cstheme="minorBidi"/>
            <w:i w:val="0"/>
            <w:iCs w:val="0"/>
            <w:noProof/>
            <w:sz w:val="22"/>
            <w:szCs w:val="22"/>
          </w:rPr>
          <w:tab/>
        </w:r>
        <w:r w:rsidR="003933BF" w:rsidRPr="002F2D89">
          <w:rPr>
            <w:rStyle w:val="Hypertextovodkaz"/>
            <w:noProof/>
          </w:rPr>
          <w:t>Vývoj státního rozpočtu v roce 2016 a 2017</w:t>
        </w:r>
        <w:r w:rsidR="003933BF">
          <w:rPr>
            <w:noProof/>
            <w:webHidden/>
          </w:rPr>
          <w:tab/>
        </w:r>
        <w:r w:rsidR="003933BF">
          <w:rPr>
            <w:noProof/>
            <w:webHidden/>
          </w:rPr>
          <w:fldChar w:fldCharType="begin"/>
        </w:r>
        <w:r w:rsidR="003933BF">
          <w:rPr>
            <w:noProof/>
            <w:webHidden/>
          </w:rPr>
          <w:instrText xml:space="preserve"> PAGEREF _Toc508286959 \h </w:instrText>
        </w:r>
        <w:r w:rsidR="003933BF">
          <w:rPr>
            <w:noProof/>
            <w:webHidden/>
          </w:rPr>
        </w:r>
        <w:r w:rsidR="003933BF">
          <w:rPr>
            <w:noProof/>
            <w:webHidden/>
          </w:rPr>
          <w:fldChar w:fldCharType="separate"/>
        </w:r>
        <w:r w:rsidR="00E8377E">
          <w:rPr>
            <w:noProof/>
            <w:webHidden/>
          </w:rPr>
          <w:t>19</w:t>
        </w:r>
        <w:r w:rsidR="003933BF">
          <w:rPr>
            <w:noProof/>
            <w:webHidden/>
          </w:rPr>
          <w:fldChar w:fldCharType="end"/>
        </w:r>
      </w:hyperlink>
    </w:p>
    <w:p w:rsidR="003933BF" w:rsidRDefault="000C0143">
      <w:pPr>
        <w:pStyle w:val="Obsah1"/>
        <w:tabs>
          <w:tab w:val="left" w:pos="720"/>
          <w:tab w:val="right" w:leader="dot" w:pos="9061"/>
        </w:tabs>
        <w:rPr>
          <w:rFonts w:asciiTheme="minorHAnsi" w:eastAsiaTheme="minorEastAsia" w:hAnsiTheme="minorHAnsi" w:cstheme="minorBidi"/>
          <w:b w:val="0"/>
          <w:bCs w:val="0"/>
          <w:caps w:val="0"/>
          <w:noProof/>
          <w:sz w:val="22"/>
          <w:szCs w:val="22"/>
        </w:rPr>
      </w:pPr>
      <w:hyperlink w:anchor="_Toc508286960" w:history="1">
        <w:r w:rsidR="003933BF" w:rsidRPr="002F2D89">
          <w:rPr>
            <w:rStyle w:val="Hypertextovodkaz"/>
            <w:noProof/>
          </w:rPr>
          <w:t>IV.</w:t>
        </w:r>
        <w:r w:rsidR="003933BF">
          <w:rPr>
            <w:rFonts w:asciiTheme="minorHAnsi" w:eastAsiaTheme="minorEastAsia" w:hAnsiTheme="minorHAnsi" w:cstheme="minorBidi"/>
            <w:b w:val="0"/>
            <w:bCs w:val="0"/>
            <w:caps w:val="0"/>
            <w:noProof/>
            <w:sz w:val="22"/>
            <w:szCs w:val="22"/>
          </w:rPr>
          <w:tab/>
        </w:r>
        <w:r w:rsidR="003933BF" w:rsidRPr="002F2D89">
          <w:rPr>
            <w:rStyle w:val="Hypertextovodkaz"/>
            <w:noProof/>
          </w:rPr>
          <w:t>Tabulková příloha</w:t>
        </w:r>
        <w:r w:rsidR="003933BF">
          <w:rPr>
            <w:noProof/>
            <w:webHidden/>
          </w:rPr>
          <w:tab/>
        </w:r>
        <w:r w:rsidR="003933BF">
          <w:rPr>
            <w:noProof/>
            <w:webHidden/>
          </w:rPr>
          <w:fldChar w:fldCharType="begin"/>
        </w:r>
        <w:r w:rsidR="003933BF">
          <w:rPr>
            <w:noProof/>
            <w:webHidden/>
          </w:rPr>
          <w:instrText xml:space="preserve"> PAGEREF _Toc508286960 \h </w:instrText>
        </w:r>
        <w:r w:rsidR="003933BF">
          <w:rPr>
            <w:noProof/>
            <w:webHidden/>
          </w:rPr>
        </w:r>
        <w:r w:rsidR="003933BF">
          <w:rPr>
            <w:noProof/>
            <w:webHidden/>
          </w:rPr>
          <w:fldChar w:fldCharType="separate"/>
        </w:r>
        <w:r w:rsidR="00E8377E">
          <w:rPr>
            <w:noProof/>
            <w:webHidden/>
          </w:rPr>
          <w:t>21</w:t>
        </w:r>
        <w:r w:rsidR="003933BF">
          <w:rPr>
            <w:noProof/>
            <w:webHidden/>
          </w:rPr>
          <w:fldChar w:fldCharType="end"/>
        </w:r>
      </w:hyperlink>
    </w:p>
    <w:p w:rsidR="00F952F1" w:rsidRDefault="00A66E17" w:rsidP="0079366D">
      <w:pPr>
        <w:sectPr w:rsidR="00F952F1" w:rsidSect="00074743">
          <w:headerReference w:type="default" r:id="rId15"/>
          <w:footerReference w:type="default" r:id="rId16"/>
          <w:pgSz w:w="11907" w:h="16840" w:code="9"/>
          <w:pgMar w:top="1418" w:right="1418" w:bottom="1418" w:left="1418" w:header="397" w:footer="397" w:gutter="0"/>
          <w:cols w:space="708"/>
          <w:noEndnote/>
          <w:titlePg/>
        </w:sectPr>
      </w:pPr>
      <w:r>
        <w:fldChar w:fldCharType="end"/>
      </w:r>
      <w:bookmarkStart w:id="0" w:name="_Toc287954308"/>
    </w:p>
    <w:p w:rsidR="001E666C" w:rsidRDefault="001E666C" w:rsidP="002A4A29">
      <w:pPr>
        <w:pStyle w:val="Nadpis1"/>
        <w:numPr>
          <w:ilvl w:val="0"/>
          <w:numId w:val="30"/>
        </w:numPr>
        <w:ind w:left="587"/>
      </w:pPr>
      <w:bookmarkStart w:id="1" w:name="_Toc508286918"/>
      <w:r w:rsidRPr="005B3D4C">
        <w:lastRenderedPageBreak/>
        <w:t>V</w:t>
      </w:r>
      <w:r>
        <w:t xml:space="preserve">ývoj a stav </w:t>
      </w:r>
      <w:r w:rsidRPr="00AD4B55">
        <w:t>státního</w:t>
      </w:r>
      <w:r>
        <w:t xml:space="preserve"> dluhu</w:t>
      </w:r>
      <w:bookmarkEnd w:id="0"/>
      <w:bookmarkEnd w:id="1"/>
    </w:p>
    <w:p w:rsidR="006C2066" w:rsidRPr="004317DB" w:rsidRDefault="006C2066" w:rsidP="000B71FE">
      <w:pPr>
        <w:pStyle w:val="Nadpis2"/>
      </w:pPr>
      <w:bookmarkStart w:id="2" w:name="_Toc414003581"/>
      <w:bookmarkStart w:id="3" w:name="_Toc508286919"/>
      <w:r w:rsidRPr="004317DB">
        <w:t>Vývoj státního dluhu v letech 200</w:t>
      </w:r>
      <w:r w:rsidR="00966682">
        <w:t>8</w:t>
      </w:r>
      <w:r w:rsidRPr="004317DB">
        <w:t xml:space="preserve"> až 201</w:t>
      </w:r>
      <w:bookmarkEnd w:id="2"/>
      <w:r w:rsidR="00966682">
        <w:t>7</w:t>
      </w:r>
      <w:bookmarkEnd w:id="3"/>
    </w:p>
    <w:p w:rsidR="006C2066" w:rsidRDefault="00247D21" w:rsidP="006C2066">
      <w:r w:rsidRPr="000619F1">
        <w:t xml:space="preserve">Od začátku roku 2014 do konce roku 2017 došlo k poklesu státního dluhu v absolutním vyjádření (z 1 683,3 mld. Kč na 1 624,7 mld. Kč, tj. o 58,6 mld. Kč) i ve vyjádření v poměru k HDP (ze 41,1 % HDP na konci roku 2013 na </w:t>
      </w:r>
      <w:r w:rsidRPr="00D85CA3">
        <w:t>32,2</w:t>
      </w:r>
      <w:r w:rsidRPr="000619F1">
        <w:t xml:space="preserve"> </w:t>
      </w:r>
      <w:r>
        <w:t>% HDP na konci roku 2017, tj.</w:t>
      </w:r>
      <w:r w:rsidRPr="000619F1">
        <w:t xml:space="preserve"> </w:t>
      </w:r>
      <w:r w:rsidRPr="008B02D6">
        <w:t> </w:t>
      </w:r>
      <w:r>
        <w:t xml:space="preserve"> o</w:t>
      </w:r>
      <w:r w:rsidRPr="008B02D6">
        <w:t> </w:t>
      </w:r>
      <w:r>
        <w:t xml:space="preserve"> </w:t>
      </w:r>
      <w:r w:rsidRPr="00D85CA3">
        <w:t>8,9</w:t>
      </w:r>
      <w:r w:rsidRPr="008B02D6">
        <w:t> </w:t>
      </w:r>
      <w:r w:rsidRPr="000619F1">
        <w:t xml:space="preserve"> p. </w:t>
      </w:r>
      <w:r w:rsidRPr="008B02D6">
        <w:t> </w:t>
      </w:r>
      <w:r w:rsidRPr="000619F1">
        <w:t xml:space="preserve"> b.), a to v důsledku efektivního řízení likvidity státn</w:t>
      </w:r>
      <w:r>
        <w:t xml:space="preserve">í pokladny a v roce 2016 též v </w:t>
      </w:r>
      <w:r w:rsidRPr="000619F1">
        <w:t>důsledku dosažení rekordního přebytku státního rozpočtu ve výši 61,8 mld. Kč.</w:t>
      </w:r>
    </w:p>
    <w:p w:rsidR="006C2066" w:rsidRPr="005875D9" w:rsidRDefault="006C2066" w:rsidP="006C2066">
      <w:pPr>
        <w:rPr>
          <w:b/>
          <w:sz w:val="22"/>
          <w:szCs w:val="22"/>
        </w:rPr>
      </w:pPr>
      <w:r w:rsidRPr="005875D9">
        <w:rPr>
          <w:b/>
          <w:sz w:val="22"/>
          <w:szCs w:val="22"/>
        </w:rPr>
        <w:t xml:space="preserve">Graf č. </w:t>
      </w:r>
      <w:r w:rsidRPr="005875D9">
        <w:rPr>
          <w:b/>
          <w:sz w:val="22"/>
          <w:szCs w:val="22"/>
        </w:rPr>
        <w:fldChar w:fldCharType="begin"/>
      </w:r>
      <w:r w:rsidRPr="005875D9">
        <w:rPr>
          <w:b/>
          <w:sz w:val="22"/>
          <w:szCs w:val="22"/>
        </w:rPr>
        <w:instrText xml:space="preserve"> SEQ Graf_č. \* ARABIC </w:instrText>
      </w:r>
      <w:r w:rsidRPr="005875D9">
        <w:rPr>
          <w:b/>
          <w:sz w:val="22"/>
          <w:szCs w:val="22"/>
        </w:rPr>
        <w:fldChar w:fldCharType="separate"/>
      </w:r>
      <w:r w:rsidR="00E3034F">
        <w:rPr>
          <w:b/>
          <w:noProof/>
          <w:sz w:val="22"/>
          <w:szCs w:val="22"/>
        </w:rPr>
        <w:t>1</w:t>
      </w:r>
      <w:r w:rsidRPr="005875D9">
        <w:rPr>
          <w:b/>
          <w:noProof/>
          <w:sz w:val="22"/>
          <w:szCs w:val="22"/>
        </w:rPr>
        <w:fldChar w:fldCharType="end"/>
      </w:r>
      <w:r w:rsidRPr="005875D9">
        <w:rPr>
          <w:b/>
          <w:sz w:val="22"/>
          <w:szCs w:val="22"/>
        </w:rPr>
        <w:t>: Vývoj státního dluhu 200</w:t>
      </w:r>
      <w:r w:rsidR="00AA152B">
        <w:rPr>
          <w:b/>
          <w:sz w:val="22"/>
          <w:szCs w:val="22"/>
        </w:rPr>
        <w:t>8</w:t>
      </w:r>
      <w:r w:rsidRPr="005875D9">
        <w:rPr>
          <w:b/>
          <w:sz w:val="22"/>
          <w:szCs w:val="22"/>
        </w:rPr>
        <w:t xml:space="preserve"> – 201</w:t>
      </w:r>
      <w:r w:rsidR="00AA152B">
        <w:rPr>
          <w:b/>
          <w:sz w:val="22"/>
          <w:szCs w:val="22"/>
        </w:rPr>
        <w:t>7</w:t>
      </w:r>
    </w:p>
    <w:p w:rsidR="00BC0177" w:rsidRPr="0016731C" w:rsidRDefault="00247D21" w:rsidP="008677D6">
      <w:pPr>
        <w:pStyle w:val="Pramen"/>
        <w:rPr>
          <w:b/>
        </w:rPr>
      </w:pPr>
      <w:r>
        <w:rPr>
          <w:noProof/>
        </w:rPr>
        <w:drawing>
          <wp:inline distT="0" distB="0" distL="0" distR="0" wp14:anchorId="30827318" wp14:editId="17862CE6">
            <wp:extent cx="5760085" cy="2762276"/>
            <wp:effectExtent l="0" t="0" r="0" b="0"/>
            <wp:docPr id="10"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006C2066" w:rsidRPr="006C2066">
        <w:t>Zdroj: MF, ČSÚ</w:t>
      </w:r>
    </w:p>
    <w:p w:rsidR="001E666C" w:rsidRPr="005B3D4C" w:rsidRDefault="001E666C" w:rsidP="000B71FE">
      <w:pPr>
        <w:pStyle w:val="Nadpis2"/>
      </w:pPr>
      <w:bookmarkStart w:id="4" w:name="_Toc287954309"/>
      <w:bookmarkStart w:id="5" w:name="_Toc508286920"/>
      <w:r w:rsidRPr="005B3D4C">
        <w:t xml:space="preserve">Vývoj státního dluhu </w:t>
      </w:r>
      <w:bookmarkEnd w:id="4"/>
      <w:r>
        <w:t>v </w:t>
      </w:r>
      <w:r w:rsidR="00942629">
        <w:t>roce</w:t>
      </w:r>
      <w:r>
        <w:t xml:space="preserve"> 20</w:t>
      </w:r>
      <w:r w:rsidR="00C14E80">
        <w:t>1</w:t>
      </w:r>
      <w:r w:rsidR="00636171">
        <w:t>7</w:t>
      </w:r>
      <w:bookmarkEnd w:id="5"/>
    </w:p>
    <w:p w:rsidR="001E666C" w:rsidRPr="000C65AA" w:rsidRDefault="00247D21" w:rsidP="006B7732">
      <w:pPr>
        <w:rPr>
          <w:color w:val="000000"/>
        </w:rPr>
      </w:pPr>
      <w:r w:rsidRPr="00636171">
        <w:t xml:space="preserve">Státní dluh se v </w:t>
      </w:r>
      <w:r>
        <w:t>roce</w:t>
      </w:r>
      <w:r w:rsidRPr="00636171">
        <w:t xml:space="preserve"> 2017 zvýšil z 1 613,4 mld. Kč na 1 624,7 mld. Kč, tj. o 11,3 mld. Kč, resp. 0,7 %, přičemž vnitřní státní dluh vzrostl o 27,3 mld. Kč a korunová hodnota vnějšího státního dluhu se snížila o 16,0 mld. Kč.</w:t>
      </w:r>
    </w:p>
    <w:p w:rsidR="001E666C" w:rsidRPr="00EE2D87" w:rsidRDefault="0022745A" w:rsidP="0022745A">
      <w:pPr>
        <w:pStyle w:val="Titulek"/>
        <w:framePr w:w="0" w:hSpace="0" w:wrap="auto" w:vAnchor="margin" w:hAnchor="text" w:xAlign="left" w:yAlign="inline"/>
      </w:pPr>
      <w:r>
        <w:lastRenderedPageBreak/>
        <w:t xml:space="preserve">Tabulka č. </w:t>
      </w:r>
      <w:fldSimple w:instr=" SEQ Tabulka_č. \* ARABIC ">
        <w:r w:rsidR="00E3034F">
          <w:rPr>
            <w:noProof/>
          </w:rPr>
          <w:t>1</w:t>
        </w:r>
      </w:fldSimple>
      <w:r w:rsidR="001E666C" w:rsidRPr="00EE2D87">
        <w:t>: Vývoj státního dluhu v </w:t>
      </w:r>
      <w:r w:rsidR="00942629">
        <w:t>roce</w:t>
      </w:r>
      <w:r w:rsidR="001E666C" w:rsidRPr="00EE2D87">
        <w:t xml:space="preserve"> 201</w:t>
      </w:r>
      <w:r w:rsidR="00636171">
        <w:t>7</w:t>
      </w:r>
      <w:r w:rsidR="001E666C">
        <w:t xml:space="preserve"> (</w:t>
      </w:r>
      <w:r w:rsidR="001E666C" w:rsidRPr="00EE2D87">
        <w:t>mil. Kč)</w:t>
      </w:r>
    </w:p>
    <w:p w:rsidR="001E666C" w:rsidRPr="00EE2D87" w:rsidRDefault="00636171" w:rsidP="0022745A">
      <w:r w:rsidRPr="00636171">
        <w:rPr>
          <w:noProof/>
        </w:rPr>
        <w:drawing>
          <wp:inline distT="0" distB="0" distL="0" distR="0" wp14:anchorId="11752A7B" wp14:editId="56EB69A1">
            <wp:extent cx="5760085" cy="3017639"/>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0085" cy="3017639"/>
                    </a:xfrm>
                    <a:prstGeom prst="rect">
                      <a:avLst/>
                    </a:prstGeom>
                    <a:noFill/>
                    <a:ln>
                      <a:noFill/>
                    </a:ln>
                  </pic:spPr>
                </pic:pic>
              </a:graphicData>
            </a:graphic>
          </wp:inline>
        </w:drawing>
      </w:r>
    </w:p>
    <w:p w:rsidR="001E666C" w:rsidRPr="0089180B" w:rsidRDefault="001E666C" w:rsidP="008677D6">
      <w:pPr>
        <w:pStyle w:val="Pramen"/>
      </w:pPr>
      <w:r w:rsidRPr="0089180B">
        <w:t>Zdroj: MF</w:t>
      </w:r>
    </w:p>
    <w:p w:rsidR="001E666C" w:rsidRPr="00EE2D87" w:rsidRDefault="002B1820" w:rsidP="000A764D">
      <w:pPr>
        <w:rPr>
          <w:color w:val="000000"/>
        </w:rPr>
      </w:pPr>
      <w:r w:rsidRPr="002B1820">
        <w:t>Výpůjční operace státu v ro</w:t>
      </w:r>
      <w:r>
        <w:t>ce</w:t>
      </w:r>
      <w:r w:rsidRPr="002B1820">
        <w:t xml:space="preserve"> 2017 spočívaly převážně v emisích státních dluhopisů, zejména střednědobých a dlouhodobých státních dluhopisů (dále též „SDD“) vydaných na domácím trhu a státních pokladničních poukázek (dále též „SPP“). Podrobnější údaje o vývoji státního dluhu České republiky v </w:t>
      </w:r>
      <w:r>
        <w:t>roce</w:t>
      </w:r>
      <w:r w:rsidRPr="002B1820">
        <w:t xml:space="preserve"> 2017 jsou uvedeny v </w:t>
      </w:r>
      <w:r w:rsidR="00F952F1" w:rsidRPr="00A12BF3">
        <w:rPr>
          <w:color w:val="FF0000"/>
        </w:rPr>
        <w:fldChar w:fldCharType="begin"/>
      </w:r>
      <w:r w:rsidR="00F952F1" w:rsidRPr="00A12BF3">
        <w:rPr>
          <w:color w:val="FF0000"/>
        </w:rPr>
        <w:instrText xml:space="preserve"> REF _Ref445883099 \h </w:instrText>
      </w:r>
      <w:r w:rsidR="00F952F1" w:rsidRPr="00A12BF3">
        <w:rPr>
          <w:color w:val="FF0000"/>
        </w:rPr>
      </w:r>
      <w:r w:rsidR="00F952F1" w:rsidRPr="00A12BF3">
        <w:rPr>
          <w:color w:val="FF0000"/>
        </w:rPr>
        <w:fldChar w:fldCharType="separate"/>
      </w:r>
      <w:proofErr w:type="gramStart"/>
      <w:r w:rsidR="00E3034F">
        <w:t>Příloha</w:t>
      </w:r>
      <w:proofErr w:type="gramEnd"/>
      <w:r w:rsidR="00E3034F">
        <w:t xml:space="preserve"> č. </w:t>
      </w:r>
      <w:r w:rsidR="00E3034F">
        <w:rPr>
          <w:noProof/>
        </w:rPr>
        <w:t>1</w:t>
      </w:r>
      <w:r w:rsidR="00F952F1" w:rsidRPr="00A12BF3">
        <w:rPr>
          <w:color w:val="FF0000"/>
        </w:rPr>
        <w:fldChar w:fldCharType="end"/>
      </w:r>
      <w:r w:rsidR="001E666C" w:rsidRPr="00DA0B53">
        <w:t>.</w:t>
      </w:r>
    </w:p>
    <w:p w:rsidR="001E666C" w:rsidRPr="00EE2D87" w:rsidRDefault="001E666C" w:rsidP="000B71FE">
      <w:pPr>
        <w:pStyle w:val="Nadpis2"/>
      </w:pPr>
      <w:bookmarkStart w:id="6" w:name="_Toc287954312"/>
      <w:bookmarkStart w:id="7" w:name="_Toc508286921"/>
      <w:r w:rsidRPr="00EE2D87">
        <w:t>Stav státního dluhu</w:t>
      </w:r>
      <w:bookmarkEnd w:id="6"/>
      <w:bookmarkEnd w:id="7"/>
    </w:p>
    <w:p w:rsidR="00BB18D5" w:rsidRPr="00BB18D5" w:rsidRDefault="00BB18D5" w:rsidP="00BB18D5">
      <w:pPr>
        <w:pStyle w:val="Odstavecseseznamem"/>
        <w:keepNext/>
        <w:numPr>
          <w:ilvl w:val="0"/>
          <w:numId w:val="1"/>
        </w:numPr>
        <w:spacing w:before="240" w:after="240"/>
        <w:ind w:left="709" w:hanging="709"/>
        <w:jc w:val="left"/>
        <w:outlineLvl w:val="0"/>
        <w:rPr>
          <w:b/>
          <w:bCs/>
          <w:vanish/>
          <w:color w:val="365F91"/>
          <w:kern w:val="32"/>
          <w:sz w:val="28"/>
          <w:szCs w:val="32"/>
        </w:rPr>
      </w:pPr>
      <w:bookmarkStart w:id="8" w:name="_Toc476561305"/>
      <w:bookmarkStart w:id="9" w:name="_Toc476668388"/>
      <w:bookmarkStart w:id="10" w:name="_Toc476668791"/>
      <w:bookmarkStart w:id="11" w:name="_Toc508007373"/>
      <w:bookmarkStart w:id="12" w:name="_Toc508007462"/>
      <w:bookmarkStart w:id="13" w:name="_Toc508007550"/>
      <w:bookmarkStart w:id="14" w:name="_Toc508007593"/>
      <w:bookmarkStart w:id="15" w:name="_Toc508007696"/>
      <w:bookmarkStart w:id="16" w:name="_Toc508007739"/>
      <w:bookmarkStart w:id="17" w:name="_Toc508017700"/>
      <w:bookmarkStart w:id="18" w:name="_Toc508019468"/>
      <w:bookmarkStart w:id="19" w:name="_Toc508283312"/>
      <w:bookmarkStart w:id="20" w:name="_Toc508286661"/>
      <w:bookmarkStart w:id="21" w:name="_Toc508286922"/>
      <w:bookmarkStart w:id="22" w:name="_Toc287954313"/>
      <w:bookmarkEnd w:id="8"/>
      <w:bookmarkEnd w:id="9"/>
      <w:bookmarkEnd w:id="10"/>
      <w:bookmarkEnd w:id="11"/>
      <w:bookmarkEnd w:id="12"/>
      <w:bookmarkEnd w:id="13"/>
      <w:bookmarkEnd w:id="14"/>
      <w:bookmarkEnd w:id="15"/>
      <w:bookmarkEnd w:id="16"/>
      <w:bookmarkEnd w:id="17"/>
      <w:bookmarkEnd w:id="18"/>
      <w:bookmarkEnd w:id="19"/>
      <w:bookmarkEnd w:id="20"/>
      <w:bookmarkEnd w:id="21"/>
    </w:p>
    <w:p w:rsidR="00BB18D5" w:rsidRPr="00BB18D5" w:rsidRDefault="00BB18D5" w:rsidP="00BB18D5">
      <w:pPr>
        <w:pStyle w:val="Odstavecseseznamem"/>
        <w:keepNext/>
        <w:numPr>
          <w:ilvl w:val="1"/>
          <w:numId w:val="1"/>
        </w:numPr>
        <w:spacing w:before="240" w:after="240"/>
        <w:jc w:val="left"/>
        <w:outlineLvl w:val="0"/>
        <w:rPr>
          <w:b/>
          <w:bCs/>
          <w:vanish/>
          <w:color w:val="365F91"/>
          <w:kern w:val="32"/>
          <w:sz w:val="28"/>
          <w:szCs w:val="32"/>
        </w:rPr>
      </w:pPr>
      <w:bookmarkStart w:id="23" w:name="_Toc476561306"/>
      <w:bookmarkStart w:id="24" w:name="_Toc476668389"/>
      <w:bookmarkStart w:id="25" w:name="_Toc476668792"/>
      <w:bookmarkStart w:id="26" w:name="_Toc508007374"/>
      <w:bookmarkStart w:id="27" w:name="_Toc508007463"/>
      <w:bookmarkStart w:id="28" w:name="_Toc508007551"/>
      <w:bookmarkStart w:id="29" w:name="_Toc508007594"/>
      <w:bookmarkStart w:id="30" w:name="_Toc508007697"/>
      <w:bookmarkStart w:id="31" w:name="_Toc508007740"/>
      <w:bookmarkStart w:id="32" w:name="_Toc508017701"/>
      <w:bookmarkStart w:id="33" w:name="_Toc508019469"/>
      <w:bookmarkStart w:id="34" w:name="_Toc508283313"/>
      <w:bookmarkStart w:id="35" w:name="_Toc508286662"/>
      <w:bookmarkStart w:id="36" w:name="_Toc508286923"/>
      <w:bookmarkEnd w:id="23"/>
      <w:bookmarkEnd w:id="24"/>
      <w:bookmarkEnd w:id="25"/>
      <w:bookmarkEnd w:id="26"/>
      <w:bookmarkEnd w:id="27"/>
      <w:bookmarkEnd w:id="28"/>
      <w:bookmarkEnd w:id="29"/>
      <w:bookmarkEnd w:id="30"/>
      <w:bookmarkEnd w:id="31"/>
      <w:bookmarkEnd w:id="32"/>
      <w:bookmarkEnd w:id="33"/>
      <w:bookmarkEnd w:id="34"/>
      <w:bookmarkEnd w:id="35"/>
      <w:bookmarkEnd w:id="36"/>
    </w:p>
    <w:p w:rsidR="00BB18D5" w:rsidRPr="00BB18D5" w:rsidRDefault="00BB18D5" w:rsidP="00BB18D5">
      <w:pPr>
        <w:pStyle w:val="Odstavecseseznamem"/>
        <w:keepNext/>
        <w:numPr>
          <w:ilvl w:val="1"/>
          <w:numId w:val="1"/>
        </w:numPr>
        <w:spacing w:before="240" w:after="240"/>
        <w:jc w:val="left"/>
        <w:outlineLvl w:val="0"/>
        <w:rPr>
          <w:b/>
          <w:bCs/>
          <w:vanish/>
          <w:color w:val="365F91"/>
          <w:kern w:val="32"/>
          <w:sz w:val="28"/>
          <w:szCs w:val="32"/>
        </w:rPr>
      </w:pPr>
      <w:bookmarkStart w:id="37" w:name="_Toc476561307"/>
      <w:bookmarkStart w:id="38" w:name="_Toc476668390"/>
      <w:bookmarkStart w:id="39" w:name="_Toc476668793"/>
      <w:bookmarkStart w:id="40" w:name="_Toc508007375"/>
      <w:bookmarkStart w:id="41" w:name="_Toc508007464"/>
      <w:bookmarkStart w:id="42" w:name="_Toc508007552"/>
      <w:bookmarkStart w:id="43" w:name="_Toc508007595"/>
      <w:bookmarkStart w:id="44" w:name="_Toc508007698"/>
      <w:bookmarkStart w:id="45" w:name="_Toc508007741"/>
      <w:bookmarkStart w:id="46" w:name="_Toc508017702"/>
      <w:bookmarkStart w:id="47" w:name="_Toc508019470"/>
      <w:bookmarkStart w:id="48" w:name="_Toc508283314"/>
      <w:bookmarkStart w:id="49" w:name="_Toc508286663"/>
      <w:bookmarkStart w:id="50" w:name="_Toc508286924"/>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BB18D5" w:rsidRPr="00BB18D5" w:rsidRDefault="00BB18D5" w:rsidP="00BB18D5">
      <w:pPr>
        <w:pStyle w:val="Odstavecseseznamem"/>
        <w:keepNext/>
        <w:numPr>
          <w:ilvl w:val="1"/>
          <w:numId w:val="1"/>
        </w:numPr>
        <w:spacing w:before="240" w:after="240"/>
        <w:jc w:val="left"/>
        <w:outlineLvl w:val="0"/>
        <w:rPr>
          <w:b/>
          <w:bCs/>
          <w:vanish/>
          <w:color w:val="365F91"/>
          <w:kern w:val="32"/>
          <w:sz w:val="28"/>
          <w:szCs w:val="32"/>
        </w:rPr>
      </w:pPr>
      <w:bookmarkStart w:id="51" w:name="_Toc476561308"/>
      <w:bookmarkStart w:id="52" w:name="_Toc476668391"/>
      <w:bookmarkStart w:id="53" w:name="_Toc476668794"/>
      <w:bookmarkStart w:id="54" w:name="_Toc508007376"/>
      <w:bookmarkStart w:id="55" w:name="_Toc508007465"/>
      <w:bookmarkStart w:id="56" w:name="_Toc508007553"/>
      <w:bookmarkStart w:id="57" w:name="_Toc508007596"/>
      <w:bookmarkStart w:id="58" w:name="_Toc508007699"/>
      <w:bookmarkStart w:id="59" w:name="_Toc508007742"/>
      <w:bookmarkStart w:id="60" w:name="_Toc508017703"/>
      <w:bookmarkStart w:id="61" w:name="_Toc508019471"/>
      <w:bookmarkStart w:id="62" w:name="_Toc508283315"/>
      <w:bookmarkStart w:id="63" w:name="_Toc508286664"/>
      <w:bookmarkStart w:id="64" w:name="_Toc508286925"/>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1E666C" w:rsidRPr="00453963" w:rsidRDefault="001E666C" w:rsidP="00BB18D5">
      <w:pPr>
        <w:pStyle w:val="Nadpis3"/>
      </w:pPr>
      <w:bookmarkStart w:id="65" w:name="_Toc508286926"/>
      <w:r w:rsidRPr="00453963">
        <w:t>Měnová skladba</w:t>
      </w:r>
      <w:bookmarkEnd w:id="22"/>
      <w:bookmarkEnd w:id="65"/>
    </w:p>
    <w:p w:rsidR="008C27CE" w:rsidRDefault="001E666C" w:rsidP="00347C67">
      <w:pPr>
        <w:tabs>
          <w:tab w:val="left" w:pos="851"/>
        </w:tabs>
      </w:pPr>
      <w:r w:rsidRPr="00FA7F19">
        <w:t>V </w:t>
      </w:r>
      <w:r w:rsidR="00151C00">
        <w:t>roce</w:t>
      </w:r>
      <w:r w:rsidRPr="00FA7F19">
        <w:t xml:space="preserve"> 201</w:t>
      </w:r>
      <w:r w:rsidR="002B1820">
        <w:t>7</w:t>
      </w:r>
      <w:r w:rsidRPr="00FA7F19">
        <w:t xml:space="preserve"> nadále zůstává dominantní měnou v měnové skladbě státního dluhu česká koruna s podílem na celkovém státním dluhu </w:t>
      </w:r>
      <w:r w:rsidR="00033692" w:rsidRPr="00FA7F19">
        <w:t>dosahujícím téměř</w:t>
      </w:r>
      <w:r w:rsidRPr="00FA7F19">
        <w:t xml:space="preserve"> 8</w:t>
      </w:r>
      <w:r w:rsidR="002B1820">
        <w:t>8</w:t>
      </w:r>
      <w:r w:rsidRPr="00FA7F19">
        <w:t xml:space="preserve"> %. Významný podíl v měnové skladbě v hodnotě </w:t>
      </w:r>
      <w:r w:rsidR="002B1820">
        <w:t>přesahující</w:t>
      </w:r>
      <w:r w:rsidRPr="00FA7F19">
        <w:t xml:space="preserve"> 1</w:t>
      </w:r>
      <w:r w:rsidR="002B1820">
        <w:t>2</w:t>
      </w:r>
      <w:r w:rsidRPr="00FA7F19">
        <w:t xml:space="preserve"> % si udržuje euro. Podíl </w:t>
      </w:r>
      <w:r w:rsidR="00A00B50">
        <w:t>japonského jenu je zanedbatelný</w:t>
      </w:r>
      <w:r w:rsidRPr="00FA7F19">
        <w:t>.</w:t>
      </w:r>
    </w:p>
    <w:p w:rsidR="001E666C" w:rsidRPr="00453963" w:rsidRDefault="0022745A" w:rsidP="0022745A">
      <w:pPr>
        <w:pStyle w:val="Titulek"/>
        <w:framePr w:w="0" w:hSpace="0" w:wrap="auto" w:vAnchor="margin" w:hAnchor="text" w:xAlign="left" w:yAlign="inline"/>
      </w:pPr>
      <w:r>
        <w:t xml:space="preserve">Tabulka č. </w:t>
      </w:r>
      <w:fldSimple w:instr=" SEQ Tabulka_č. \* ARABIC ">
        <w:r w:rsidR="00E3034F">
          <w:rPr>
            <w:noProof/>
          </w:rPr>
          <w:t>2</w:t>
        </w:r>
      </w:fldSimple>
      <w:r w:rsidR="001E666C" w:rsidRPr="00453963">
        <w:t>: Měnová skladba státního dluhu</w:t>
      </w:r>
    </w:p>
    <w:p w:rsidR="005355FA" w:rsidRDefault="002B1820" w:rsidP="005355FA">
      <w:pPr>
        <w:tabs>
          <w:tab w:val="left" w:pos="851"/>
        </w:tabs>
      </w:pPr>
      <w:r w:rsidRPr="002B1820">
        <w:rPr>
          <w:noProof/>
        </w:rPr>
        <w:drawing>
          <wp:inline distT="0" distB="0" distL="0" distR="0" wp14:anchorId="20402121" wp14:editId="5743A815">
            <wp:extent cx="5495925" cy="83820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95925" cy="838200"/>
                    </a:xfrm>
                    <a:prstGeom prst="rect">
                      <a:avLst/>
                    </a:prstGeom>
                    <a:noFill/>
                    <a:ln>
                      <a:noFill/>
                    </a:ln>
                  </pic:spPr>
                </pic:pic>
              </a:graphicData>
            </a:graphic>
          </wp:inline>
        </w:drawing>
      </w:r>
    </w:p>
    <w:p w:rsidR="005355FA" w:rsidRPr="008677D6" w:rsidRDefault="005355FA" w:rsidP="008677D6">
      <w:pPr>
        <w:pStyle w:val="Pramen"/>
      </w:pPr>
      <w:r w:rsidRPr="008677D6">
        <w:t>Poznámka: Se zohledněním měnových zajišťovacích operací.</w:t>
      </w:r>
    </w:p>
    <w:p w:rsidR="0022745A" w:rsidRPr="0089180B" w:rsidRDefault="001E666C" w:rsidP="008677D6">
      <w:pPr>
        <w:pStyle w:val="Pramen"/>
      </w:pPr>
      <w:r w:rsidRPr="0089180B">
        <w:t>Zdroj: MF</w:t>
      </w:r>
    </w:p>
    <w:p w:rsidR="001E666C" w:rsidRPr="006B35EA" w:rsidRDefault="001E666C" w:rsidP="00A834D9">
      <w:pPr>
        <w:pStyle w:val="Nadpis3"/>
        <w:tabs>
          <w:tab w:val="clear" w:pos="720"/>
          <w:tab w:val="num" w:pos="567"/>
        </w:tabs>
        <w:spacing w:after="0"/>
      </w:pPr>
      <w:bookmarkStart w:id="66" w:name="_Toc287954317"/>
      <w:bookmarkStart w:id="67" w:name="_Toc508286927"/>
      <w:r w:rsidRPr="006B35EA">
        <w:lastRenderedPageBreak/>
        <w:t>Skladba podle držitele</w:t>
      </w:r>
      <w:bookmarkEnd w:id="66"/>
      <w:bookmarkEnd w:id="67"/>
    </w:p>
    <w:p w:rsidR="001E666C" w:rsidRPr="006B35EA" w:rsidRDefault="0022745A" w:rsidP="0022745A">
      <w:pPr>
        <w:pStyle w:val="Titulek"/>
        <w:framePr w:w="0" w:hSpace="0" w:wrap="auto" w:vAnchor="margin" w:hAnchor="text" w:xAlign="left" w:yAlign="inline"/>
      </w:pPr>
      <w:r w:rsidRPr="006B35EA">
        <w:t xml:space="preserve">Tabulka č. </w:t>
      </w:r>
      <w:fldSimple w:instr=" SEQ Tabulka_č. \* ARABIC ">
        <w:r w:rsidR="00E3034F">
          <w:rPr>
            <w:noProof/>
          </w:rPr>
          <w:t>3</w:t>
        </w:r>
      </w:fldSimple>
      <w:r w:rsidR="001E666C" w:rsidRPr="006B35EA">
        <w:t>: Skladba státního dluhu podle držitele</w:t>
      </w:r>
      <w:r w:rsidR="001E666C" w:rsidRPr="006B35EA">
        <w:rPr>
          <w:rStyle w:val="Znakapoznpodarou"/>
        </w:rPr>
        <w:footnoteReference w:id="1"/>
      </w:r>
    </w:p>
    <w:p w:rsidR="001E666C" w:rsidRPr="006B35EA" w:rsidRDefault="00CA5F1E" w:rsidP="0022745A">
      <w:pPr>
        <w:tabs>
          <w:tab w:val="left" w:pos="851"/>
        </w:tabs>
        <w:spacing w:line="360" w:lineRule="atLeast"/>
      </w:pPr>
      <w:r w:rsidRPr="00CA5F1E">
        <w:rPr>
          <w:noProof/>
        </w:rPr>
        <w:drawing>
          <wp:inline distT="0" distB="0" distL="0" distR="0" wp14:anchorId="59941734" wp14:editId="214AFD1C">
            <wp:extent cx="5760085" cy="2523253"/>
            <wp:effectExtent l="0" t="0" r="0" b="0"/>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085" cy="2523253"/>
                    </a:xfrm>
                    <a:prstGeom prst="rect">
                      <a:avLst/>
                    </a:prstGeom>
                    <a:noFill/>
                    <a:ln>
                      <a:noFill/>
                    </a:ln>
                  </pic:spPr>
                </pic:pic>
              </a:graphicData>
            </a:graphic>
          </wp:inline>
        </w:drawing>
      </w:r>
    </w:p>
    <w:p w:rsidR="00D155BE" w:rsidRPr="008677D6" w:rsidRDefault="00D155BE" w:rsidP="00D155BE">
      <w:pPr>
        <w:spacing w:before="0"/>
        <w:rPr>
          <w:rFonts w:eastAsia="MS Mincho"/>
          <w:i/>
          <w:sz w:val="20"/>
          <w:szCs w:val="20"/>
          <w:vertAlign w:val="superscript"/>
        </w:rPr>
      </w:pPr>
      <w:r w:rsidRPr="008677D6">
        <w:rPr>
          <w:rFonts w:eastAsia="MS Mincho"/>
          <w:i/>
          <w:sz w:val="20"/>
          <w:szCs w:val="20"/>
          <w:vertAlign w:val="superscript"/>
        </w:rPr>
        <w:t>1</w:t>
      </w:r>
      <w:r w:rsidRPr="008677D6">
        <w:rPr>
          <w:rFonts w:eastAsia="MS Mincho"/>
          <w:i/>
          <w:sz w:val="20"/>
          <w:szCs w:val="20"/>
        </w:rPr>
        <w:t>Nezahrnuje pojišťovací společnosti a penzijní fondy</w:t>
      </w:r>
    </w:p>
    <w:p w:rsidR="00D155BE" w:rsidRPr="008677D6" w:rsidRDefault="00D155BE" w:rsidP="00D155BE">
      <w:pPr>
        <w:spacing w:before="0"/>
        <w:rPr>
          <w:rFonts w:eastAsia="MS Mincho"/>
          <w:sz w:val="20"/>
          <w:szCs w:val="20"/>
        </w:rPr>
      </w:pPr>
      <w:r w:rsidRPr="008677D6">
        <w:rPr>
          <w:rFonts w:eastAsia="MS Mincho"/>
          <w:i/>
          <w:sz w:val="20"/>
          <w:szCs w:val="20"/>
          <w:vertAlign w:val="superscript"/>
        </w:rPr>
        <w:t>2</w:t>
      </w:r>
      <w:r w:rsidRPr="008677D6">
        <w:rPr>
          <w:rFonts w:eastAsia="MS Mincho"/>
          <w:i/>
          <w:sz w:val="20"/>
          <w:szCs w:val="20"/>
        </w:rPr>
        <w:t xml:space="preserve">Sektor finančních institucí je očištěn o jmenovité hodnoty státních dluhopisů poskytnutých Ministerstvem financí jako předmět finančního zajištění (kolaterál) v rámci zápůjčních </w:t>
      </w:r>
      <w:proofErr w:type="spellStart"/>
      <w:r w:rsidRPr="008677D6">
        <w:rPr>
          <w:rFonts w:eastAsia="MS Mincho"/>
          <w:i/>
          <w:sz w:val="20"/>
          <w:szCs w:val="20"/>
        </w:rPr>
        <w:t>facilit</w:t>
      </w:r>
      <w:proofErr w:type="spellEnd"/>
      <w:r w:rsidRPr="008677D6">
        <w:rPr>
          <w:rFonts w:eastAsia="MS Mincho"/>
          <w:i/>
          <w:sz w:val="20"/>
          <w:szCs w:val="20"/>
        </w:rPr>
        <w:t xml:space="preserve"> a zápůjček cenných papírů (zapůjčování státních dluhopisů primárním dealerům). K 1. 1. 2017 činila jmenovitá hodnota těchto státních dluhopisů 21</w:t>
      </w:r>
      <w:r w:rsidR="00C43984" w:rsidRPr="008677D6">
        <w:rPr>
          <w:rFonts w:eastAsia="MS Mincho"/>
          <w:i/>
          <w:sz w:val="20"/>
          <w:szCs w:val="20"/>
        </w:rPr>
        <w:t> </w:t>
      </w:r>
      <w:r w:rsidRPr="008677D6">
        <w:rPr>
          <w:rFonts w:eastAsia="MS Mincho"/>
          <w:i/>
          <w:sz w:val="20"/>
          <w:szCs w:val="20"/>
        </w:rPr>
        <w:t xml:space="preserve"> 044</w:t>
      </w:r>
      <w:r w:rsidR="00C43984" w:rsidRPr="008677D6">
        <w:rPr>
          <w:rFonts w:eastAsia="MS Mincho"/>
          <w:i/>
          <w:sz w:val="20"/>
          <w:szCs w:val="20"/>
        </w:rPr>
        <w:t> </w:t>
      </w:r>
      <w:r w:rsidRPr="008677D6">
        <w:rPr>
          <w:rFonts w:eastAsia="MS Mincho"/>
          <w:i/>
          <w:sz w:val="20"/>
          <w:szCs w:val="20"/>
        </w:rPr>
        <w:t xml:space="preserve"> mil. Kč, zatímco k 3</w:t>
      </w:r>
      <w:r w:rsidR="001B4472" w:rsidRPr="008677D6">
        <w:rPr>
          <w:rFonts w:eastAsia="MS Mincho"/>
          <w:i/>
          <w:sz w:val="20"/>
          <w:szCs w:val="20"/>
        </w:rPr>
        <w:t>1</w:t>
      </w:r>
      <w:r w:rsidRPr="008677D6">
        <w:rPr>
          <w:rFonts w:eastAsia="MS Mincho"/>
          <w:i/>
          <w:sz w:val="20"/>
          <w:szCs w:val="20"/>
        </w:rPr>
        <w:t xml:space="preserve">. </w:t>
      </w:r>
      <w:r w:rsidR="001B4472" w:rsidRPr="008677D6">
        <w:rPr>
          <w:rFonts w:eastAsia="MS Mincho"/>
          <w:i/>
          <w:sz w:val="20"/>
          <w:szCs w:val="20"/>
        </w:rPr>
        <w:t>12</w:t>
      </w:r>
      <w:r w:rsidRPr="008677D6">
        <w:rPr>
          <w:rFonts w:eastAsia="MS Mincho"/>
          <w:i/>
          <w:sz w:val="20"/>
          <w:szCs w:val="20"/>
        </w:rPr>
        <w:t xml:space="preserve">. 2017 poklesla na 13 </w:t>
      </w:r>
      <w:r w:rsidR="001B4472" w:rsidRPr="008677D6">
        <w:rPr>
          <w:rFonts w:eastAsia="MS Mincho"/>
          <w:i/>
          <w:sz w:val="20"/>
          <w:szCs w:val="20"/>
        </w:rPr>
        <w:t>201</w:t>
      </w:r>
      <w:r w:rsidRPr="008677D6">
        <w:rPr>
          <w:rFonts w:eastAsia="MS Mincho"/>
          <w:i/>
          <w:sz w:val="20"/>
          <w:szCs w:val="20"/>
        </w:rPr>
        <w:t xml:space="preserve"> mil. Kč.</w:t>
      </w:r>
      <w:r w:rsidRPr="008677D6">
        <w:rPr>
          <w:rFonts w:eastAsia="MS Mincho"/>
          <w:sz w:val="20"/>
          <w:szCs w:val="20"/>
        </w:rPr>
        <w:t xml:space="preserve"> </w:t>
      </w:r>
    </w:p>
    <w:p w:rsidR="009935F2" w:rsidRPr="00CA5F1E" w:rsidRDefault="00D155BE" w:rsidP="008677D6">
      <w:pPr>
        <w:pStyle w:val="Pramen"/>
        <w:rPr>
          <w:b/>
          <w:color w:val="FF0000"/>
          <w:sz w:val="24"/>
          <w:szCs w:val="24"/>
        </w:rPr>
      </w:pPr>
      <w:r w:rsidRPr="00D155BE">
        <w:rPr>
          <w:vertAlign w:val="superscript"/>
        </w:rPr>
        <w:t>3</w:t>
      </w:r>
      <w:r w:rsidRPr="00D155BE">
        <w:t xml:space="preserve">Sektor vládních institucí je očištěn od jmenovitých hodnot státních dluhopisů přijatých Ministerstvem financí jako předmět finančního zajištění (kolaterál) při realizaci reversních </w:t>
      </w:r>
      <w:proofErr w:type="spellStart"/>
      <w:r w:rsidRPr="00D155BE">
        <w:t>repo</w:t>
      </w:r>
      <w:proofErr w:type="spellEnd"/>
      <w:r w:rsidRPr="00D155BE">
        <w:t xml:space="preserve"> operací v  rámci řízení likvidity souhrnných účtů státní pokladny a jaderného účtu a rovněž v rámci zápůjček cenných papírů, tj. zapůjčování státních dluhopisů primárními dealery. Celková jmenovitá hodnota těchto státních dluhopisů, která k 1. 1. 2017 činila 10 471 mil. Kč a k 3</w:t>
      </w:r>
      <w:r w:rsidR="001B4472">
        <w:t>1</w:t>
      </w:r>
      <w:r w:rsidRPr="00D155BE">
        <w:t xml:space="preserve">. </w:t>
      </w:r>
      <w:r w:rsidR="001B4472">
        <w:t>12</w:t>
      </w:r>
      <w:r w:rsidRPr="00D155BE">
        <w:t xml:space="preserve">. 2017 poklesla na </w:t>
      </w:r>
      <w:r w:rsidR="001B4472">
        <w:t>2 944</w:t>
      </w:r>
      <w:r w:rsidRPr="00D155BE">
        <w:t xml:space="preserve"> mil. Kč, je přiřazena do sektoru finančních institucí, které jsou smluvními protistranami Ministerstva financí při těchto operacích. Sektor vládních institucí je očištěn rovněž od jmenovitých hodnot státních dluhopisů, které byly při jejich vydání zapsány nejprve na majetkový účet Ministerstva financí v  příslušné evidenci nebo byly nabyté státem před datem jejich splatnosti a nejsou zároveň vykazovány jako součást státního dluhu.   K 1. 1. 2017 činila celková jmenovitá hodnota těchto dluhopisů 73 404</w:t>
      </w:r>
      <w:r w:rsidR="00C43984" w:rsidRPr="008677D6">
        <w:rPr>
          <w:i w:val="0"/>
        </w:rPr>
        <w:t> </w:t>
      </w:r>
      <w:r w:rsidRPr="00D155BE">
        <w:t xml:space="preserve"> mil. CZK, zatímco k 3</w:t>
      </w:r>
      <w:r w:rsidR="001B4472">
        <w:t>1</w:t>
      </w:r>
      <w:r w:rsidRPr="00D155BE">
        <w:t xml:space="preserve">. </w:t>
      </w:r>
      <w:r w:rsidR="001B4472">
        <w:t>12</w:t>
      </w:r>
      <w:r w:rsidRPr="00D155BE">
        <w:t>. 2017 poklesla  na 4</w:t>
      </w:r>
      <w:r w:rsidR="001B4472">
        <w:t>8</w:t>
      </w:r>
      <w:r w:rsidRPr="00D155BE">
        <w:t xml:space="preserve"> </w:t>
      </w:r>
      <w:r w:rsidR="001B4472">
        <w:t>529</w:t>
      </w:r>
      <w:r w:rsidRPr="00D155BE">
        <w:t>  mil. Kč</w:t>
      </w:r>
      <w:r w:rsidR="00161080">
        <w:t>.</w:t>
      </w:r>
    </w:p>
    <w:p w:rsidR="001E666C" w:rsidRPr="006B35EA" w:rsidRDefault="001E666C" w:rsidP="00A032A2">
      <w:pPr>
        <w:spacing w:before="60"/>
        <w:rPr>
          <w:i/>
        </w:rPr>
      </w:pPr>
      <w:r w:rsidRPr="006B35EA">
        <w:rPr>
          <w:i/>
          <w:sz w:val="20"/>
          <w:szCs w:val="20"/>
        </w:rPr>
        <w:t>Zdroj: Centrální depozitář cenných papírů a.s., Česká národní banka, MF</w:t>
      </w:r>
      <w:r w:rsidRPr="006B35EA">
        <w:rPr>
          <w:i/>
        </w:rPr>
        <w:t xml:space="preserve"> </w:t>
      </w:r>
    </w:p>
    <w:p w:rsidR="001E666C" w:rsidRPr="00F93DFD" w:rsidRDefault="00CF24DB" w:rsidP="00347C67">
      <w:r w:rsidRPr="00B94AA4">
        <w:t xml:space="preserve">V průběhu roku 2017 došlo k výraznému růstu podílu nerezidentních držitelů korunových státních dluhopisů na celkovém státním dluhu, a to o </w:t>
      </w:r>
      <w:r w:rsidR="00143861" w:rsidRPr="00B94AA4">
        <w:t>téměř</w:t>
      </w:r>
      <w:r w:rsidRPr="00B94AA4">
        <w:t xml:space="preserve"> </w:t>
      </w:r>
      <w:r w:rsidR="00143861" w:rsidRPr="00B94AA4">
        <w:t>8,9</w:t>
      </w:r>
      <w:r w:rsidRPr="00B94AA4">
        <w:t xml:space="preserve"> procentního bodu. Oproti tomu, a to o </w:t>
      </w:r>
      <w:r w:rsidR="00143861" w:rsidRPr="00B94AA4">
        <w:t>více než</w:t>
      </w:r>
      <w:r w:rsidRPr="00B94AA4">
        <w:t xml:space="preserve"> </w:t>
      </w:r>
      <w:r w:rsidR="00143861" w:rsidRPr="00B94AA4">
        <w:t>4</w:t>
      </w:r>
      <w:r w:rsidRPr="00B94AA4">
        <w:t>,</w:t>
      </w:r>
      <w:r w:rsidR="00143861" w:rsidRPr="00B94AA4">
        <w:t>5</w:t>
      </w:r>
      <w:r w:rsidRPr="00B94AA4">
        <w:t xml:space="preserve"> procentního bodu, poklesl podíl dluhu v držbě </w:t>
      </w:r>
      <w:r w:rsidR="00143861" w:rsidRPr="00B94AA4">
        <w:t xml:space="preserve">finančních institucí. Dále došlo k poklesu o </w:t>
      </w:r>
      <w:r w:rsidR="00710DE7" w:rsidRPr="00B94AA4">
        <w:t>téměř</w:t>
      </w:r>
      <w:r w:rsidR="00143861" w:rsidRPr="00B94AA4">
        <w:t xml:space="preserve"> 1,7 procentního bodu u podílu dluhu v držbě </w:t>
      </w:r>
      <w:r w:rsidRPr="00B94AA4">
        <w:t>sektoru pojišťovacích společností a penzijních fondů</w:t>
      </w:r>
      <w:r w:rsidR="00143861" w:rsidRPr="00B94AA4">
        <w:t>,</w:t>
      </w:r>
      <w:r w:rsidRPr="00B94AA4">
        <w:t xml:space="preserve"> o více než 0,9 procentního bodu u podílu dluhu v držbě </w:t>
      </w:r>
      <w:r w:rsidR="00143861" w:rsidRPr="00B94AA4">
        <w:t>domácností</w:t>
      </w:r>
      <w:r w:rsidRPr="00B94AA4">
        <w:t xml:space="preserve"> a o více než 0,</w:t>
      </w:r>
      <w:r w:rsidR="00143861" w:rsidRPr="00B94AA4">
        <w:t>4</w:t>
      </w:r>
      <w:r w:rsidRPr="00B94AA4">
        <w:t xml:space="preserve"> procentního bodu u podílu dluhu v držbě </w:t>
      </w:r>
      <w:r w:rsidR="00143861" w:rsidRPr="00B94AA4">
        <w:t>vládních institucí</w:t>
      </w:r>
      <w:r w:rsidRPr="00B94AA4">
        <w:t xml:space="preserve">. K nepatrnému poklesu došlo rovněž u podílu nefinančních podniků a neziskových institucí. Zatímco podíl korunových dluhopisů na celkovém dluhu vzrostl o </w:t>
      </w:r>
      <w:r w:rsidR="00710DE7" w:rsidRPr="00B94AA4">
        <w:t>cca</w:t>
      </w:r>
      <w:r w:rsidRPr="00B94AA4">
        <w:t xml:space="preserve"> </w:t>
      </w:r>
      <w:r w:rsidR="00710DE7" w:rsidRPr="00B94AA4">
        <w:t>1</w:t>
      </w:r>
      <w:r w:rsidRPr="00B94AA4">
        <w:t>,</w:t>
      </w:r>
      <w:r w:rsidR="00710DE7" w:rsidRPr="00B94AA4">
        <w:t>1 </w:t>
      </w:r>
      <w:r w:rsidRPr="00B94AA4">
        <w:t xml:space="preserve"> procentního bodu na 8</w:t>
      </w:r>
      <w:r w:rsidR="00710DE7" w:rsidRPr="00B94AA4">
        <w:t>4</w:t>
      </w:r>
      <w:r w:rsidRPr="00B94AA4">
        <w:t>,</w:t>
      </w:r>
      <w:r w:rsidR="00710DE7" w:rsidRPr="00B94AA4">
        <w:t>4</w:t>
      </w:r>
      <w:r w:rsidRPr="00B94AA4">
        <w:t xml:space="preserve"> %, podíl SDD vydaných na zahraničních trzích poklesl o </w:t>
      </w:r>
      <w:r w:rsidR="00710DE7" w:rsidRPr="00B94AA4">
        <w:t>téměř 0</w:t>
      </w:r>
      <w:r w:rsidRPr="00B94AA4">
        <w:t>,</w:t>
      </w:r>
      <w:r w:rsidR="00710DE7" w:rsidRPr="00B94AA4">
        <w:t>8</w:t>
      </w:r>
      <w:r w:rsidRPr="00B94AA4">
        <w:t xml:space="preserve"> procentního bodu na 1</w:t>
      </w:r>
      <w:r w:rsidR="00710DE7" w:rsidRPr="00B94AA4">
        <w:t>2</w:t>
      </w:r>
      <w:r w:rsidRPr="00B94AA4">
        <w:t>,</w:t>
      </w:r>
      <w:r w:rsidR="00710DE7" w:rsidRPr="00B94AA4">
        <w:t>5</w:t>
      </w:r>
      <w:r w:rsidRPr="00B94AA4">
        <w:t xml:space="preserve"> % a podíl ostatního dluhu pak poklesl o </w:t>
      </w:r>
      <w:r w:rsidR="00710DE7" w:rsidRPr="00B94AA4">
        <w:t>více než</w:t>
      </w:r>
      <w:r w:rsidRPr="00B94AA4">
        <w:t> 0,</w:t>
      </w:r>
      <w:r w:rsidR="00710DE7" w:rsidRPr="00B94AA4">
        <w:t>3</w:t>
      </w:r>
      <w:r w:rsidRPr="00B94AA4">
        <w:t> procentního bodu na 3,</w:t>
      </w:r>
      <w:r w:rsidR="00710DE7" w:rsidRPr="00B94AA4">
        <w:t>2</w:t>
      </w:r>
      <w:r w:rsidRPr="00B94AA4">
        <w:t xml:space="preserve"> %.</w:t>
      </w:r>
      <w:r w:rsidR="001E666C" w:rsidRPr="00F93DFD">
        <w:t xml:space="preserve"> </w:t>
      </w:r>
    </w:p>
    <w:p w:rsidR="001E666C" w:rsidRPr="00F93DFD" w:rsidRDefault="002B1820" w:rsidP="000B71FE">
      <w:pPr>
        <w:pStyle w:val="Nadpis2"/>
      </w:pPr>
      <w:bookmarkStart w:id="68" w:name="_Toc508286928"/>
      <w:r w:rsidRPr="002B1820">
        <w:t>Emise a splátky dluhových instrumentů a realizace zápůjček</w:t>
      </w:r>
      <w:bookmarkEnd w:id="68"/>
    </w:p>
    <w:p w:rsidR="00437A01" w:rsidRPr="00A17BCB" w:rsidRDefault="00437A01" w:rsidP="00437A01">
      <w:pPr>
        <w:rPr>
          <w:highlight w:val="yellow"/>
        </w:rPr>
      </w:pPr>
      <w:r w:rsidRPr="00395A76">
        <w:t xml:space="preserve">Výpůjční operace státu v </w:t>
      </w:r>
      <w:r>
        <w:t>roce</w:t>
      </w:r>
      <w:r w:rsidRPr="00395A76">
        <w:t xml:space="preserve"> 2017 činily </w:t>
      </w:r>
      <w:r w:rsidRPr="00437A01">
        <w:t>697 675</w:t>
      </w:r>
      <w:r w:rsidRPr="00395A76">
        <w:t xml:space="preserve"> mil. Kč. Z toho </w:t>
      </w:r>
      <w:r w:rsidRPr="00437A01">
        <w:t>695 931</w:t>
      </w:r>
      <w:r w:rsidRPr="00395A76">
        <w:rPr>
          <w:color w:val="000000"/>
        </w:rPr>
        <w:t> </w:t>
      </w:r>
      <w:r w:rsidRPr="00395A76">
        <w:t>mil. Kč tvořily výpůjční operace vnitřního dluhu a 1 745 mil. Kč výpůjční operace vnějšího dluhu.</w:t>
      </w:r>
      <w:r w:rsidRPr="00A17BCB">
        <w:rPr>
          <w:highlight w:val="yellow"/>
        </w:rPr>
        <w:t xml:space="preserve"> </w:t>
      </w:r>
    </w:p>
    <w:p w:rsidR="001E666C" w:rsidRPr="00F93DFD" w:rsidRDefault="00437A01" w:rsidP="00437A01">
      <w:r w:rsidRPr="00395A76">
        <w:lastRenderedPageBreak/>
        <w:t>Celkové splátky státního dluhu v ro</w:t>
      </w:r>
      <w:r>
        <w:t>ce</w:t>
      </w:r>
      <w:r w:rsidRPr="00395A76">
        <w:t xml:space="preserve"> 2017 činily </w:t>
      </w:r>
      <w:r w:rsidRPr="00437A01">
        <w:t>675 403</w:t>
      </w:r>
      <w:r w:rsidRPr="00395A76">
        <w:t xml:space="preserve"> mil. Kč, přičemž splátky vnitřního dluhu činily </w:t>
      </w:r>
      <w:r w:rsidRPr="00437A01">
        <w:t>668 635</w:t>
      </w:r>
      <w:r w:rsidRPr="00395A76">
        <w:t xml:space="preserve"> mil. Kč a splátky vnějšího dluhu činily </w:t>
      </w:r>
      <w:r w:rsidRPr="00437A01">
        <w:t>6 767</w:t>
      </w:r>
      <w:r w:rsidRPr="00395A76">
        <w:rPr>
          <w:color w:val="000000"/>
        </w:rPr>
        <w:t> </w:t>
      </w:r>
      <w:r w:rsidRPr="00395A76">
        <w:t>mil. Kč.</w:t>
      </w:r>
    </w:p>
    <w:p w:rsidR="00FA57BC" w:rsidRPr="00FA57BC" w:rsidRDefault="00FA57BC" w:rsidP="00FA57BC">
      <w:pPr>
        <w:pStyle w:val="Odstavecseseznamem"/>
        <w:keepNext/>
        <w:numPr>
          <w:ilvl w:val="1"/>
          <w:numId w:val="1"/>
        </w:numPr>
        <w:spacing w:before="240" w:after="240"/>
        <w:jc w:val="left"/>
        <w:outlineLvl w:val="0"/>
        <w:rPr>
          <w:b/>
          <w:bCs/>
          <w:vanish/>
          <w:color w:val="365F91"/>
          <w:kern w:val="32"/>
          <w:sz w:val="28"/>
          <w:szCs w:val="32"/>
        </w:rPr>
      </w:pPr>
      <w:bookmarkStart w:id="69" w:name="_Toc476561312"/>
      <w:bookmarkStart w:id="70" w:name="_Toc476668395"/>
      <w:bookmarkStart w:id="71" w:name="_Toc476668798"/>
      <w:bookmarkStart w:id="72" w:name="_Toc508007380"/>
      <w:bookmarkStart w:id="73" w:name="_Toc508007469"/>
      <w:bookmarkStart w:id="74" w:name="_Toc508007557"/>
      <w:bookmarkStart w:id="75" w:name="_Toc508007600"/>
      <w:bookmarkStart w:id="76" w:name="_Toc508007703"/>
      <w:bookmarkStart w:id="77" w:name="_Toc508007746"/>
      <w:bookmarkStart w:id="78" w:name="_Toc508017707"/>
      <w:bookmarkStart w:id="79" w:name="_Toc508019475"/>
      <w:bookmarkStart w:id="80" w:name="_Toc508283319"/>
      <w:bookmarkStart w:id="81" w:name="_Toc508286668"/>
      <w:bookmarkStart w:id="82" w:name="_Toc508286929"/>
      <w:bookmarkEnd w:id="69"/>
      <w:bookmarkEnd w:id="70"/>
      <w:bookmarkEnd w:id="71"/>
      <w:bookmarkEnd w:id="72"/>
      <w:bookmarkEnd w:id="73"/>
      <w:bookmarkEnd w:id="74"/>
      <w:bookmarkEnd w:id="75"/>
      <w:bookmarkEnd w:id="76"/>
      <w:bookmarkEnd w:id="77"/>
      <w:bookmarkEnd w:id="78"/>
      <w:bookmarkEnd w:id="79"/>
      <w:bookmarkEnd w:id="80"/>
      <w:bookmarkEnd w:id="81"/>
      <w:bookmarkEnd w:id="82"/>
    </w:p>
    <w:p w:rsidR="00FA57BC" w:rsidRPr="005B51D3" w:rsidRDefault="00FA57BC" w:rsidP="00FA57BC">
      <w:pPr>
        <w:pStyle w:val="Nadpis3"/>
      </w:pPr>
      <w:bookmarkStart w:id="83" w:name="_Toc508286930"/>
      <w:r w:rsidRPr="00FA57BC">
        <w:t>Státní pokladniční poukázky</w:t>
      </w:r>
      <w:bookmarkEnd w:id="83"/>
    </w:p>
    <w:p w:rsidR="00D23A2D" w:rsidRPr="00D23A2D" w:rsidRDefault="00D23A2D" w:rsidP="00D23A2D">
      <w:pPr>
        <w:rPr>
          <w:color w:val="000000"/>
        </w:rPr>
      </w:pPr>
      <w:r w:rsidRPr="00D23A2D">
        <w:rPr>
          <w:color w:val="000000"/>
        </w:rPr>
        <w:t>Bylo realizováno 2</w:t>
      </w:r>
      <w:r>
        <w:rPr>
          <w:color w:val="000000"/>
        </w:rPr>
        <w:t>9</w:t>
      </w:r>
      <w:r w:rsidRPr="00D23A2D">
        <w:rPr>
          <w:color w:val="000000"/>
        </w:rPr>
        <w:t xml:space="preserve"> emisí SPP, a to se splatnostmi od 4 do 38 týdnů. </w:t>
      </w:r>
    </w:p>
    <w:p w:rsidR="006C2066" w:rsidRDefault="00D23A2D" w:rsidP="00D23A2D">
      <w:r w:rsidRPr="00D23A2D">
        <w:rPr>
          <w:color w:val="000000"/>
        </w:rPr>
        <w:t xml:space="preserve">Celkové výpůjční operace realizované prostřednictvím emisí SPP činily 409 903 mil. Kč, přičemž veškeré tyto operace byly realizovány na primárním trhu. Celková jmenovitá hodnota splátek pak činila 370 109 mil. Kč. Celková jmenovitá hodnota SPP v oběhu se tak v průběhu roku 2017 </w:t>
      </w:r>
      <w:r>
        <w:rPr>
          <w:color w:val="000000"/>
        </w:rPr>
        <w:t>zvýšila</w:t>
      </w:r>
      <w:r w:rsidRPr="00D23A2D">
        <w:rPr>
          <w:color w:val="000000"/>
        </w:rPr>
        <w:t xml:space="preserve"> ze 4 220 mil. Kč na 44 014 mil. Kč, tedy o 39 794 mil. Kč.</w:t>
      </w:r>
    </w:p>
    <w:p w:rsidR="000E75EE" w:rsidRDefault="00F10EAD" w:rsidP="00F10EAD">
      <w:pPr>
        <w:pStyle w:val="Titulek"/>
        <w:framePr w:w="0" w:hSpace="0" w:wrap="auto" w:vAnchor="margin" w:hAnchor="text" w:xAlign="left" w:yAlign="inline"/>
        <w:rPr>
          <w:color w:val="000000"/>
          <w:szCs w:val="22"/>
        </w:rPr>
      </w:pPr>
      <w:r w:rsidRPr="00F10EAD">
        <w:t xml:space="preserve">Tabulka č. </w:t>
      </w:r>
      <w:fldSimple w:instr=" SEQ Tabulka_č. \* ARABIC ">
        <w:r w:rsidR="00E3034F">
          <w:rPr>
            <w:noProof/>
          </w:rPr>
          <w:t>4</w:t>
        </w:r>
      </w:fldSimple>
      <w:r w:rsidR="001E666C" w:rsidRPr="00F10EAD">
        <w:rPr>
          <w:color w:val="000000"/>
          <w:szCs w:val="22"/>
        </w:rPr>
        <w:t>: Přehled emisí SPP v </w:t>
      </w:r>
      <w:r w:rsidR="007102CA" w:rsidRPr="00F10EAD">
        <w:rPr>
          <w:color w:val="000000"/>
          <w:szCs w:val="22"/>
        </w:rPr>
        <w:t>roce</w:t>
      </w:r>
      <w:r w:rsidR="001E666C" w:rsidRPr="00F10EAD">
        <w:rPr>
          <w:color w:val="000000"/>
          <w:szCs w:val="22"/>
        </w:rPr>
        <w:t xml:space="preserve"> 201</w:t>
      </w:r>
      <w:r w:rsidR="00D23A2D">
        <w:rPr>
          <w:color w:val="000000"/>
          <w:szCs w:val="22"/>
        </w:rPr>
        <w:t>7</w:t>
      </w:r>
    </w:p>
    <w:p w:rsidR="001E666C" w:rsidRPr="000E75EE" w:rsidRDefault="00D23A2D" w:rsidP="000E75EE">
      <w:pPr>
        <w:pStyle w:val="Titulek"/>
        <w:framePr w:w="0" w:hSpace="0" w:wrap="auto" w:vAnchor="margin" w:hAnchor="text" w:xAlign="left" w:yAlign="inline"/>
        <w:rPr>
          <w:szCs w:val="22"/>
        </w:rPr>
      </w:pPr>
      <w:r w:rsidRPr="00D23A2D">
        <w:rPr>
          <w:noProof/>
        </w:rPr>
        <w:drawing>
          <wp:inline distT="0" distB="0" distL="0" distR="0" wp14:anchorId="54DCDF22" wp14:editId="3868EB87">
            <wp:extent cx="5248275" cy="5553075"/>
            <wp:effectExtent l="0" t="0" r="9525"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48275" cy="5553075"/>
                    </a:xfrm>
                    <a:prstGeom prst="rect">
                      <a:avLst/>
                    </a:prstGeom>
                    <a:noFill/>
                    <a:ln>
                      <a:noFill/>
                    </a:ln>
                  </pic:spPr>
                </pic:pic>
              </a:graphicData>
            </a:graphic>
          </wp:inline>
        </w:drawing>
      </w:r>
    </w:p>
    <w:p w:rsidR="001E666C" w:rsidRPr="0089180B" w:rsidRDefault="001E666C" w:rsidP="008677D6">
      <w:pPr>
        <w:pStyle w:val="Pramen"/>
      </w:pPr>
      <w:r w:rsidRPr="0089180B">
        <w:t>Zdroj: MF</w:t>
      </w:r>
    </w:p>
    <w:p w:rsidR="001E666C" w:rsidRPr="0080438F" w:rsidRDefault="00A55BEF" w:rsidP="00A55BEF">
      <w:pPr>
        <w:pStyle w:val="Nadpis3"/>
      </w:pPr>
      <w:bookmarkStart w:id="84" w:name="_Toc508286931"/>
      <w:r w:rsidRPr="00A55BEF">
        <w:t>Střednědobé a dlouhodobé státní dluhopisy na domácím trhu</w:t>
      </w:r>
      <w:bookmarkEnd w:id="84"/>
    </w:p>
    <w:p w:rsidR="00197692" w:rsidRDefault="00A55BEF" w:rsidP="00FC4129">
      <w:r w:rsidRPr="00A55BEF">
        <w:t>V ro</w:t>
      </w:r>
      <w:r>
        <w:t>ce</w:t>
      </w:r>
      <w:r w:rsidRPr="00A55BEF">
        <w:t xml:space="preserve"> 2017 Ministerstvo financí (dále též „Ministerstvo“) uskutečnilo </w:t>
      </w:r>
      <w:r>
        <w:t>5</w:t>
      </w:r>
      <w:r w:rsidRPr="00A55BEF">
        <w:t>8 aukcí SDD na primárním trhu. Celkově tak emise domácích SDD na primárním trhu dosáhly v ro</w:t>
      </w:r>
      <w:r>
        <w:t>ce</w:t>
      </w:r>
      <w:r w:rsidRPr="00A55BEF">
        <w:t xml:space="preserve"> 2017 výše </w:t>
      </w:r>
      <w:r w:rsidR="00C32E26" w:rsidRPr="00C32E26">
        <w:t>197 626</w:t>
      </w:r>
      <w:r w:rsidRPr="00A55BEF">
        <w:t xml:space="preserve"> mil. Kč, z toho 69 </w:t>
      </w:r>
      <w:r w:rsidR="00C32E26">
        <w:t>5</w:t>
      </w:r>
      <w:r w:rsidRPr="00A55BEF">
        <w:t xml:space="preserve">70 mil. Kč činily emise dluhopisů bez výnosu, </w:t>
      </w:r>
      <w:r w:rsidR="00C32E26" w:rsidRPr="00C32E26">
        <w:t>127 081</w:t>
      </w:r>
      <w:r w:rsidRPr="00A55BEF">
        <w:t xml:space="preserve"> mil. Kč emise fixně úročených dluhopisů s výnosem a 975 mil. Kč pak emise variabilně úročených dluhopisů.</w:t>
      </w:r>
    </w:p>
    <w:p w:rsidR="001E666C" w:rsidRPr="00F10EAD" w:rsidRDefault="00F10EAD" w:rsidP="00F10EAD">
      <w:pPr>
        <w:pStyle w:val="Titulek"/>
        <w:framePr w:w="0" w:hSpace="0" w:wrap="auto" w:vAnchor="margin" w:hAnchor="text" w:xAlign="left" w:yAlign="inline"/>
        <w:rPr>
          <w:color w:val="000000"/>
          <w:szCs w:val="22"/>
        </w:rPr>
      </w:pPr>
      <w:r w:rsidRPr="00F10EAD">
        <w:lastRenderedPageBreak/>
        <w:t xml:space="preserve">Tabulka č. </w:t>
      </w:r>
      <w:fldSimple w:instr=" SEQ Tabulka_č. \* ARABIC ">
        <w:r w:rsidR="00E3034F">
          <w:rPr>
            <w:noProof/>
          </w:rPr>
          <w:t>5</w:t>
        </w:r>
      </w:fldSimple>
      <w:r w:rsidR="001E666C" w:rsidRPr="00F10EAD">
        <w:rPr>
          <w:color w:val="000000"/>
          <w:szCs w:val="22"/>
        </w:rPr>
        <w:t>: Přehled SDD vydaných na primárním trhu</w:t>
      </w:r>
      <w:r w:rsidR="00830164">
        <w:rPr>
          <w:color w:val="000000"/>
          <w:szCs w:val="22"/>
        </w:rPr>
        <w:t xml:space="preserve"> v roce 201</w:t>
      </w:r>
      <w:r w:rsidR="00A55BEF">
        <w:rPr>
          <w:color w:val="000000"/>
          <w:szCs w:val="22"/>
        </w:rPr>
        <w:t>7</w:t>
      </w:r>
    </w:p>
    <w:p w:rsidR="001E666C" w:rsidRPr="0080438F" w:rsidRDefault="008052E3" w:rsidP="00F10EAD">
      <w:pPr>
        <w:rPr>
          <w:i/>
          <w:sz w:val="20"/>
          <w:szCs w:val="20"/>
        </w:rPr>
      </w:pPr>
      <w:r w:rsidRPr="008052E3">
        <w:rPr>
          <w:noProof/>
        </w:rPr>
        <w:t xml:space="preserve"> </w:t>
      </w:r>
      <w:r w:rsidR="00D40064" w:rsidRPr="00D40064">
        <w:rPr>
          <w:noProof/>
        </w:rPr>
        <w:drawing>
          <wp:inline distT="0" distB="0" distL="0" distR="0" wp14:anchorId="2C205B28" wp14:editId="7055E173">
            <wp:extent cx="5362575" cy="799147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62575" cy="7991475"/>
                    </a:xfrm>
                    <a:prstGeom prst="rect">
                      <a:avLst/>
                    </a:prstGeom>
                    <a:noFill/>
                    <a:ln>
                      <a:noFill/>
                    </a:ln>
                  </pic:spPr>
                </pic:pic>
              </a:graphicData>
            </a:graphic>
          </wp:inline>
        </w:drawing>
      </w:r>
    </w:p>
    <w:p w:rsidR="00A2584E" w:rsidRPr="00D17931" w:rsidRDefault="00A2584E" w:rsidP="008677D6">
      <w:pPr>
        <w:pStyle w:val="Pramen"/>
      </w:pPr>
      <w:r w:rsidRPr="00766819">
        <w:rPr>
          <w:vertAlign w:val="superscript"/>
        </w:rPr>
        <w:t>1</w:t>
      </w:r>
      <w:r w:rsidRPr="00766819">
        <w:t xml:space="preserve"> </w:t>
      </w:r>
      <w:r w:rsidRPr="0072040C">
        <w:t>Bez</w:t>
      </w:r>
      <w:r w:rsidRPr="00766819">
        <w:t xml:space="preserve"> </w:t>
      </w:r>
      <w:r w:rsidR="00D67BAE" w:rsidRPr="0072040C">
        <w:t>poměrných</w:t>
      </w:r>
      <w:r w:rsidR="00D67BAE" w:rsidRPr="00766819">
        <w:t xml:space="preserve"> </w:t>
      </w:r>
      <w:r w:rsidRPr="0072040C">
        <w:t>výnosů</w:t>
      </w:r>
      <w:r w:rsidRPr="00766819">
        <w:t>.</w:t>
      </w:r>
    </w:p>
    <w:p w:rsidR="001E666C" w:rsidRPr="0089180B" w:rsidRDefault="001E666C" w:rsidP="008677D6">
      <w:pPr>
        <w:pStyle w:val="Pramen"/>
      </w:pPr>
      <w:r w:rsidRPr="0089180B">
        <w:t>Zdroj: MF</w:t>
      </w:r>
    </w:p>
    <w:p w:rsidR="00A55BEF" w:rsidRDefault="00A55BEF" w:rsidP="00A55BEF">
      <w:r>
        <w:lastRenderedPageBreak/>
        <w:t xml:space="preserve">V průběhu roku 2017 byly na sekundárním trhu realizovány výměnné operace, u kterých dochází v rámci jedné transakce k současnému prodeji určité emise SDD z majetkového účtu Ministerstva a zpětnému odkupu jiné emise těchto dluhopisů. </w:t>
      </w:r>
    </w:p>
    <w:p w:rsidR="00A55BEF" w:rsidRDefault="00A55BEF" w:rsidP="00A55BEF">
      <w:r>
        <w:t>Celkem bylo provedeno 24 výměnných operací, v rámci kterých byly vyměněny SDD v</w:t>
      </w:r>
      <w:r w:rsidR="00AF548D" w:rsidRPr="00DA4385">
        <w:t> </w:t>
      </w:r>
      <w:r>
        <w:t xml:space="preserve"> celkové jmenovité hodnotě 3 821 mil. Kč za SDD v celkové jmenovité hodnotě 3 </w:t>
      </w:r>
      <w:r w:rsidR="00D65B74">
        <w:t>872</w:t>
      </w:r>
      <w:r>
        <w:t xml:space="preserve"> mil. Kč</w:t>
      </w:r>
      <w:r w:rsidR="00AC0BE4" w:rsidRPr="00AC0BE4">
        <w:t xml:space="preserve"> </w:t>
      </w:r>
      <w:r w:rsidR="00AC0BE4">
        <w:t>z majetkového účtu Ministerstva</w:t>
      </w:r>
      <w:r>
        <w:t xml:space="preserve">. Dále bylo uskutečněno </w:t>
      </w:r>
      <w:r w:rsidR="00555D60">
        <w:t>47</w:t>
      </w:r>
      <w:r>
        <w:t xml:space="preserve"> přímých prodejů SDD z</w:t>
      </w:r>
      <w:r w:rsidR="000D00D8" w:rsidRPr="00DA4385">
        <w:t> </w:t>
      </w:r>
      <w:r>
        <w:t xml:space="preserve"> majetkového účtu Ministerstva v celkové jmenovité hodnotě </w:t>
      </w:r>
      <w:r w:rsidR="00D65B74">
        <w:t>11</w:t>
      </w:r>
      <w:r>
        <w:t xml:space="preserve"> </w:t>
      </w:r>
      <w:r w:rsidR="00D65B74">
        <w:t>637</w:t>
      </w:r>
      <w:r>
        <w:t xml:space="preserve"> mil. Kč. </w:t>
      </w:r>
    </w:p>
    <w:p w:rsidR="00A55BEF" w:rsidRDefault="00A55BEF" w:rsidP="00A55BEF">
      <w:r>
        <w:t xml:space="preserve">Splátky SDD v </w:t>
      </w:r>
      <w:r w:rsidR="000D00D8">
        <w:t>roce</w:t>
      </w:r>
      <w:r>
        <w:t xml:space="preserve"> 2017 činily </w:t>
      </w:r>
      <w:r w:rsidR="00710FCC" w:rsidRPr="00710FCC">
        <w:t>209 354</w:t>
      </w:r>
      <w:r>
        <w:t xml:space="preserve"> mil. Kč a byly dány jednak splátkou jistiny 51.</w:t>
      </w:r>
      <w:r w:rsidR="000D00D8" w:rsidRPr="000D00D8">
        <w:t xml:space="preserve"> </w:t>
      </w:r>
      <w:r w:rsidR="000D00D8" w:rsidRPr="00DA4385">
        <w:t> </w:t>
      </w:r>
      <w:r>
        <w:t xml:space="preserve"> emise 10letých státních dluhopisů z roku 2007 uhra</w:t>
      </w:r>
      <w:r w:rsidR="000D00D8">
        <w:t xml:space="preserve">zené při své splatnosti dne </w:t>
      </w:r>
      <w:r>
        <w:t>11. dubna 2017 v celkové jmenovité hodnotě 88 730 mil. Kč, dále splátkou jistiny 67. emise 5letých státních dluhopisů z roku 2012 uhrazené při své splatnosti dne 23. července 2017 v celkové jmenovité hodnotě 46 803 mil. Kč</w:t>
      </w:r>
      <w:r w:rsidR="000D00D8">
        <w:t xml:space="preserve">, splátkou 96. emise 2letých státních dluhopisů z roku </w:t>
      </w:r>
      <w:r w:rsidR="00160E2E">
        <w:t xml:space="preserve">2015 </w:t>
      </w:r>
      <w:r w:rsidR="000D00D8">
        <w:t xml:space="preserve">uhrazené při své splatnosti dne 9. listopadu 2017 </w:t>
      </w:r>
      <w:r w:rsidR="00710FCC" w:rsidRPr="00710FCC">
        <w:t xml:space="preserve">v celkové jmenovité hodnotě </w:t>
      </w:r>
      <w:r w:rsidR="00710FCC">
        <w:t>70</w:t>
      </w:r>
      <w:r w:rsidR="00710FCC" w:rsidRPr="00DA4385">
        <w:t> </w:t>
      </w:r>
      <w:r w:rsidR="00710FCC" w:rsidRPr="00710FCC">
        <w:t xml:space="preserve"> </w:t>
      </w:r>
      <w:r w:rsidR="00710FCC">
        <w:t>000</w:t>
      </w:r>
      <w:r w:rsidR="00710FCC" w:rsidRPr="00DA4385">
        <w:t> </w:t>
      </w:r>
      <w:r w:rsidR="00710FCC" w:rsidRPr="00710FCC">
        <w:t xml:space="preserve"> mil. Kč </w:t>
      </w:r>
      <w:r>
        <w:t xml:space="preserve">a rovněž jmenovitou hodnotou SDD odkoupených v rámci výměnných operací na sekundárním trhu ve výši </w:t>
      </w:r>
      <w:r w:rsidR="000D00D8" w:rsidRPr="000D00D8">
        <w:t>3 821</w:t>
      </w:r>
      <w:r>
        <w:t xml:space="preserve"> mil. Kč. </w:t>
      </w:r>
    </w:p>
    <w:p w:rsidR="00A834D9" w:rsidRPr="00523486" w:rsidRDefault="00A55BEF" w:rsidP="00A55BEF">
      <w:pPr>
        <w:rPr>
          <w:highlight w:val="yellow"/>
        </w:rPr>
      </w:pPr>
      <w:r>
        <w:t>Celková jmenovitá hodnota SDD vydaných na domácím trhu v oběhu se zvýšila z</w:t>
      </w:r>
      <w:r w:rsidR="00C43984" w:rsidRPr="00DA4385">
        <w:t> </w:t>
      </w:r>
      <w:r>
        <w:t xml:space="preserve"> 1</w:t>
      </w:r>
      <w:r w:rsidR="00C43984" w:rsidRPr="00DA4385">
        <w:t> </w:t>
      </w:r>
      <w:r>
        <w:t xml:space="preserve"> 301</w:t>
      </w:r>
      <w:r w:rsidR="00C43984" w:rsidRPr="00DA4385">
        <w:t> </w:t>
      </w:r>
      <w:r>
        <w:t xml:space="preserve"> 617</w:t>
      </w:r>
      <w:r w:rsidR="00C43984" w:rsidRPr="00DA4385">
        <w:t> </w:t>
      </w:r>
      <w:r>
        <w:t xml:space="preserve"> mil. Kč na počátku roku 2017 o </w:t>
      </w:r>
      <w:r w:rsidR="003F6698" w:rsidRPr="003F6698">
        <w:t>3 781</w:t>
      </w:r>
      <w:r>
        <w:t xml:space="preserve"> mil. Kč na </w:t>
      </w:r>
      <w:r w:rsidR="003F6698" w:rsidRPr="003F6698">
        <w:t>1 305 398</w:t>
      </w:r>
      <w:r>
        <w:t xml:space="preserve"> mil. Kč na konci roku 2017.</w:t>
      </w:r>
    </w:p>
    <w:p w:rsidR="001E666C" w:rsidRPr="00467501" w:rsidRDefault="00710FCC" w:rsidP="00710FCC">
      <w:pPr>
        <w:pStyle w:val="Nadpis3"/>
      </w:pPr>
      <w:bookmarkStart w:id="85" w:name="_Toc508286932"/>
      <w:r w:rsidRPr="00710FCC">
        <w:t>Spořicí státní dluhopisy</w:t>
      </w:r>
      <w:bookmarkEnd w:id="85"/>
    </w:p>
    <w:p w:rsidR="001E666C" w:rsidRPr="00C67027" w:rsidRDefault="00710FCC" w:rsidP="003D0D9C">
      <w:r w:rsidRPr="00710FCC">
        <w:rPr>
          <w:iCs/>
        </w:rPr>
        <w:t xml:space="preserve">Na počátku roku 2017 činila jmenovitá hodnota spořicích státních dluhopisů (dále též „SSD“) v oběhu 37 757 mil. Kč. V průběhu roku 2017 došlo k vydání </w:t>
      </w:r>
      <w:r w:rsidR="009622CC">
        <w:rPr>
          <w:iCs/>
        </w:rPr>
        <w:t>11</w:t>
      </w:r>
      <w:r w:rsidRPr="00710FCC">
        <w:rPr>
          <w:iCs/>
        </w:rPr>
        <w:t xml:space="preserve"> tranší SSD ve formě reinvestice výnosů v celkové jmenovité hodnotě </w:t>
      </w:r>
      <w:r w:rsidR="009622CC" w:rsidRPr="009622CC">
        <w:rPr>
          <w:iCs/>
        </w:rPr>
        <w:t>599</w:t>
      </w:r>
      <w:r w:rsidR="009622CC">
        <w:rPr>
          <w:iCs/>
        </w:rPr>
        <w:t xml:space="preserve"> </w:t>
      </w:r>
      <w:r w:rsidRPr="00710FCC">
        <w:rPr>
          <w:iCs/>
        </w:rPr>
        <w:t xml:space="preserve">mil. Kč. V průběhu roku 2017 došlo rovněž ke splátce kupónového SSD z jarní série emisí </w:t>
      </w:r>
      <w:r w:rsidR="00A42D82">
        <w:rPr>
          <w:iCs/>
        </w:rPr>
        <w:t xml:space="preserve">roku </w:t>
      </w:r>
      <w:r w:rsidRPr="00710FCC">
        <w:rPr>
          <w:iCs/>
        </w:rPr>
        <w:t>2012 ve jmenovité hodnotě 1</w:t>
      </w:r>
      <w:r w:rsidR="00A42D82" w:rsidRPr="00DA4385">
        <w:t> </w:t>
      </w:r>
      <w:r w:rsidRPr="00710FCC">
        <w:rPr>
          <w:iCs/>
        </w:rPr>
        <w:t xml:space="preserve"> 126</w:t>
      </w:r>
      <w:r w:rsidR="00A42D82" w:rsidRPr="00DA4385">
        <w:t> </w:t>
      </w:r>
      <w:r w:rsidRPr="00710FCC">
        <w:rPr>
          <w:iCs/>
        </w:rPr>
        <w:t xml:space="preserve"> mil. Kč, ke splátce reinvestičního SSD z jarní série emisí roku 2012 ve jmenovité hodnotě 5 859 mil. Kč</w:t>
      </w:r>
      <w:r w:rsidR="009622CC">
        <w:rPr>
          <w:iCs/>
        </w:rPr>
        <w:t xml:space="preserve">, </w:t>
      </w:r>
      <w:r w:rsidR="009622CC" w:rsidRPr="009622CC">
        <w:rPr>
          <w:iCs/>
        </w:rPr>
        <w:t xml:space="preserve">ke splátce kupónového SSD z </w:t>
      </w:r>
      <w:r w:rsidR="009622CC">
        <w:rPr>
          <w:iCs/>
        </w:rPr>
        <w:t>podzimní</w:t>
      </w:r>
      <w:r w:rsidR="009622CC" w:rsidRPr="009622CC">
        <w:rPr>
          <w:iCs/>
        </w:rPr>
        <w:t xml:space="preserve"> série emisí </w:t>
      </w:r>
      <w:r w:rsidR="00A42D82">
        <w:rPr>
          <w:iCs/>
        </w:rPr>
        <w:t xml:space="preserve">roku </w:t>
      </w:r>
      <w:r w:rsidR="009622CC" w:rsidRPr="009622CC">
        <w:rPr>
          <w:iCs/>
        </w:rPr>
        <w:t>2012 ve jmenovité hodnotě 1 759 mil. Kč, ke splátce reinvestičního SSD z podzimní série emisí roku 2012 ve jmenovité hodnotě 8 071 mil. Kč</w:t>
      </w:r>
      <w:r w:rsidRPr="00710FCC">
        <w:rPr>
          <w:iCs/>
        </w:rPr>
        <w:t xml:space="preserve"> a ke splacení emisí SSD před datem splatnosti na základě uplatnění práva držitelů v celkové jmenovité hodnotě </w:t>
      </w:r>
      <w:r w:rsidR="00A42D82" w:rsidRPr="00A42D82">
        <w:rPr>
          <w:iCs/>
        </w:rPr>
        <w:t>63</w:t>
      </w:r>
      <w:r w:rsidRPr="00710FCC">
        <w:rPr>
          <w:iCs/>
        </w:rPr>
        <w:t xml:space="preserve"> mil. Kč, tj. celkem byly splaceny SSD ve výši </w:t>
      </w:r>
      <w:r w:rsidR="00A42D82" w:rsidRPr="00A42D82">
        <w:rPr>
          <w:iCs/>
        </w:rPr>
        <w:t>16 879</w:t>
      </w:r>
      <w:r w:rsidRPr="00710FCC">
        <w:rPr>
          <w:iCs/>
        </w:rPr>
        <w:t xml:space="preserve"> mil. Kč. Jmenovitá hodnota SSD v oběhu se tak v průběhu roku 2017 snížila o </w:t>
      </w:r>
      <w:r w:rsidR="00A42D82" w:rsidRPr="00A42D82">
        <w:rPr>
          <w:iCs/>
        </w:rPr>
        <w:t>16 280</w:t>
      </w:r>
      <w:r w:rsidRPr="00710FCC">
        <w:rPr>
          <w:iCs/>
        </w:rPr>
        <w:t xml:space="preserve"> mil. Kč a na jeho konci činila </w:t>
      </w:r>
      <w:r w:rsidR="00A42D82" w:rsidRPr="00A42D82">
        <w:rPr>
          <w:iCs/>
        </w:rPr>
        <w:t>21 478</w:t>
      </w:r>
      <w:r w:rsidRPr="00710FCC">
        <w:rPr>
          <w:iCs/>
        </w:rPr>
        <w:t xml:space="preserve"> mil. Kč.</w:t>
      </w:r>
    </w:p>
    <w:p w:rsidR="001E666C" w:rsidRPr="00C67027" w:rsidRDefault="00FE3040" w:rsidP="00FE3040">
      <w:pPr>
        <w:pStyle w:val="Nadpis3"/>
      </w:pPr>
      <w:bookmarkStart w:id="86" w:name="_Toc508286933"/>
      <w:r w:rsidRPr="00FE3040">
        <w:t>Střednědobé a dlouhodobé dluhopisy vydané na zahraničních trzích</w:t>
      </w:r>
      <w:bookmarkEnd w:id="86"/>
    </w:p>
    <w:p w:rsidR="001E666C" w:rsidRPr="00E80A2C" w:rsidRDefault="00FE3040" w:rsidP="00FC4129">
      <w:pPr>
        <w:rPr>
          <w:iCs/>
        </w:rPr>
      </w:pPr>
      <w:r w:rsidRPr="00FE3040">
        <w:t>Na počátku roku 2017 činila ko</w:t>
      </w:r>
      <w:r>
        <w:t xml:space="preserve">runová hodnota SDD vydaných na </w:t>
      </w:r>
      <w:r w:rsidRPr="00FE3040">
        <w:t>zahraničních trzích v oběhu včetně vlivu zajištění 213 507 mil. Kč. V průběhu roku 2017 došlo ke snížení korunové hodnoty SDD vydaných na zahraničních trzích v důsledku kurzových rozdílů o 10 888 mil. Kč. Na konci roku 2017 tak korunová hodnota SDD vydaných na zahraničních trzích v oběhu včetně vlivu zajištění dosáhla hodnoty 202 620 mil. Kč.</w:t>
      </w:r>
      <w:r w:rsidR="001D6B60">
        <w:rPr>
          <w:rStyle w:val="Znakapoznpodarou"/>
        </w:rPr>
        <w:footnoteReference w:id="2"/>
      </w:r>
    </w:p>
    <w:p w:rsidR="001E666C" w:rsidRPr="00BA31B2" w:rsidRDefault="001E666C" w:rsidP="00D0602A">
      <w:pPr>
        <w:pStyle w:val="Nadpis3"/>
        <w:spacing w:after="0"/>
      </w:pPr>
      <w:bookmarkStart w:id="87" w:name="_Toc287954324"/>
      <w:bookmarkStart w:id="88" w:name="_Toc508286934"/>
      <w:r w:rsidRPr="00BA31B2">
        <w:t>Státní dluhopisy celkem</w:t>
      </w:r>
      <w:bookmarkEnd w:id="87"/>
      <w:bookmarkEnd w:id="88"/>
    </w:p>
    <w:p w:rsidR="00751550" w:rsidRDefault="00751550" w:rsidP="00751550">
      <w:r>
        <w:t xml:space="preserve">Celková </w:t>
      </w:r>
      <w:r w:rsidR="00AC0BE4">
        <w:t xml:space="preserve">korunová </w:t>
      </w:r>
      <w:r>
        <w:t xml:space="preserve">jmenovitá hodnota státních dluhopisů v oběhu včetně vlivu zajištění SDD vydaných na zahraničních trzích vzrostla v roce 2017 o </w:t>
      </w:r>
      <w:r w:rsidRPr="00751550">
        <w:t>16 408</w:t>
      </w:r>
      <w:r>
        <w:t xml:space="preserve"> mil. Kč z 1 557 101 mil. Kč na </w:t>
      </w:r>
      <w:r w:rsidRPr="00751550">
        <w:t>1</w:t>
      </w:r>
      <w:r w:rsidRPr="008B02D6">
        <w:t> </w:t>
      </w:r>
      <w:r w:rsidRPr="00751550">
        <w:t xml:space="preserve"> 573</w:t>
      </w:r>
      <w:r w:rsidRPr="008B02D6">
        <w:t> </w:t>
      </w:r>
      <w:r w:rsidRPr="00751550">
        <w:t xml:space="preserve"> 509</w:t>
      </w:r>
      <w:r>
        <w:t xml:space="preserve"> mil. Kč. </w:t>
      </w:r>
    </w:p>
    <w:p w:rsidR="001E666C" w:rsidRPr="00BA31B2" w:rsidRDefault="00751550" w:rsidP="00751550">
      <w:r>
        <w:lastRenderedPageBreak/>
        <w:t xml:space="preserve">Podíl SPP na celkovém státním dluhu na počátku roku 2017 činil 0,3 %, zatímco na konci roku 2017 dosahoval </w:t>
      </w:r>
      <w:r w:rsidRPr="00751550">
        <w:t>2,7</w:t>
      </w:r>
      <w:r>
        <w:t xml:space="preserve"> %. Podíl ostatních státních dluhopisů se přitom snížil z 96,3 % k</w:t>
      </w:r>
      <w:r w:rsidRPr="008B02D6">
        <w:t> </w:t>
      </w:r>
      <w:r>
        <w:t xml:space="preserve"> 1.</w:t>
      </w:r>
      <w:r w:rsidRPr="00751550">
        <w:t xml:space="preserve"> </w:t>
      </w:r>
      <w:r w:rsidRPr="008B02D6">
        <w:t> </w:t>
      </w:r>
      <w:r>
        <w:t xml:space="preserve"> 1. 2017 na </w:t>
      </w:r>
      <w:r w:rsidRPr="00751550">
        <w:t>94,1</w:t>
      </w:r>
      <w:r>
        <w:t xml:space="preserve"> % k 31. 12. 2017.</w:t>
      </w:r>
    </w:p>
    <w:p w:rsidR="001E666C" w:rsidRDefault="001E666C" w:rsidP="00D0602A">
      <w:pPr>
        <w:pStyle w:val="Nadpis3"/>
        <w:spacing w:after="0"/>
      </w:pPr>
      <w:bookmarkStart w:id="89" w:name="_Toc508286935"/>
      <w:r>
        <w:t>Úvěry</w:t>
      </w:r>
      <w:r w:rsidRPr="00BA31B2">
        <w:t xml:space="preserve"> od Evropské investiční banky</w:t>
      </w:r>
      <w:bookmarkEnd w:id="89"/>
    </w:p>
    <w:p w:rsidR="001E666C" w:rsidRPr="008B02D6" w:rsidRDefault="001E666C" w:rsidP="00956314">
      <w:r w:rsidRPr="008B02D6">
        <w:t xml:space="preserve">V průběhu </w:t>
      </w:r>
      <w:r w:rsidR="005464F6">
        <w:t>roku</w:t>
      </w:r>
      <w:r w:rsidRPr="008B02D6">
        <w:t xml:space="preserve"> 201</w:t>
      </w:r>
      <w:r w:rsidR="00751550">
        <w:t>7</w:t>
      </w:r>
      <w:r w:rsidRPr="008B02D6">
        <w:t xml:space="preserve"> nedošlo k </w:t>
      </w:r>
      <w:r w:rsidR="00F5004D" w:rsidRPr="008B02D6">
        <w:t>přijetí</w:t>
      </w:r>
      <w:r w:rsidRPr="008B02D6">
        <w:t xml:space="preserve"> žádné tranše úvěrů od Evropské investiční banky (dále</w:t>
      </w:r>
      <w:r w:rsidR="007509E6">
        <w:t xml:space="preserve"> též</w:t>
      </w:r>
      <w:r w:rsidRPr="008B02D6">
        <w:t xml:space="preserve"> „EIB“).</w:t>
      </w:r>
    </w:p>
    <w:p w:rsidR="00751550" w:rsidRDefault="00751550" w:rsidP="00751550">
      <w:r>
        <w:t xml:space="preserve">V průběhu roku 2017 se uskutečnily splátky úvěrů od EIB v celkové výši </w:t>
      </w:r>
      <w:r w:rsidR="00F9062F" w:rsidRPr="00F9062F">
        <w:t>5</w:t>
      </w:r>
      <w:r w:rsidR="00F9062F">
        <w:t> </w:t>
      </w:r>
      <w:r w:rsidR="00F9062F" w:rsidRPr="00F9062F">
        <w:t>064</w:t>
      </w:r>
      <w:r w:rsidR="00F9062F">
        <w:t xml:space="preserve"> </w:t>
      </w:r>
      <w:r>
        <w:t>mil. Kč, v</w:t>
      </w:r>
      <w:r w:rsidR="006B108C" w:rsidRPr="00DA4385">
        <w:t> </w:t>
      </w:r>
      <w:r>
        <w:t xml:space="preserve"> tom 600 mil. Kč představovala úplná řádná splátka třetí tranše úvěru na výstavbu dálnice D8 – B, 1 000 mil. Kč činilo úplné předčasné splacení desáté tranše úvěru na projekt Prevence před povodněmi II, 893 mil. Kč představovalo úplné předčasné splacení jedenácté tranše úvěru na projekt Prevence před povodněmi II, 930 mil. Kč činilo úplné předčasné splacení sedmé tranše úvěru v rámci projektu Spolufinancování Operačního programu doprava – C, 560 mil. Kč činilo úplné předčasné splacení osmé tranše úvěru v rámci projektu Spolufinancování Operačního programu doprava – B, 353 mil. Kč činily dílčí splátky úvěru na výstavbu dálnic B, </w:t>
      </w:r>
      <w:r w:rsidR="00F9062F">
        <w:t>365</w:t>
      </w:r>
      <w:r>
        <w:t xml:space="preserve"> mil. Kč dílčí splátky úvěru na dálniční obchvat Plzně, 154 mil. Kč dílčí splátky úvěru pro Masarykovu univerzitu, 119 mil. Kč dílčí splátky úvěru na prevenci povodní, 67 mil. Kč dílčí splátky úvěru na odstraňování povodňových škod z roku 2002 a 22</w:t>
      </w:r>
      <w:r w:rsidR="006B108C" w:rsidRPr="00DA4385">
        <w:t> </w:t>
      </w:r>
      <w:r>
        <w:t xml:space="preserve"> mil. Kč dílčí splátky úvěru na výstavbu Pražského okruhu část A.</w:t>
      </w:r>
    </w:p>
    <w:p w:rsidR="001E666C" w:rsidRDefault="00751550" w:rsidP="00751550">
      <w:pPr>
        <w:rPr>
          <w:noProof/>
        </w:rPr>
      </w:pPr>
      <w:r>
        <w:t xml:space="preserve">Celkem se tak hodnota úvěrů od EIB v průběhu roku 2017 snížila z 56 270 mil. Kč na </w:t>
      </w:r>
      <w:r w:rsidR="006B108C" w:rsidRPr="006B108C">
        <w:t>51</w:t>
      </w:r>
      <w:r w:rsidR="006B108C" w:rsidRPr="00DA4385">
        <w:t> </w:t>
      </w:r>
      <w:r w:rsidR="006B108C" w:rsidRPr="006B108C">
        <w:t xml:space="preserve"> 206</w:t>
      </w:r>
      <w:r w:rsidR="006B108C" w:rsidRPr="00DA4385">
        <w:t> </w:t>
      </w:r>
      <w:r>
        <w:t xml:space="preserve"> mil. Kč.</w:t>
      </w:r>
    </w:p>
    <w:p w:rsidR="001E666C" w:rsidRPr="005B3D4C" w:rsidRDefault="001E666C" w:rsidP="003004C8">
      <w:pPr>
        <w:pStyle w:val="Nadpis3"/>
        <w:tabs>
          <w:tab w:val="clear" w:pos="720"/>
          <w:tab w:val="num" w:pos="567"/>
        </w:tabs>
        <w:spacing w:after="0"/>
        <w:rPr>
          <w:color w:val="000000"/>
        </w:rPr>
      </w:pPr>
      <w:bookmarkStart w:id="90" w:name="_Toc287954320"/>
      <w:bookmarkStart w:id="91" w:name="_Toc508286936"/>
      <w:r w:rsidRPr="005B3D4C">
        <w:t xml:space="preserve">Krátkodobé </w:t>
      </w:r>
      <w:r w:rsidR="008B02D6">
        <w:t>zá</w:t>
      </w:r>
      <w:r w:rsidRPr="005B3D4C">
        <w:t>půjčky</w:t>
      </w:r>
      <w:bookmarkEnd w:id="90"/>
      <w:r w:rsidRPr="005B3D4C">
        <w:t xml:space="preserve"> </w:t>
      </w:r>
      <w:r w:rsidR="008B02D6">
        <w:t>a státem vystavené směnky</w:t>
      </w:r>
      <w:bookmarkEnd w:id="91"/>
    </w:p>
    <w:p w:rsidR="006B108C" w:rsidRDefault="006B108C" w:rsidP="006B108C">
      <w:r>
        <w:t xml:space="preserve">Na počátku roku 2017 byl stav zápůjčních </w:t>
      </w:r>
      <w:proofErr w:type="spellStart"/>
      <w:r>
        <w:t>facilit</w:t>
      </w:r>
      <w:proofErr w:type="spellEnd"/>
      <w:r>
        <w:t xml:space="preserve"> ve formě </w:t>
      </w:r>
      <w:proofErr w:type="spellStart"/>
      <w:r>
        <w:t>repo</w:t>
      </w:r>
      <w:proofErr w:type="spellEnd"/>
      <w:r>
        <w:t xml:space="preserve"> operací nulový. Celkové přijaté peněžní prostředky ze zápůjčních </w:t>
      </w:r>
      <w:proofErr w:type="spellStart"/>
      <w:r>
        <w:t>facilit</w:t>
      </w:r>
      <w:proofErr w:type="spellEnd"/>
      <w:r>
        <w:t xml:space="preserve"> ve formě </w:t>
      </w:r>
      <w:proofErr w:type="spellStart"/>
      <w:r>
        <w:t>repo</w:t>
      </w:r>
      <w:proofErr w:type="spellEnd"/>
      <w:r>
        <w:t xml:space="preserve"> operací v roce 2017 činily </w:t>
      </w:r>
      <w:r w:rsidRPr="006B108C">
        <w:t>72</w:t>
      </w:r>
      <w:r w:rsidRPr="00DA4385">
        <w:t> </w:t>
      </w:r>
      <w:r w:rsidRPr="006B108C">
        <w:t xml:space="preserve"> 294</w:t>
      </w:r>
      <w:r>
        <w:t xml:space="preserve"> mil. Kč a splátky těchto zápůjčních </w:t>
      </w:r>
      <w:proofErr w:type="spellStart"/>
      <w:r>
        <w:t>facilit</w:t>
      </w:r>
      <w:proofErr w:type="spellEnd"/>
      <w:r>
        <w:t xml:space="preserve"> ve formě </w:t>
      </w:r>
      <w:proofErr w:type="spellStart"/>
      <w:r>
        <w:t>repo</w:t>
      </w:r>
      <w:proofErr w:type="spellEnd"/>
      <w:r>
        <w:t xml:space="preserve"> operací pak dosáhly rovněž </w:t>
      </w:r>
      <w:r w:rsidRPr="006B108C">
        <w:t>72 294</w:t>
      </w:r>
      <w:r>
        <w:t xml:space="preserve"> mil. Kč</w:t>
      </w:r>
      <w:r>
        <w:rPr>
          <w:rStyle w:val="Znakapoznpodarou"/>
        </w:rPr>
        <w:footnoteReference w:id="3"/>
      </w:r>
      <w:r>
        <w:t xml:space="preserve">. Na konci roku 2017 tak činil stav těchto zápůjčních </w:t>
      </w:r>
      <w:proofErr w:type="spellStart"/>
      <w:r>
        <w:t>facilit</w:t>
      </w:r>
      <w:proofErr w:type="spellEnd"/>
      <w:r>
        <w:t xml:space="preserve"> opět 0 mil. Kč. Jednalo se o zápůjčky formou </w:t>
      </w:r>
      <w:proofErr w:type="spellStart"/>
      <w:r>
        <w:t>repo</w:t>
      </w:r>
      <w:proofErr w:type="spellEnd"/>
      <w:r>
        <w:t xml:space="preserve"> operací s kolaterálem SDD.</w:t>
      </w:r>
      <w:r w:rsidR="00F27ED6">
        <w:rPr>
          <w:rStyle w:val="Znakapoznpodarou"/>
        </w:rPr>
        <w:footnoteReference w:id="4"/>
      </w:r>
      <w:r>
        <w:t xml:space="preserve"> </w:t>
      </w:r>
    </w:p>
    <w:p w:rsidR="006B108C" w:rsidRDefault="006B108C" w:rsidP="006B108C">
      <w:r>
        <w:t>K datu 20. února 2015 v souvislosti s nabytím účinnosti změny zákona č. 218/2000 Sb. o</w:t>
      </w:r>
      <w:r w:rsidR="006F7F11" w:rsidRPr="00DA4385">
        <w:t> </w:t>
      </w:r>
      <w:r>
        <w:t xml:space="preserve"> rozpočtových pravidlech a o změně některých souvisejících zákonů (rozpočtových pravidel) byly do evidence státního dluhu zařazeny rovněž dluhy ze státem vystavených směnek, jejichž stav ke konci roku 2017 činil </w:t>
      </w:r>
      <w:r w:rsidR="006F7F11" w:rsidRPr="006F7F11">
        <w:t>1</w:t>
      </w:r>
      <w:r>
        <w:t xml:space="preserve"> mil. Kč.</w:t>
      </w:r>
    </w:p>
    <w:p w:rsidR="001E666C" w:rsidRPr="00E537FF" w:rsidRDefault="006B108C" w:rsidP="00587354">
      <w:pPr>
        <w:rPr>
          <w:color w:val="000000"/>
        </w:rPr>
      </w:pPr>
      <w:r>
        <w:t xml:space="preserve">V průběhu roku 2017 byly přijaty </w:t>
      </w:r>
      <w:r w:rsidR="00E537FF">
        <w:t xml:space="preserve">krátkodobé zápůjčky </w:t>
      </w:r>
      <w:r w:rsidR="00E537FF" w:rsidRPr="00E537FF">
        <w:t xml:space="preserve">ve výši 65 mil. EUR </w:t>
      </w:r>
      <w:r w:rsidR="00E537FF">
        <w:t>realizované</w:t>
      </w:r>
      <w:r w:rsidR="00E537FF" w:rsidRPr="00E537FF">
        <w:t xml:space="preserve"> v</w:t>
      </w:r>
      <w:r w:rsidR="00E537FF">
        <w:t> </w:t>
      </w:r>
      <w:r w:rsidR="00E537FF" w:rsidRPr="00E537FF">
        <w:t xml:space="preserve"> rámci řízení eurové likvidity státní pokladny</w:t>
      </w:r>
      <w:r>
        <w:t xml:space="preserve">, jejichž korunová hodnota k datu přijetí činila 1 745 mil. Kč. V průběhu </w:t>
      </w:r>
      <w:r w:rsidR="006F7F11">
        <w:t>roku</w:t>
      </w:r>
      <w:r>
        <w:t xml:space="preserve"> 2017 byly tyto zápůjčky splaceny a jejich stav tak byl na konci </w:t>
      </w:r>
      <w:r w:rsidR="006F7F11">
        <w:t>roku</w:t>
      </w:r>
      <w:r>
        <w:t xml:space="preserve"> nulový.</w:t>
      </w:r>
    </w:p>
    <w:p w:rsidR="003A1AF7" w:rsidRPr="004317DB" w:rsidRDefault="0045597C" w:rsidP="001312D4">
      <w:pPr>
        <w:pStyle w:val="Nadpis1"/>
        <w:numPr>
          <w:ilvl w:val="0"/>
          <w:numId w:val="30"/>
        </w:numPr>
        <w:ind w:left="587"/>
      </w:pPr>
      <w:bookmarkStart w:id="92" w:name="_Toc287954328"/>
      <w:bookmarkStart w:id="93" w:name="_Toc414003598"/>
      <w:bookmarkStart w:id="94" w:name="_Toc508286937"/>
      <w:r>
        <w:lastRenderedPageBreak/>
        <w:t>Výdaje na obsluhu</w:t>
      </w:r>
      <w:r w:rsidRPr="004317DB">
        <w:t xml:space="preserve"> </w:t>
      </w:r>
      <w:r w:rsidR="003A1AF7" w:rsidRPr="004317DB">
        <w:t>státního dluhu</w:t>
      </w:r>
      <w:bookmarkEnd w:id="92"/>
      <w:bookmarkEnd w:id="93"/>
      <w:bookmarkEnd w:id="94"/>
      <w:r w:rsidR="003A1AF7" w:rsidRPr="004317DB">
        <w:t xml:space="preserve"> </w:t>
      </w:r>
    </w:p>
    <w:p w:rsidR="003A1AF7" w:rsidRPr="004317DB" w:rsidRDefault="003A1AF7" w:rsidP="000B71FE">
      <w:pPr>
        <w:pStyle w:val="Nadpis2"/>
        <w:numPr>
          <w:ilvl w:val="0"/>
          <w:numId w:val="45"/>
        </w:numPr>
      </w:pPr>
      <w:bookmarkStart w:id="95" w:name="_Toc287954329"/>
      <w:bookmarkStart w:id="96" w:name="_Toc414003599"/>
      <w:bookmarkStart w:id="97" w:name="_Toc508286938"/>
      <w:r w:rsidRPr="004317DB">
        <w:t xml:space="preserve">Základní tendence ve vývoji výdajů na </w:t>
      </w:r>
      <w:r w:rsidR="0045597C">
        <w:t xml:space="preserve">obsluhu </w:t>
      </w:r>
      <w:r w:rsidRPr="004317DB">
        <w:t>státní</w:t>
      </w:r>
      <w:r w:rsidR="0045597C">
        <w:t>ho</w:t>
      </w:r>
      <w:r w:rsidRPr="004317DB">
        <w:t xml:space="preserve"> dluh</w:t>
      </w:r>
      <w:r w:rsidR="0045597C">
        <w:t>u</w:t>
      </w:r>
      <w:r w:rsidRPr="004317DB">
        <w:t xml:space="preserve"> v letech 20</w:t>
      </w:r>
      <w:r w:rsidR="00CC4C19">
        <w:t>1</w:t>
      </w:r>
      <w:r w:rsidR="00E537FF">
        <w:t>1</w:t>
      </w:r>
      <w:r w:rsidRPr="004317DB">
        <w:t xml:space="preserve"> až 201</w:t>
      </w:r>
      <w:bookmarkEnd w:id="95"/>
      <w:bookmarkEnd w:id="96"/>
      <w:r w:rsidR="00E537FF">
        <w:t>7</w:t>
      </w:r>
      <w:bookmarkEnd w:id="97"/>
    </w:p>
    <w:p w:rsidR="003A1AF7" w:rsidRPr="004317DB" w:rsidRDefault="00E537FF" w:rsidP="003A1AF7">
      <w:r w:rsidRPr="00250952">
        <w:t>Čisté výdaje na obsluhu státního dluhu založené na hotovostním principu jsou představovány rozdílem hrubých výdajů na obsluhu státního dluhu a příjmů. Jejich podíl na příjmech státního rozpočtu, státním dluhu i HDP v posledních letech klesá.</w:t>
      </w:r>
    </w:p>
    <w:p w:rsidR="003A1AF7" w:rsidRPr="004317DB" w:rsidRDefault="00F10EAD" w:rsidP="00F10EAD">
      <w:pPr>
        <w:pStyle w:val="Titulek"/>
        <w:framePr w:w="0" w:hSpace="0" w:wrap="auto" w:vAnchor="margin" w:hAnchor="text" w:xAlign="left" w:yAlign="inline"/>
      </w:pPr>
      <w:r>
        <w:t xml:space="preserve">Tabulka č. </w:t>
      </w:r>
      <w:fldSimple w:instr=" SEQ Tabulka_č. \* ARABIC ">
        <w:r w:rsidR="00E3034F">
          <w:rPr>
            <w:noProof/>
          </w:rPr>
          <w:t>6</w:t>
        </w:r>
      </w:fldSimple>
      <w:r w:rsidR="003A1AF7" w:rsidRPr="004317DB">
        <w:rPr>
          <w:szCs w:val="22"/>
        </w:rPr>
        <w:t xml:space="preserve">: Vývoj výdajů na </w:t>
      </w:r>
      <w:r w:rsidR="000E053A">
        <w:rPr>
          <w:szCs w:val="22"/>
        </w:rPr>
        <w:t xml:space="preserve">obsluhu </w:t>
      </w:r>
      <w:r w:rsidR="003A1AF7" w:rsidRPr="004317DB">
        <w:rPr>
          <w:szCs w:val="22"/>
        </w:rPr>
        <w:t>státní</w:t>
      </w:r>
      <w:r w:rsidR="000E053A">
        <w:rPr>
          <w:szCs w:val="22"/>
        </w:rPr>
        <w:t>ho</w:t>
      </w:r>
      <w:r w:rsidR="003A1AF7" w:rsidRPr="004317DB">
        <w:rPr>
          <w:szCs w:val="22"/>
        </w:rPr>
        <w:t xml:space="preserve"> dluh</w:t>
      </w:r>
      <w:r w:rsidR="000E053A">
        <w:rPr>
          <w:szCs w:val="22"/>
        </w:rPr>
        <w:t>u</w:t>
      </w:r>
      <w:r w:rsidR="003A1AF7" w:rsidRPr="004317DB">
        <w:rPr>
          <w:szCs w:val="22"/>
        </w:rPr>
        <w:t xml:space="preserve"> v letech 20</w:t>
      </w:r>
      <w:r w:rsidR="00CC4C19">
        <w:rPr>
          <w:szCs w:val="22"/>
        </w:rPr>
        <w:t>1</w:t>
      </w:r>
      <w:r w:rsidR="00E537FF">
        <w:rPr>
          <w:szCs w:val="22"/>
        </w:rPr>
        <w:t>1</w:t>
      </w:r>
      <w:r w:rsidR="003A1AF7">
        <w:rPr>
          <w:szCs w:val="22"/>
        </w:rPr>
        <w:t xml:space="preserve"> </w:t>
      </w:r>
      <w:r w:rsidR="003A1AF7" w:rsidRPr="004317DB">
        <w:rPr>
          <w:szCs w:val="22"/>
        </w:rPr>
        <w:t>až 201</w:t>
      </w:r>
      <w:r w:rsidR="00E537FF">
        <w:rPr>
          <w:szCs w:val="22"/>
        </w:rPr>
        <w:t>7</w:t>
      </w:r>
    </w:p>
    <w:p w:rsidR="003A1AF7" w:rsidRPr="004317DB" w:rsidRDefault="00E537FF" w:rsidP="003A1AF7">
      <w:pPr>
        <w:jc w:val="center"/>
        <w:rPr>
          <w:noProof/>
        </w:rPr>
      </w:pPr>
      <w:r w:rsidRPr="00E537FF">
        <w:rPr>
          <w:noProof/>
        </w:rPr>
        <w:drawing>
          <wp:inline distT="0" distB="0" distL="0" distR="0" wp14:anchorId="29B6E367" wp14:editId="683EAC2D">
            <wp:extent cx="5760085" cy="1860832"/>
            <wp:effectExtent l="0" t="0" r="0" b="635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60085" cy="1860832"/>
                    </a:xfrm>
                    <a:prstGeom prst="rect">
                      <a:avLst/>
                    </a:prstGeom>
                    <a:noFill/>
                    <a:ln>
                      <a:noFill/>
                    </a:ln>
                  </pic:spPr>
                </pic:pic>
              </a:graphicData>
            </a:graphic>
          </wp:inline>
        </w:drawing>
      </w:r>
    </w:p>
    <w:p w:rsidR="00CC4C19" w:rsidRPr="00A11061" w:rsidRDefault="00CC4C19" w:rsidP="00CC4C19">
      <w:pPr>
        <w:spacing w:before="0"/>
        <w:jc w:val="left"/>
        <w:rPr>
          <w:rFonts w:eastAsia="MS Mincho"/>
          <w:i/>
          <w:sz w:val="20"/>
          <w:szCs w:val="20"/>
        </w:rPr>
      </w:pPr>
      <w:r w:rsidRPr="00A11061">
        <w:rPr>
          <w:i/>
          <w:sz w:val="20"/>
          <w:szCs w:val="20"/>
          <w:vertAlign w:val="superscript"/>
        </w:rPr>
        <w:t xml:space="preserve">1 </w:t>
      </w:r>
      <w:r w:rsidRPr="00A11061">
        <w:rPr>
          <w:rFonts w:eastAsia="MS Mincho"/>
          <w:i/>
          <w:sz w:val="20"/>
          <w:szCs w:val="20"/>
        </w:rPr>
        <w:t>Očištěno o příjmy kapitoly 396 - Státní dluh</w:t>
      </w:r>
    </w:p>
    <w:p w:rsidR="003A1AF7" w:rsidRPr="002A4A29" w:rsidRDefault="003A1AF7" w:rsidP="008677D6">
      <w:pPr>
        <w:pStyle w:val="Pramen"/>
      </w:pPr>
      <w:r w:rsidRPr="002A4A29">
        <w:t>Zdroj: MF, ČSÚ</w:t>
      </w:r>
    </w:p>
    <w:p w:rsidR="003A1AF7" w:rsidRPr="004317DB" w:rsidRDefault="00BC1948" w:rsidP="003A1AF7">
      <w:r w:rsidRPr="00250952">
        <w:t>V letech 201</w:t>
      </w:r>
      <w:r>
        <w:t>3</w:t>
      </w:r>
      <w:r w:rsidRPr="00250952">
        <w:t xml:space="preserve"> až 201</w:t>
      </w:r>
      <w:r>
        <w:t>7</w:t>
      </w:r>
      <w:r w:rsidRPr="00250952">
        <w:t xml:space="preserve"> dochází rovněž k poklesu akruálních úrokových nákladů, který je způsoben souběhem poklesu státního dluhu v tomto období a </w:t>
      </w:r>
      <w:r>
        <w:t>z dlouhodobého hlediska nízké úrovně</w:t>
      </w:r>
      <w:r w:rsidRPr="00250952">
        <w:t xml:space="preserve"> výnosů státních dluhopisů</w:t>
      </w:r>
      <w:r>
        <w:t>.</w:t>
      </w:r>
    </w:p>
    <w:p w:rsidR="007D2A99" w:rsidRDefault="007812C8" w:rsidP="00393BCD">
      <w:pPr>
        <w:pStyle w:val="Titulek"/>
        <w:framePr w:w="0" w:hSpace="0" w:wrap="auto" w:vAnchor="margin" w:hAnchor="text" w:xAlign="left" w:yAlign="inline"/>
      </w:pPr>
      <w:r>
        <w:t xml:space="preserve">Tabulka č. </w:t>
      </w:r>
      <w:fldSimple w:instr=" SEQ Tabulka_č. \* ARABIC ">
        <w:r w:rsidR="00E3034F">
          <w:rPr>
            <w:noProof/>
          </w:rPr>
          <w:t>7</w:t>
        </w:r>
      </w:fldSimple>
      <w:r w:rsidR="003A1AF7" w:rsidRPr="004317DB">
        <w:t>: Vývoj akruálních úroků státního dluhu</w:t>
      </w:r>
      <w:r w:rsidR="00BC1948" w:rsidRPr="00BC1948">
        <w:t xml:space="preserve"> v letech 2011 až 2017</w:t>
      </w:r>
    </w:p>
    <w:p w:rsidR="003A1AF7" w:rsidRPr="004317DB" w:rsidRDefault="00BC1948" w:rsidP="00765E3C">
      <w:pPr>
        <w:pStyle w:val="Textkomente"/>
      </w:pPr>
      <w:r w:rsidRPr="00BC1948">
        <w:rPr>
          <w:noProof/>
        </w:rPr>
        <w:drawing>
          <wp:inline distT="0" distB="0" distL="0" distR="0" wp14:anchorId="4760184F" wp14:editId="4C915FFF">
            <wp:extent cx="5760085" cy="624475"/>
            <wp:effectExtent l="0" t="0" r="0" b="4445"/>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60085" cy="624475"/>
                    </a:xfrm>
                    <a:prstGeom prst="rect">
                      <a:avLst/>
                    </a:prstGeom>
                    <a:noFill/>
                    <a:ln>
                      <a:noFill/>
                    </a:ln>
                  </pic:spPr>
                </pic:pic>
              </a:graphicData>
            </a:graphic>
          </wp:inline>
        </w:drawing>
      </w:r>
    </w:p>
    <w:p w:rsidR="003A1AF7" w:rsidRPr="004317DB" w:rsidRDefault="003A1AF7" w:rsidP="008677D6">
      <w:pPr>
        <w:pStyle w:val="Pramen"/>
      </w:pPr>
      <w:r w:rsidRPr="004317DB">
        <w:t>Zdroj: MF, ČSÚ</w:t>
      </w:r>
    </w:p>
    <w:p w:rsidR="007D1376" w:rsidRDefault="007D1376" w:rsidP="000B71FE">
      <w:pPr>
        <w:pStyle w:val="Nadpis2"/>
      </w:pPr>
      <w:bookmarkStart w:id="98" w:name="_Toc287954330"/>
      <w:bookmarkStart w:id="99" w:name="_Toc414003600"/>
      <w:bookmarkStart w:id="100" w:name="_Toc508286939"/>
      <w:r w:rsidRPr="004317DB">
        <w:t>Rozpočet kapitoly Státní dluh a jeho plnění</w:t>
      </w:r>
      <w:bookmarkEnd w:id="98"/>
      <w:bookmarkEnd w:id="99"/>
      <w:bookmarkEnd w:id="100"/>
    </w:p>
    <w:p w:rsidR="00315BB5" w:rsidRPr="001925B8" w:rsidRDefault="00315BB5" w:rsidP="00315BB5">
      <w:pPr>
        <w:spacing w:before="240"/>
      </w:pPr>
      <w:r w:rsidRPr="001925B8">
        <w:t>Dne 20. února 2015 nabyl účinnosti zákon č. 25/2015 Sb., kterým se mění zákon č. 218/2000 Sb., o rozpočtových pravidlech a o změně některých souvisejících zákonů (rozpočtová pravidla), ve znění pozdějších předpisů. V rámci změny rozpočtových pravidel dochází k doplnění odstavce 8 do paragrafu 34. V důsledku této změny Ministerstvo počínaje rokem 2016 realizuje vzájemný zápočet rozpočtových příjmů a výdajů kapitoly 396 – Státní dluh (dále též „kapitoly“), které vzniknou v  důsledku finančních operací spojených s řízením likvidity státní pokladny nebo s řízením státního dluhu uskutečněných v průběhu určitého období, nejdéle však jednoho měsíce</w:t>
      </w:r>
      <w:r w:rsidRPr="001925B8">
        <w:rPr>
          <w:position w:val="6"/>
          <w:sz w:val="16"/>
        </w:rPr>
        <w:footnoteReference w:id="5"/>
      </w:r>
      <w:r w:rsidRPr="001925B8">
        <w:t>.</w:t>
      </w:r>
      <w:r w:rsidRPr="001925B8">
        <w:rPr>
          <w:position w:val="6"/>
          <w:sz w:val="16"/>
        </w:rPr>
        <w:t xml:space="preserve"> </w:t>
      </w:r>
    </w:p>
    <w:p w:rsidR="00315BB5" w:rsidRPr="001925B8" w:rsidRDefault="00315BB5" w:rsidP="00315BB5">
      <w:r w:rsidRPr="001925B8">
        <w:t xml:space="preserve">Pro rok 2017 byla nastavena měsíční periodicita vypořádání úrokových příjmových a výdajových toků se státním rozpočtem, tj. převodů mezi vypořádacím a rozpočtovým účtem kapitoly. Jelikož v každém měsíci 1. čtvrtletí roku 2017 úrokové příjmové toky převýšily úrokové výdajové toky, tj. celková bilance příjmových a výdajových toků byla kladná, byly </w:t>
      </w:r>
      <w:r w:rsidRPr="001925B8">
        <w:lastRenderedPageBreak/>
        <w:t>v těchto měsících výsledkem vzájemného zápočtu úrokovýc</w:t>
      </w:r>
      <w:r w:rsidR="000C0143">
        <w:t>h příjmů a výdajů vždy příjmy a </w:t>
      </w:r>
      <w:r w:rsidRPr="001925B8">
        <w:t>kapitola tak v průběhu 1. čtvrtletí roku 2017 nevykázala žádné úrokové výdaje, ale pouze příjmy.</w:t>
      </w:r>
    </w:p>
    <w:p w:rsidR="00D23E93" w:rsidRPr="00D23E93" w:rsidRDefault="00315BB5" w:rsidP="00D23E93">
      <w:r w:rsidRPr="001925B8">
        <w:t>Naopak v každém měsíci 2. a</w:t>
      </w:r>
      <w:r w:rsidR="00857D57" w:rsidRPr="001925B8">
        <w:t>ž 4</w:t>
      </w:r>
      <w:r w:rsidRPr="001925B8">
        <w:t xml:space="preserve">. čtvrtletí roku 2017 úrokové výdajové toky převýšily úrokové příjmové toky, tj. celková bilance příjmových a </w:t>
      </w:r>
      <w:r w:rsidR="000C0143">
        <w:t>výdajových toků byla záporná, a </w:t>
      </w:r>
      <w:r w:rsidRPr="001925B8">
        <w:t xml:space="preserve">proto byly v těchto měsících výsledkem vzájemného zápočtu úrokových příjmů a výdajů vždy výdaje. </w:t>
      </w:r>
    </w:p>
    <w:p w:rsidR="000B71FE" w:rsidRPr="000B71FE" w:rsidRDefault="000B71FE" w:rsidP="000B71FE">
      <w:pPr>
        <w:pStyle w:val="Odstavecseseznamem"/>
        <w:keepNext/>
        <w:numPr>
          <w:ilvl w:val="0"/>
          <w:numId w:val="41"/>
        </w:numPr>
        <w:spacing w:before="240" w:after="240"/>
        <w:jc w:val="left"/>
        <w:outlineLvl w:val="0"/>
        <w:rPr>
          <w:b/>
          <w:bCs/>
          <w:vanish/>
          <w:color w:val="365F91"/>
          <w:kern w:val="32"/>
          <w:sz w:val="28"/>
          <w:szCs w:val="32"/>
        </w:rPr>
      </w:pPr>
      <w:bookmarkStart w:id="101" w:name="_Toc508007391"/>
      <w:bookmarkStart w:id="102" w:name="_Toc508007480"/>
      <w:bookmarkStart w:id="103" w:name="_Toc508007568"/>
      <w:bookmarkStart w:id="104" w:name="_Toc508007611"/>
      <w:bookmarkStart w:id="105" w:name="_Toc508007714"/>
      <w:bookmarkStart w:id="106" w:name="_Toc508007757"/>
      <w:bookmarkStart w:id="107" w:name="_Toc508017718"/>
      <w:bookmarkStart w:id="108" w:name="_Toc508019486"/>
      <w:bookmarkStart w:id="109" w:name="_Toc508283330"/>
      <w:bookmarkStart w:id="110" w:name="_Toc508286679"/>
      <w:bookmarkStart w:id="111" w:name="_Toc508286940"/>
      <w:bookmarkEnd w:id="101"/>
      <w:bookmarkEnd w:id="102"/>
      <w:bookmarkEnd w:id="103"/>
      <w:bookmarkEnd w:id="104"/>
      <w:bookmarkEnd w:id="105"/>
      <w:bookmarkEnd w:id="106"/>
      <w:bookmarkEnd w:id="107"/>
      <w:bookmarkEnd w:id="108"/>
      <w:bookmarkEnd w:id="109"/>
      <w:bookmarkEnd w:id="110"/>
      <w:bookmarkEnd w:id="111"/>
    </w:p>
    <w:p w:rsidR="000B71FE" w:rsidRPr="000B71FE" w:rsidRDefault="000B71FE" w:rsidP="000B71FE">
      <w:pPr>
        <w:pStyle w:val="Odstavecseseznamem"/>
        <w:keepNext/>
        <w:numPr>
          <w:ilvl w:val="1"/>
          <w:numId w:val="41"/>
        </w:numPr>
        <w:spacing w:before="240" w:after="240"/>
        <w:jc w:val="left"/>
        <w:outlineLvl w:val="0"/>
        <w:rPr>
          <w:b/>
          <w:bCs/>
          <w:vanish/>
          <w:color w:val="365F91"/>
          <w:kern w:val="32"/>
          <w:sz w:val="28"/>
          <w:szCs w:val="32"/>
        </w:rPr>
      </w:pPr>
      <w:bookmarkStart w:id="112" w:name="_Toc508007392"/>
      <w:bookmarkStart w:id="113" w:name="_Toc508007481"/>
      <w:bookmarkStart w:id="114" w:name="_Toc508007569"/>
      <w:bookmarkStart w:id="115" w:name="_Toc508007612"/>
      <w:bookmarkStart w:id="116" w:name="_Toc508007715"/>
      <w:bookmarkStart w:id="117" w:name="_Toc508007758"/>
      <w:bookmarkStart w:id="118" w:name="_Toc508017719"/>
      <w:bookmarkStart w:id="119" w:name="_Toc508019487"/>
      <w:bookmarkStart w:id="120" w:name="_Toc508283331"/>
      <w:bookmarkStart w:id="121" w:name="_Toc508286680"/>
      <w:bookmarkStart w:id="122" w:name="_Toc508286941"/>
      <w:bookmarkEnd w:id="112"/>
      <w:bookmarkEnd w:id="113"/>
      <w:bookmarkEnd w:id="114"/>
      <w:bookmarkEnd w:id="115"/>
      <w:bookmarkEnd w:id="116"/>
      <w:bookmarkEnd w:id="117"/>
      <w:bookmarkEnd w:id="118"/>
      <w:bookmarkEnd w:id="119"/>
      <w:bookmarkEnd w:id="120"/>
      <w:bookmarkEnd w:id="121"/>
      <w:bookmarkEnd w:id="122"/>
    </w:p>
    <w:p w:rsidR="000B71FE" w:rsidRPr="000B71FE" w:rsidRDefault="000B71FE" w:rsidP="000B71FE">
      <w:pPr>
        <w:pStyle w:val="Odstavecseseznamem"/>
        <w:keepNext/>
        <w:numPr>
          <w:ilvl w:val="1"/>
          <w:numId w:val="41"/>
        </w:numPr>
        <w:spacing w:before="240" w:after="240"/>
        <w:jc w:val="left"/>
        <w:outlineLvl w:val="0"/>
        <w:rPr>
          <w:b/>
          <w:bCs/>
          <w:vanish/>
          <w:color w:val="365F91"/>
          <w:kern w:val="32"/>
          <w:sz w:val="28"/>
          <w:szCs w:val="32"/>
        </w:rPr>
      </w:pPr>
      <w:bookmarkStart w:id="123" w:name="_Toc508007393"/>
      <w:bookmarkStart w:id="124" w:name="_Toc508007482"/>
      <w:bookmarkStart w:id="125" w:name="_Toc508007570"/>
      <w:bookmarkStart w:id="126" w:name="_Toc508007613"/>
      <w:bookmarkStart w:id="127" w:name="_Toc508007716"/>
      <w:bookmarkStart w:id="128" w:name="_Toc508007759"/>
      <w:bookmarkStart w:id="129" w:name="_Toc508017720"/>
      <w:bookmarkStart w:id="130" w:name="_Toc508019488"/>
      <w:bookmarkStart w:id="131" w:name="_Toc508283332"/>
      <w:bookmarkStart w:id="132" w:name="_Toc508286681"/>
      <w:bookmarkStart w:id="133" w:name="_Toc508286942"/>
      <w:bookmarkEnd w:id="123"/>
      <w:bookmarkEnd w:id="124"/>
      <w:bookmarkEnd w:id="125"/>
      <w:bookmarkEnd w:id="126"/>
      <w:bookmarkEnd w:id="127"/>
      <w:bookmarkEnd w:id="128"/>
      <w:bookmarkEnd w:id="129"/>
      <w:bookmarkEnd w:id="130"/>
      <w:bookmarkEnd w:id="131"/>
      <w:bookmarkEnd w:id="132"/>
      <w:bookmarkEnd w:id="133"/>
    </w:p>
    <w:p w:rsidR="00BC1948" w:rsidRPr="001925B8" w:rsidRDefault="0080198F" w:rsidP="0080198F">
      <w:pPr>
        <w:pStyle w:val="Nadpis3"/>
      </w:pPr>
      <w:bookmarkStart w:id="134" w:name="_Toc508286943"/>
      <w:r>
        <w:t>Příjmy</w:t>
      </w:r>
      <w:r w:rsidRPr="0080198F">
        <w:t xml:space="preserve"> kapitoly Státní dluh</w:t>
      </w:r>
      <w:bookmarkEnd w:id="134"/>
    </w:p>
    <w:p w:rsidR="001E666C" w:rsidRPr="001925B8" w:rsidRDefault="007812C8" w:rsidP="007812C8">
      <w:pPr>
        <w:pStyle w:val="Titulek"/>
        <w:framePr w:w="0" w:hSpace="0" w:wrap="auto" w:vAnchor="margin" w:hAnchor="text" w:xAlign="left" w:yAlign="inline"/>
      </w:pPr>
      <w:r w:rsidRPr="001925B8">
        <w:t xml:space="preserve">Tabulka č. </w:t>
      </w:r>
      <w:fldSimple w:instr=" SEQ Tabulka_č. \* ARABIC ">
        <w:r w:rsidR="00E3034F">
          <w:rPr>
            <w:noProof/>
          </w:rPr>
          <w:t>8</w:t>
        </w:r>
      </w:fldSimple>
      <w:r w:rsidRPr="001925B8">
        <w:t>:</w:t>
      </w:r>
      <w:r w:rsidR="001E666C" w:rsidRPr="001925B8">
        <w:t xml:space="preserve"> Příjmy kapitoly Státní dluh (mil. Kč)</w:t>
      </w:r>
    </w:p>
    <w:p w:rsidR="001E666C" w:rsidRPr="001925B8" w:rsidRDefault="000B71FE" w:rsidP="00C13B4C">
      <w:pPr>
        <w:jc w:val="center"/>
        <w:rPr>
          <w:sz w:val="18"/>
        </w:rPr>
      </w:pPr>
      <w:r w:rsidRPr="000B71FE">
        <w:rPr>
          <w:noProof/>
        </w:rPr>
        <w:drawing>
          <wp:inline distT="0" distB="0" distL="0" distR="0" wp14:anchorId="001C968D" wp14:editId="63C85BB0">
            <wp:extent cx="5760085" cy="2949026"/>
            <wp:effectExtent l="0" t="0" r="0" b="381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60085" cy="2949026"/>
                    </a:xfrm>
                    <a:prstGeom prst="rect">
                      <a:avLst/>
                    </a:prstGeom>
                    <a:noFill/>
                    <a:ln>
                      <a:noFill/>
                    </a:ln>
                  </pic:spPr>
                </pic:pic>
              </a:graphicData>
            </a:graphic>
          </wp:inline>
        </w:drawing>
      </w:r>
    </w:p>
    <w:p w:rsidR="00330918" w:rsidRDefault="001E666C" w:rsidP="008677D6">
      <w:pPr>
        <w:pStyle w:val="Pramen"/>
      </w:pPr>
      <w:r w:rsidRPr="001925B8">
        <w:t>Zdroj: MF</w:t>
      </w:r>
    </w:p>
    <w:p w:rsidR="00231DFC" w:rsidRDefault="00231DFC" w:rsidP="00231DFC">
      <w:pPr>
        <w:rPr>
          <w:bCs/>
        </w:rPr>
      </w:pPr>
      <w:bookmarkStart w:id="135" w:name="_Toc508007395"/>
      <w:bookmarkStart w:id="136" w:name="_Toc508007484"/>
      <w:r w:rsidRPr="00AB053C">
        <w:rPr>
          <w:bCs/>
        </w:rPr>
        <w:t>Příjmy kapitoly v roce 2017 činily 384 mil. Kč, přičemž byly v zásadě dány úrokovými příjmy. Vratka poplatků od České pošty z titulu množstevních slev v souvislosti se službami spojenými se SSD činila 17 tis. Kč. Příjmy kapitoly v roce 2017 byly rozpočtovány v nulové výši.</w:t>
      </w:r>
      <w:bookmarkEnd w:id="135"/>
      <w:bookmarkEnd w:id="136"/>
    </w:p>
    <w:p w:rsidR="00F3650F" w:rsidRPr="00231DFC" w:rsidRDefault="00F3650F" w:rsidP="00231DFC">
      <w:bookmarkStart w:id="137" w:name="_Toc508007396"/>
      <w:bookmarkStart w:id="138" w:name="_Toc508007485"/>
      <w:r w:rsidRPr="00AB053C">
        <w:rPr>
          <w:bCs/>
        </w:rPr>
        <w:t>V roce 2016 byly příjmy kapitoly určeny výhradně příjmy spojenými s poplatky ve výši 211</w:t>
      </w:r>
      <w:r w:rsidRPr="00AB053C">
        <w:t> </w:t>
      </w:r>
      <w:r w:rsidRPr="00AB053C">
        <w:rPr>
          <w:bCs/>
        </w:rPr>
        <w:t xml:space="preserve"> tis. Kč.</w:t>
      </w:r>
      <w:bookmarkEnd w:id="137"/>
      <w:bookmarkEnd w:id="138"/>
    </w:p>
    <w:p w:rsidR="00CD49E1" w:rsidRPr="001925B8" w:rsidRDefault="00CD49E1" w:rsidP="00CD49E1">
      <w:pPr>
        <w:pStyle w:val="Nadpis3"/>
      </w:pPr>
      <w:bookmarkStart w:id="139" w:name="_Toc508286944"/>
      <w:r>
        <w:lastRenderedPageBreak/>
        <w:t>Výdaje</w:t>
      </w:r>
      <w:r w:rsidRPr="001925B8">
        <w:t xml:space="preserve"> kapitoly Státní dluh</w:t>
      </w:r>
      <w:bookmarkEnd w:id="139"/>
    </w:p>
    <w:p w:rsidR="001E666C" w:rsidRPr="001925B8" w:rsidRDefault="007812C8" w:rsidP="007812C8">
      <w:pPr>
        <w:pStyle w:val="Titulek"/>
        <w:framePr w:w="0" w:hSpace="0" w:wrap="auto" w:vAnchor="margin" w:hAnchor="text" w:xAlign="left" w:yAlign="inline"/>
        <w:rPr>
          <w:bCs/>
        </w:rPr>
      </w:pPr>
      <w:r w:rsidRPr="001925B8">
        <w:t xml:space="preserve">Tabulka č. </w:t>
      </w:r>
      <w:fldSimple w:instr=" SEQ Tabulka_č. \* ARABIC ">
        <w:r w:rsidR="00E3034F">
          <w:rPr>
            <w:noProof/>
          </w:rPr>
          <w:t>9</w:t>
        </w:r>
      </w:fldSimple>
      <w:r w:rsidR="001E666C" w:rsidRPr="001925B8">
        <w:rPr>
          <w:bCs/>
        </w:rPr>
        <w:t>: Výdaje kapitoly Státní dluh (mil. Kč)</w:t>
      </w:r>
    </w:p>
    <w:p w:rsidR="001E666C" w:rsidRPr="001925B8" w:rsidRDefault="000B71FE" w:rsidP="00A834D9">
      <w:pPr>
        <w:keepNext/>
        <w:jc w:val="center"/>
        <w:rPr>
          <w:szCs w:val="20"/>
        </w:rPr>
      </w:pPr>
      <w:r w:rsidRPr="000B71FE">
        <w:rPr>
          <w:noProof/>
        </w:rPr>
        <w:drawing>
          <wp:inline distT="0" distB="0" distL="0" distR="0" wp14:anchorId="18725F2F" wp14:editId="76BA53AE">
            <wp:extent cx="5760085" cy="2814401"/>
            <wp:effectExtent l="0" t="0" r="0" b="508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60085" cy="2814401"/>
                    </a:xfrm>
                    <a:prstGeom prst="rect">
                      <a:avLst/>
                    </a:prstGeom>
                    <a:noFill/>
                    <a:ln>
                      <a:noFill/>
                    </a:ln>
                  </pic:spPr>
                </pic:pic>
              </a:graphicData>
            </a:graphic>
          </wp:inline>
        </w:drawing>
      </w:r>
    </w:p>
    <w:p w:rsidR="001E666C" w:rsidRPr="001925B8" w:rsidRDefault="001E666C" w:rsidP="008677D6">
      <w:pPr>
        <w:pStyle w:val="Pramen"/>
      </w:pPr>
      <w:r w:rsidRPr="001925B8">
        <w:t>Zdroj: MF</w:t>
      </w:r>
    </w:p>
    <w:p w:rsidR="00E6539D" w:rsidRPr="001925B8" w:rsidRDefault="00E6539D" w:rsidP="00E6539D">
      <w:r>
        <w:t>Celkové v</w:t>
      </w:r>
      <w:r w:rsidRPr="001925B8">
        <w:t xml:space="preserve">ýdaje kapitoly v roce 2017 </w:t>
      </w:r>
      <w:r>
        <w:t>dosáhly výše</w:t>
      </w:r>
      <w:r w:rsidRPr="001925B8">
        <w:t xml:space="preserve"> 40 151 mil. Kč, což je 98,9 % rozpočtu po změnách a  86,6  % schváleného rozpočtu. </w:t>
      </w:r>
      <w:r w:rsidRPr="00711F7E">
        <w:t xml:space="preserve">Tento poměr je dán zejména významnými přesuny prostředků v rámci rozpočtových opatření </w:t>
      </w:r>
      <w:r>
        <w:t xml:space="preserve">(dále též „ROP“) </w:t>
      </w:r>
      <w:r w:rsidRPr="00711F7E">
        <w:t xml:space="preserve">z kapitoly Státní dluh do jiných rozpočtových kapitol – podrobnosti jsou uvedené níže v textu. </w:t>
      </w:r>
      <w:r w:rsidRPr="001925B8">
        <w:t>Tyto výdaje byly dány převážně úrokovými výdaji ve výši 39 812 mil. Kč, což je 99,2 % rozpočtu po změnách, poplatky spojené s  obsluhou státního dluhu (dále též „poplatky“) činily 339 mil. Kč, což</w:t>
      </w:r>
      <w:r>
        <w:t xml:space="preserve"> je 75,3 % rozpočtu po změnách. </w:t>
      </w:r>
      <w:r w:rsidRPr="001B7E4E">
        <w:t xml:space="preserve">Úspory výdajů oproti schválenému rozpočtu byly </w:t>
      </w:r>
      <w:r>
        <w:t xml:space="preserve">důsledkem příznivé situace na </w:t>
      </w:r>
      <w:r w:rsidRPr="001B7E4E">
        <w:t xml:space="preserve">finančních trzích, aktivního a efektivního řízení </w:t>
      </w:r>
      <w:r>
        <w:t>likvidity státní pokladny</w:t>
      </w:r>
      <w:r w:rsidR="000C0143">
        <w:t xml:space="preserve"> a </w:t>
      </w:r>
      <w:r w:rsidRPr="001B7E4E">
        <w:t>časování emisní činnosti ze strany Ministerstva.</w:t>
      </w:r>
    </w:p>
    <w:p w:rsidR="00263551" w:rsidRPr="001925B8" w:rsidRDefault="00E6539D" w:rsidP="00E6539D">
      <w:r w:rsidRPr="001925B8">
        <w:t>V roce 2016 činily výdaje kapitoly 40 654 mil. Kč, z čehož úrokové výdaje dosahovaly 40  383 mil. Kč a poplatky 271 mil. Kč. Výdaje kapitoly v roce 2017 tak byly o 503 mil. Kč, tj. o 1,2 % nižší než celkové výdaje kapitoly v roce 2016. Úrokové výdaje byly přitom v roce 2017 oproti roku 2016 nižší o 570 mil. Kč, tj. o 1,4 %, zatímco poplatky byly meziročně vyšší o 68 mil. Kč, tj. o 24,9 %.</w:t>
      </w:r>
    </w:p>
    <w:p w:rsidR="00D64357" w:rsidRPr="001925B8" w:rsidRDefault="004F4FD2" w:rsidP="004F4FD2">
      <w:pPr>
        <w:pStyle w:val="Nadpis3"/>
      </w:pPr>
      <w:bookmarkStart w:id="140" w:name="_Toc508286945"/>
      <w:r w:rsidRPr="004F4FD2">
        <w:t>Podrobnější informace o příjmech a výdajích kapitoly Státní dluh</w:t>
      </w:r>
      <w:bookmarkEnd w:id="140"/>
    </w:p>
    <w:p w:rsidR="009B5092" w:rsidRPr="001925B8" w:rsidRDefault="00E6539D" w:rsidP="009B5092">
      <w:r w:rsidRPr="001925B8">
        <w:t>Úrokové příjmy kapitoly činily 384 mil. Kč, přičemž byly téměř výhradně dány vzájemným zápočtem čistých příjmových toků vnitřn</w:t>
      </w:r>
      <w:r>
        <w:t>ího dluhu ve výši 2 051 mil. Kč a</w:t>
      </w:r>
      <w:r w:rsidRPr="001925B8">
        <w:t xml:space="preserve"> čistých výdajových toků vnějšího dluhu ve výši 1 667 mil. Kč.</w:t>
      </w:r>
      <w:r w:rsidR="009B5092" w:rsidRPr="001925B8">
        <w:t xml:space="preserve"> </w:t>
      </w:r>
    </w:p>
    <w:p w:rsidR="009B5092" w:rsidRPr="001925B8" w:rsidRDefault="00E6539D" w:rsidP="009B5092">
      <w:r w:rsidRPr="001925B8">
        <w:t>Úrokové výdaje kapitoly činily 39 812 mil. Kč, přičemž byly téměř výhradně dány souhrnem čistých výdajových toků vnitřního dluhu ve výši 32 117 mil. Kč a čistých výdajových toků vnějšího dluhu ve výši 7 695 mil. Kč.</w:t>
      </w:r>
    </w:p>
    <w:p w:rsidR="00E6539D" w:rsidRPr="001925B8" w:rsidRDefault="00E6539D" w:rsidP="00E6539D">
      <w:r w:rsidRPr="001925B8">
        <w:t>Zatímco celkové čisté výdaje kapitoly v roce 2017 činily 39 767 mil. Kč, v roce 2016 celkové čisté výdaje dosáhly 40 654 mil. Kč. Meziročně tak čisté výdaje kapitoly poklesly o 886 mil. Kč</w:t>
      </w:r>
      <w:r>
        <w:t xml:space="preserve">, tj. o </w:t>
      </w:r>
      <w:r w:rsidRPr="00B91EE0">
        <w:t>2,2 %</w:t>
      </w:r>
      <w:r>
        <w:t xml:space="preserve">. Čisté úrokové výdaje kapitoly v roce 2017 činily </w:t>
      </w:r>
      <w:r w:rsidRPr="0043325A">
        <w:t>39</w:t>
      </w:r>
      <w:r>
        <w:t> </w:t>
      </w:r>
      <w:r w:rsidRPr="0043325A">
        <w:t>428</w:t>
      </w:r>
      <w:r>
        <w:t xml:space="preserve"> mil. Kč, zatímco v roce 2016 dosahovaly </w:t>
      </w:r>
      <w:r w:rsidRPr="0043325A">
        <w:t>40</w:t>
      </w:r>
      <w:r>
        <w:t> </w:t>
      </w:r>
      <w:r w:rsidRPr="0043325A">
        <w:t>383</w:t>
      </w:r>
      <w:r>
        <w:t xml:space="preserve"> mil. Kč, poklesly tedy o </w:t>
      </w:r>
      <w:r w:rsidRPr="0043325A">
        <w:t>954 mil. Kč, tj. o 2,4 %</w:t>
      </w:r>
      <w:r>
        <w:t xml:space="preserve">. </w:t>
      </w:r>
      <w:r w:rsidRPr="00011205">
        <w:t>Pokles výdajů kapitoly byl především důsledkem pružné reakce Ministerstva financí na situaci na finančních trzích a vhodným nastavením emisní činnosti</w:t>
      </w:r>
      <w:r>
        <w:t xml:space="preserve">, zejména emisí SPP za záporný výnos. </w:t>
      </w:r>
    </w:p>
    <w:p w:rsidR="00E6539D" w:rsidRPr="001925B8" w:rsidRDefault="00E6539D" w:rsidP="00E6539D">
      <w:r w:rsidRPr="001925B8">
        <w:lastRenderedPageBreak/>
        <w:t>Čisté úrokové výdaje vnitřního dluhu jsou složeny z čistých úrokových výdajů instrumentů peněžního trhu, z čistých úrokových výdajů SSD a z čistých úrokových výdajů SDD vydaných na domácím trhu.</w:t>
      </w:r>
    </w:p>
    <w:p w:rsidR="00E6539D" w:rsidRPr="001925B8" w:rsidRDefault="00E6539D" w:rsidP="00E6539D">
      <w:r w:rsidRPr="001925B8">
        <w:t xml:space="preserve">V roce 2017 čisté úrokové výdaje na vnitřní dluh činily 30 067 mil. Kč oproti 30 512 mil. Kč v roce 2016. Meziročně tak byly tyto výdaje nižší o 446 mil. Kč, tj. o 1,5 %. </w:t>
      </w:r>
      <w:r w:rsidRPr="00011205">
        <w:t>V  porovnání s</w:t>
      </w:r>
      <w:r w:rsidRPr="001925B8">
        <w:t> </w:t>
      </w:r>
      <w:r w:rsidRPr="00011205">
        <w:t xml:space="preserve"> rokem 2016 se podíl čistých úrokových výdajů na vnitřní dluh na celkových čistých úrokových výdajích zvýšil o 0,7 procentního bodu ze 75,6 % na 76,3 %.</w:t>
      </w:r>
    </w:p>
    <w:p w:rsidR="00E6539D" w:rsidRDefault="00E6539D" w:rsidP="00E6539D">
      <w:r w:rsidRPr="001925B8">
        <w:t xml:space="preserve">Čisté úrokové výdaje na SDD vydané na domácím trhu </w:t>
      </w:r>
      <w:r>
        <w:t>meziročně narostly o 1 728 mil. Kč, tj.</w:t>
      </w:r>
      <w:r w:rsidRPr="002668E8">
        <w:t xml:space="preserve"> </w:t>
      </w:r>
      <w:r>
        <w:t>  o 6,3 % na 29 323 mil. Kč v roce 2017. Tyto výdaje</w:t>
      </w:r>
      <w:r w:rsidRPr="001925B8">
        <w:t xml:space="preserve"> byly určeny především výplatami výnosů SDD vydaných na domácím trhu v celkové výši 35 292 mil. Kč a diskonty SDD vydanými na domácím trhu ve výši 2 885 mil. Kč</w:t>
      </w:r>
      <w:r>
        <w:t>, dále byly</w:t>
      </w:r>
      <w:r w:rsidRPr="001925B8">
        <w:t xml:space="preserve"> snižovány příjmovými toky spojenými s emisemi SDD na primárním trhu, kdy prémie činily 7 558 mil. Kč a alikvotní úrokové výnosy 743 mil. Kč, a rovněž čistými příjmovými toky spojenými s   přímými prodeji SDD z majetkového účtu Ministerstva ve výši 475 mil. Kč a čistými </w:t>
      </w:r>
      <w:r>
        <w:t>příjmovými</w:t>
      </w:r>
      <w:r w:rsidRPr="001925B8">
        <w:t xml:space="preserve"> toky z titulu výměnných operací ve výši 79 mil. Kč. Prémie emisí SDD na primárním trhu tak v</w:t>
      </w:r>
      <w:r>
        <w:t> </w:t>
      </w:r>
      <w:r w:rsidRPr="001925B8">
        <w:t xml:space="preserve"> roce 2017 byly o 414 mil. Kč vyšší oproti roku 2016</w:t>
      </w:r>
      <w:r>
        <w:t xml:space="preserve">, zatímco diskonty emisí SDD na primárním trhu byly vyšší o 2 885 mil. Kč. </w:t>
      </w:r>
    </w:p>
    <w:p w:rsidR="00E6539D" w:rsidRDefault="00E6539D" w:rsidP="00E6539D">
      <w:r w:rsidRPr="001925B8">
        <w:t>Čisté úrokové příjmy instrumentů peněžního trhu v roce 2017 činily 1 051 mil. Kč, přičemž byly dány zejména prémiemi spojenými s emisemi SPP ve výši 714 mil. Kč, dále přijatými úroky z aktivních operací řízení korunové likvidity státní pokladny (</w:t>
      </w:r>
      <w:proofErr w:type="spellStart"/>
      <w:r w:rsidRPr="001925B8">
        <w:t>repo</w:t>
      </w:r>
      <w:proofErr w:type="spellEnd"/>
      <w:r w:rsidRPr="001925B8">
        <w:t xml:space="preserve"> operací s  kolaterálem poukázek ČNB, </w:t>
      </w:r>
      <w:r>
        <w:t>SDD</w:t>
      </w:r>
      <w:r w:rsidRPr="001925B8">
        <w:t xml:space="preserve"> a  depozitních operací) ve výši 294 mil. Kč, přijatými úroky z titulu krátkodobých zápůjček realizovaných v rámci řízení eurové likvidity státní pokladny ve výši 1 mil. Kč, dále prostředky přijatými z titulu zápůjčních </w:t>
      </w:r>
      <w:proofErr w:type="spellStart"/>
      <w:r w:rsidRPr="001925B8">
        <w:t>facilit</w:t>
      </w:r>
      <w:proofErr w:type="spellEnd"/>
      <w:r w:rsidRPr="001925B8">
        <w:t xml:space="preserve"> státních dluhopisů ve formě </w:t>
      </w:r>
      <w:proofErr w:type="spellStart"/>
      <w:r w:rsidRPr="001925B8">
        <w:t>repo</w:t>
      </w:r>
      <w:proofErr w:type="spellEnd"/>
      <w:r w:rsidRPr="001925B8">
        <w:t xml:space="preserve"> operací ve výši 3 mil. Kč a ze zápůjčních </w:t>
      </w:r>
      <w:proofErr w:type="spellStart"/>
      <w:r w:rsidRPr="001925B8">
        <w:t>facilit</w:t>
      </w:r>
      <w:proofErr w:type="spellEnd"/>
      <w:r w:rsidRPr="001925B8">
        <w:t xml:space="preserve"> státních dluhopisů ve formě </w:t>
      </w:r>
      <w:proofErr w:type="spellStart"/>
      <w:r w:rsidRPr="001925B8">
        <w:t>kolateralizovaných</w:t>
      </w:r>
      <w:proofErr w:type="spellEnd"/>
      <w:r w:rsidRPr="001925B8">
        <w:t xml:space="preserve"> zápůjček ve výši 22 mil. Kč, a konečně prostředky přijatými z</w:t>
      </w:r>
      <w:r>
        <w:t> </w:t>
      </w:r>
      <w:r w:rsidRPr="001925B8">
        <w:t xml:space="preserve"> titulu devizových swapů ve výši 18 mil. Kč. Oproti roku 2016, kdy čisté úrokové příjmy instrumentů peněžního trhu činily 155 mil. Kč, tak tyto pří</w:t>
      </w:r>
      <w:r w:rsidR="000C0143">
        <w:t>jmy vzrostly o 896 mil. Kč, tj. </w:t>
      </w:r>
      <w:r w:rsidRPr="001925B8">
        <w:t>o</w:t>
      </w:r>
      <w:r>
        <w:t> </w:t>
      </w:r>
      <w:r w:rsidRPr="001925B8">
        <w:t xml:space="preserve"> 577,5 %. </w:t>
      </w:r>
      <w:r>
        <w:t>Výrazný nárůst těchto příjmů</w:t>
      </w:r>
      <w:r w:rsidRPr="00250CA4">
        <w:t xml:space="preserve"> byl dán především využíváním mimořádně příznivých tržních podmínek a výrazným navýšením emisní činnosti SPP splatných </w:t>
      </w:r>
      <w:r>
        <w:t xml:space="preserve">převážně </w:t>
      </w:r>
      <w:r w:rsidRPr="00250CA4">
        <w:t>v roce 2017 realizovaným pouze z důvodu využití záporných výnosů do splatnosti generujícím dodatečné příjmy státního rozpočtu v podobě aukčních prémií</w:t>
      </w:r>
      <w:r>
        <w:t xml:space="preserve">, které se meziročně zvýšily o 691 mil. Kč. K tomuto nárůstu čistých úrokových příjmů rovněž výrazně přispěly příjmy související s řízením likvidity státní pokladny poté, co od druhé poloviny roku 2017 ČNB postupně zvyšuje základní úrokové sazby. </w:t>
      </w:r>
    </w:p>
    <w:p w:rsidR="00E6539D" w:rsidRPr="001925B8" w:rsidRDefault="00E6539D" w:rsidP="00E6539D">
      <w:r w:rsidRPr="001925B8">
        <w:t>Čisté úrokové výdaje na SSD dosáhly v</w:t>
      </w:r>
      <w:r>
        <w:t> </w:t>
      </w:r>
      <w:r w:rsidRPr="001925B8">
        <w:t xml:space="preserve"> roce 2017 výše 1 795 mil. Kč, přičemž byly dány výplatami výnosů SSD ve výši 1 107 mil. Kč, reinvesticemi výnosů SSD ve výši 686 mil. Kč a výplatami poměrného výnosu při splacení SSD před stanovenou dobou splatnosti </w:t>
      </w:r>
      <w:r w:rsidRPr="002E067D">
        <w:t xml:space="preserve">na základě uplatnění práva držitelů </w:t>
      </w:r>
      <w:r w:rsidRPr="001925B8">
        <w:t>ve výši 1  mil. Kč. Čisté úrokové výdaje na SSD tak oproti roku 2017 meziročně poklesly o  1  278  mil. Kč především v důsledku postupného splácení těchto instrumentů.</w:t>
      </w:r>
    </w:p>
    <w:p w:rsidR="00E6539D" w:rsidRPr="001925B8" w:rsidRDefault="00E6539D" w:rsidP="00E6539D">
      <w:r w:rsidRPr="001925B8">
        <w:t>Čisté úrokové výdaje na vnější (zahraniční) dluh v roce 2017 jsou dány čistými úrokovými výdaji SDD vydaných na zahraničních trzích a čistými úrokovými výdaji z titulu úvěrů od EIB. V roce 2017 tyto výdaje činily 9 362 mil. Kč oproti 9 871 mil. Kč v roce 2016, poklesly tak meziročně o 509 mil. Kč, tj. o 5,2 %.</w:t>
      </w:r>
    </w:p>
    <w:p w:rsidR="00E6539D" w:rsidRPr="001925B8" w:rsidRDefault="00E6539D" w:rsidP="00E6539D">
      <w:r w:rsidRPr="001925B8">
        <w:t xml:space="preserve">Čisté úrokové výdaje z titulu SDD vydaných na zahraničních trzích v roce 2017 činily celkem 9 033 mil. Kč a byly určeny výnosy SDD vydaných na zahraničních trzích včetně vlivu zajišťovacích operací. Vzhledem k tomu, že v roce 2016 dosáhly tyto výdaje celkem 9  513  mil. Kč, došlo k jejich meziročnímu poklesu o 480 mil. Kč, tj. o 5,0 % zejména </w:t>
      </w:r>
      <w:r w:rsidRPr="001925B8">
        <w:lastRenderedPageBreak/>
        <w:t xml:space="preserve">z  důvodu posílení </w:t>
      </w:r>
      <w:r>
        <w:t xml:space="preserve">kurzu </w:t>
      </w:r>
      <w:r w:rsidRPr="001925B8">
        <w:t>koruny po ukončení režimu devizových intervencí ČNB dne 6.</w:t>
      </w:r>
      <w:r w:rsidR="000C0143">
        <w:t> </w:t>
      </w:r>
      <w:r w:rsidRPr="001925B8">
        <w:t>dubna 2017 a rovněž z titulu splátky emise státn</w:t>
      </w:r>
      <w:r w:rsidR="000C0143">
        <w:t>ích dluhopisů denominovaných ve </w:t>
      </w:r>
      <w:r w:rsidRPr="001925B8">
        <w:t>švýcarských francích v roce 2016.</w:t>
      </w:r>
    </w:p>
    <w:p w:rsidR="00E6539D" w:rsidRPr="001925B8" w:rsidRDefault="00E6539D" w:rsidP="00E6539D">
      <w:r w:rsidRPr="001925B8">
        <w:t>Čisté úrokové výdaje na úvěry od EIB v roce 2017 činily celkem 329 mil. Kč, zatímco v roce 2016 dosahovaly 357 mil. Kč. Došlo tak k meziročnímu poklesu těchto výdajů o 28 mil. Kč, tj. o 7,9 %, a to především v důsledku poklesu stavu těchto úvěrů.</w:t>
      </w:r>
    </w:p>
    <w:p w:rsidR="00E6539D" w:rsidRDefault="00E6539D" w:rsidP="00E6539D">
      <w:r w:rsidRPr="001925B8">
        <w:t>V roce 2017 došlo rovněž k převodu úroků z vkladů na mimorozpočtových účtech Ministerstva v komerčních bankách do rozpočtu kapitoly ve výši 40 tis. Kč a k připsání úroků ze zůstatků na souhrnných účtech státní pokladny za 3. a 4. čtvrtletí 2017 v celkové výši 2</w:t>
      </w:r>
      <w:r>
        <w:t>4</w:t>
      </w:r>
      <w:r w:rsidRPr="001925B8">
        <w:t xml:space="preserve">  tis. Kč. </w:t>
      </w:r>
    </w:p>
    <w:p w:rsidR="00E6539D" w:rsidRPr="001925B8" w:rsidRDefault="00E6539D" w:rsidP="00E6539D">
      <w:r>
        <w:t xml:space="preserve">Výnosy korunových </w:t>
      </w:r>
      <w:r w:rsidRPr="00250952">
        <w:t>státních dluhopisů</w:t>
      </w:r>
      <w:r>
        <w:t xml:space="preserve"> po celé délce výnosové křivky od počátku roku 2017 pozvolna rostly</w:t>
      </w:r>
      <w:r w:rsidRPr="00250952">
        <w:t>.</w:t>
      </w:r>
      <w:r w:rsidRPr="00645CF7">
        <w:rPr>
          <w:rFonts w:cs="Verdana"/>
          <w:color w:val="000000"/>
          <w:sz w:val="18"/>
          <w:szCs w:val="18"/>
        </w:rPr>
        <w:t xml:space="preserve"> </w:t>
      </w:r>
      <w:r w:rsidRPr="00064973">
        <w:t xml:space="preserve">Od konce třetího čtvrtletí, resp. poté, co bankovní rada ČNB na svém </w:t>
      </w:r>
      <w:proofErr w:type="spellStart"/>
      <w:r w:rsidRPr="00064973">
        <w:t>měnověpolitickém</w:t>
      </w:r>
      <w:proofErr w:type="spellEnd"/>
      <w:r w:rsidRPr="00064973">
        <w:t xml:space="preserve"> zasedání rozhodla zvýšit základní úrokové sazby, výnosy po celé délce výnosové křivky začaly výrazněji růst a ke konci roku 2017 se pohybovaly na úrovních poloviny roku 2014.</w:t>
      </w:r>
    </w:p>
    <w:p w:rsidR="00E6539D" w:rsidRPr="001925B8" w:rsidRDefault="00E6539D" w:rsidP="00E6539D">
      <w:r w:rsidRPr="001925B8">
        <w:t>Z hlediska druhového členění rozpočtové skladby příjmů kapitoly Státní dluh bylo 856  875  tis. Kč zaznamenáno na položce 2141 – Příjmy z úroků (část), příjmy ve výši             -334 131 tis. Kč byly zaznamenány na položce 2146 – Úrokové příjmy z finančních derivátů k vlastním dluhopisům, příjmy ve výši -138 850 tis. Kč byly zaznamenány na položce 2148 – Úrokové příjmy z finančních derivátů kromě k vlastním dluhopisům a konečně příjmy</w:t>
      </w:r>
      <w:r>
        <w:t xml:space="preserve"> ve výši 17 </w:t>
      </w:r>
      <w:r w:rsidRPr="001925B8">
        <w:t>tis. Kč byly zaznamenány na položce 2324 – Přijaté nekapitálové příspěvky a náhrady.</w:t>
      </w:r>
    </w:p>
    <w:p w:rsidR="009B5092" w:rsidRDefault="00E6539D" w:rsidP="00E6539D">
      <w:r w:rsidRPr="001925B8">
        <w:t xml:space="preserve">Z hlediska rozpočtové skladby byla převážná část úrokových výdajů ve výši 38 812 600 tis. Kč zaznamenána na položce 5141 – Úroky vlastní, další </w:t>
      </w:r>
      <w:r w:rsidR="000C0143">
        <w:t>část ve výši 571 035 tis. Kč na </w:t>
      </w:r>
      <w:r w:rsidRPr="001925B8">
        <w:t xml:space="preserve">položce 5146 – Úrokové výdaje na finanční deriváty k vlastním dluhopisům a konečně poslední část ve výši 428 683 tis. Kč na položce 5147 – Úrokové výdaje na finanční deriváty </w:t>
      </w:r>
      <w:proofErr w:type="gramStart"/>
      <w:r w:rsidRPr="001925B8">
        <w:t>kromě</w:t>
      </w:r>
      <w:proofErr w:type="gramEnd"/>
      <w:r w:rsidRPr="001925B8">
        <w:t xml:space="preserve"> k vlastním dluhopisům. Z poplatků byla rozhodující část ve výši 337 105 tis. Kč zaznamenána na položce 5144 – Poplatky dluhové služby, dále 907 tis. Kč bylo zaznamenáno na položce 5161 – Poštovní služby a 835 tis. Kč na položce 5362 – Platby daní a poplatků státnímu rozpočtu.</w:t>
      </w:r>
    </w:p>
    <w:p w:rsidR="006A440D" w:rsidRPr="00E6539D" w:rsidRDefault="00E6539D" w:rsidP="009B5092">
      <w:r w:rsidRPr="00011205">
        <w:t>Z hlediska sledování rovnoměrnosti běžných (a současně celkových) realizovaných výdajů kapitoly Státní dluh lze konstatovat, že tyto činily v 1. čtvrtletí 2017 celkem 67 mil. Kč, ve  2.</w:t>
      </w:r>
      <w:r w:rsidRPr="002668E8">
        <w:t xml:space="preserve"> </w:t>
      </w:r>
      <w:r>
        <w:t> </w:t>
      </w:r>
      <w:r w:rsidRPr="00011205">
        <w:t xml:space="preserve"> čtvrtletí 2017 dosáhly 19 058 mil. Kč, ve 3.   čtvrtletí 2017 pak 15 102 mil. Kč a</w:t>
      </w:r>
      <w:r>
        <w:t> </w:t>
      </w:r>
      <w:r w:rsidRPr="00011205">
        <w:t xml:space="preserve"> konečně ve 4. čtvrtletí 2017 činily 5 924 mil. Kč. Rozložení výdajů v rámci jednotlivých čtvrtletí je dáno zejména režimem vyplácení výnosů dluhopisů, kdy 2. a 3. čtvrtletí 2017 se vyznačovalo relativně vysokým počtem výplatních termínů SDD vydaných na domácím </w:t>
      </w:r>
      <w:r>
        <w:t>i  zahraničních trzích, a rovněž</w:t>
      </w:r>
      <w:r w:rsidRPr="00011205">
        <w:t xml:space="preserve"> </w:t>
      </w:r>
      <w:r>
        <w:t>nastavením emisní činnosti v průběhu roku.</w:t>
      </w:r>
    </w:p>
    <w:p w:rsidR="007D1376" w:rsidRDefault="007D1376" w:rsidP="007D1376">
      <w:pPr>
        <w:pStyle w:val="Nadpis3"/>
      </w:pPr>
      <w:bookmarkStart w:id="141" w:name="_Toc508286946"/>
      <w:r w:rsidRPr="007D1376">
        <w:lastRenderedPageBreak/>
        <w:t>Přehled úprav rozpočtu kapitoly Státní dluh v roce 201</w:t>
      </w:r>
      <w:r w:rsidR="007A685F">
        <w:t>7</w:t>
      </w:r>
      <w:bookmarkEnd w:id="141"/>
    </w:p>
    <w:p w:rsidR="001E666C" w:rsidRPr="007812C8" w:rsidRDefault="007812C8" w:rsidP="007812C8">
      <w:pPr>
        <w:pStyle w:val="Titulek"/>
        <w:framePr w:w="0" w:hSpace="0" w:wrap="auto" w:vAnchor="margin" w:hAnchor="text" w:xAlign="left" w:yAlign="inline"/>
        <w:rPr>
          <w:szCs w:val="22"/>
        </w:rPr>
      </w:pPr>
      <w:r w:rsidRPr="007812C8">
        <w:t xml:space="preserve">Tabulka č. </w:t>
      </w:r>
      <w:fldSimple w:instr=" SEQ Tabulka_č. \* ARABIC ">
        <w:r w:rsidR="00E3034F">
          <w:rPr>
            <w:noProof/>
          </w:rPr>
          <w:t>10</w:t>
        </w:r>
      </w:fldSimple>
      <w:r w:rsidR="001E666C" w:rsidRPr="007812C8">
        <w:rPr>
          <w:szCs w:val="22"/>
        </w:rPr>
        <w:t xml:space="preserve">: </w:t>
      </w:r>
      <w:r w:rsidR="007D1376" w:rsidRPr="007812C8">
        <w:rPr>
          <w:szCs w:val="22"/>
        </w:rPr>
        <w:t>Schválený rozpočet kapitoly Státní dluh na rok 201</w:t>
      </w:r>
      <w:r w:rsidR="007A685F">
        <w:rPr>
          <w:szCs w:val="22"/>
        </w:rPr>
        <w:t>7</w:t>
      </w:r>
      <w:r w:rsidR="007D1376" w:rsidRPr="007812C8">
        <w:rPr>
          <w:szCs w:val="22"/>
        </w:rPr>
        <w:t xml:space="preserve"> (Kč)</w:t>
      </w:r>
    </w:p>
    <w:p w:rsidR="001E666C" w:rsidRDefault="007A685F" w:rsidP="007812C8">
      <w:r w:rsidRPr="007A685F">
        <w:rPr>
          <w:noProof/>
        </w:rPr>
        <w:drawing>
          <wp:inline distT="0" distB="0" distL="0" distR="0" wp14:anchorId="65293098" wp14:editId="783A371E">
            <wp:extent cx="5760085" cy="206529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60085" cy="2065294"/>
                    </a:xfrm>
                    <a:prstGeom prst="rect">
                      <a:avLst/>
                    </a:prstGeom>
                    <a:noFill/>
                    <a:ln>
                      <a:noFill/>
                    </a:ln>
                  </pic:spPr>
                </pic:pic>
              </a:graphicData>
            </a:graphic>
          </wp:inline>
        </w:drawing>
      </w:r>
    </w:p>
    <w:p w:rsidR="001E666C" w:rsidRDefault="001E666C" w:rsidP="008677D6">
      <w:pPr>
        <w:pStyle w:val="Pramen"/>
      </w:pPr>
      <w:r w:rsidRPr="00084342">
        <w:t>Zdroj: MF</w:t>
      </w:r>
    </w:p>
    <w:p w:rsidR="00A65BAE" w:rsidRPr="00A752B2" w:rsidRDefault="00A65BAE" w:rsidP="00A65BAE">
      <w:r w:rsidRPr="00A752B2">
        <w:t>V kapitole 396 – Státní dluh v průběhu roku 2017 bylo realizováno 59 rozpočtových opatření, která v souhrnu snížila výdajový specifický ukazatel Obsluha státního dluhu, konkrétně výdajový okruh Úroky st</w:t>
      </w:r>
      <w:r>
        <w:t>átního dluhu, o 5 759 818 473</w:t>
      </w:r>
      <w:r w:rsidRPr="00A752B2">
        <w:t xml:space="preserve"> Kč. Jednalo se o  3  ROP realizovaná na základě usnesení vlády č. 228/2017, a to jednak o ROP v</w:t>
      </w:r>
      <w:r w:rsidR="000C0143">
        <w:t>e prospěch kapitoly 314 – MV ve </w:t>
      </w:r>
      <w:r w:rsidRPr="00A752B2">
        <w:t xml:space="preserve">výši 600 398 074 Kč určené na navýšení stupnice základních tarifů pro příslušníky bezpečnostních sborů Ministerstva vnitra, dále o ROP ve </w:t>
      </w:r>
      <w:r w:rsidR="000C0143">
        <w:t xml:space="preserve">prospěch kapitoly 336 – </w:t>
      </w:r>
      <w:proofErr w:type="spellStart"/>
      <w:r w:rsidR="000C0143">
        <w:t>MSpr</w:t>
      </w:r>
      <w:proofErr w:type="spellEnd"/>
      <w:r w:rsidR="000C0143">
        <w:t xml:space="preserve"> ve </w:t>
      </w:r>
      <w:r w:rsidRPr="00A752B2">
        <w:t xml:space="preserve">výši 147 574 000 Kč určené na navýšení stupnice základních tarifů pro příslušníky bezpečnostních sborů Vězeňské služby, a konečně o </w:t>
      </w:r>
      <w:proofErr w:type="gramStart"/>
      <w:r w:rsidRPr="00A752B2">
        <w:t>ROP</w:t>
      </w:r>
      <w:proofErr w:type="gramEnd"/>
      <w:r w:rsidRPr="00A752B2">
        <w:t xml:space="preserve"> v</w:t>
      </w:r>
      <w:r w:rsidR="000C0143">
        <w:t>e prospěch kapitoly 312 – MF ve </w:t>
      </w:r>
      <w:r w:rsidRPr="00A752B2">
        <w:t xml:space="preserve">výši 110 113 488 Kč určené na navýšení stupnice základních tarifů pro příslušníky bezpečnostních sborů Celní správy. S výše uvedenými ROP úzce souvisí i ROP ve prospěch kapitoly 305 – BIS ve výši 28 750 000 Kč na posílení běžných výdajů v reakci na legislativní změny vstupující v účinnost od 1. 7. 2017. Dále se jednalo o </w:t>
      </w:r>
      <w:proofErr w:type="gramStart"/>
      <w:r w:rsidRPr="00A752B2">
        <w:t>ROP</w:t>
      </w:r>
      <w:proofErr w:type="gramEnd"/>
      <w:r w:rsidRPr="00A752B2">
        <w:t xml:space="preserve"> ve prospěch kapitoly 313 – MPSV ve výši 462 305 856 Kč (usnesení vlády č. 423/2017) na dofinancování sociálních služeb. Realizováno bylo rovněž 13 rozpočtových opatření ve prospěch různých rozpočtových kapitol za účelem sloučení tarifních stupnic pro zaměstnanc</w:t>
      </w:r>
      <w:r w:rsidR="000C0143">
        <w:t>e v kultuře, ve zdravotnictví a </w:t>
      </w:r>
      <w:r w:rsidRPr="00A752B2">
        <w:t>v sociálních službách, nepedagogickým pracovníkům ve školství atd. od 1. 7. 2017 v celkové výši 541 471 732 Kč (usnesení vlády č. 408/2017). Dále bylo ve prospěch rozpočtových kapitol realizováno 32 rozpočtových opatření ke zvýšení platů v organizačních složkách státu a v příspěvkových organizacích od 1.</w:t>
      </w:r>
      <w:r w:rsidR="000C0143">
        <w:t> </w:t>
      </w:r>
      <w:r w:rsidRPr="00A752B2">
        <w:t>11.</w:t>
      </w:r>
      <w:r w:rsidR="000C0143">
        <w:t> </w:t>
      </w:r>
      <w:r w:rsidRPr="00A752B2">
        <w:t>20</w:t>
      </w:r>
      <w:r w:rsidR="000C0143">
        <w:t>17 v celkové výši 3 611 106 425 </w:t>
      </w:r>
      <w:r>
        <w:t xml:space="preserve">Kč </w:t>
      </w:r>
      <w:r w:rsidRPr="00A752B2">
        <w:t>(usnesení vlády č. 674/2017). S tímto usnesením vl</w:t>
      </w:r>
      <w:r w:rsidR="000C0143">
        <w:t>ády souvisí i ROP ve prospěch 5 </w:t>
      </w:r>
      <w:r w:rsidRPr="00A752B2">
        <w:t>samostatných kapitol v celkové výši 15 101 958 Kč na základě usnesení rozpočtového výboru PSP ČR č.</w:t>
      </w:r>
      <w:r w:rsidRPr="00272F40">
        <w:t xml:space="preserve"> </w:t>
      </w:r>
      <w:r w:rsidRPr="00A752B2">
        <w:t>  658 a rovněž ROP ve prospěch 3 rozpočtových kapitol s cílem posílení výdajů, které jsou součástí utajované části r</w:t>
      </w:r>
      <w:r w:rsidR="000C0143">
        <w:t>ozpočtu, a to v celkové výši 42 </w:t>
      </w:r>
      <w:r w:rsidRPr="00A752B2">
        <w:t>996 940 Kč. Konečně bylo realizováno ROP ve prospěch kapitoly 3</w:t>
      </w:r>
      <w:r>
        <w:t>27</w:t>
      </w:r>
      <w:r w:rsidR="000C0143">
        <w:t xml:space="preserve"> – MD ve výši 200 </w:t>
      </w:r>
      <w:r w:rsidRPr="00A752B2">
        <w:t>000 000 Kč na krytí deficitu rozpočtu SFDI.</w:t>
      </w:r>
    </w:p>
    <w:p w:rsidR="00854B4E" w:rsidRDefault="00A65BAE" w:rsidP="00A65BAE">
      <w:r w:rsidRPr="00A752B2">
        <w:t xml:space="preserve">V důsledku těchto opatření byl schválený rozpočet výdajů kapitoly 396 – Státní dluh snížen ze 46 342 500 000 Kč o 5 759 </w:t>
      </w:r>
      <w:r>
        <w:t>818 473 Kč na 40 582 681 527 Kč.</w:t>
      </w:r>
    </w:p>
    <w:p w:rsidR="00BC0177" w:rsidRPr="007812C8" w:rsidRDefault="007812C8" w:rsidP="007812C8">
      <w:pPr>
        <w:pStyle w:val="Titulek"/>
        <w:framePr w:w="0" w:hSpace="0" w:wrap="auto" w:vAnchor="margin" w:hAnchor="text" w:xAlign="left" w:yAlign="inline"/>
        <w:rPr>
          <w:szCs w:val="22"/>
        </w:rPr>
      </w:pPr>
      <w:r w:rsidRPr="007812C8">
        <w:lastRenderedPageBreak/>
        <w:t xml:space="preserve">Tabulka č. </w:t>
      </w:r>
      <w:fldSimple w:instr=" SEQ Tabulka_č. \* ARABIC ">
        <w:r w:rsidR="00E3034F">
          <w:rPr>
            <w:noProof/>
          </w:rPr>
          <w:t>11</w:t>
        </w:r>
      </w:fldSimple>
      <w:r w:rsidR="00BC0177" w:rsidRPr="007812C8">
        <w:rPr>
          <w:szCs w:val="22"/>
        </w:rPr>
        <w:t>: Rozpočet kapitoly Státní dluh na rok po provedení rozpočtových opatření (Kč)</w:t>
      </w:r>
    </w:p>
    <w:p w:rsidR="00BC0177" w:rsidRDefault="007D2A99" w:rsidP="00BC0177">
      <w:r w:rsidRPr="007D2A99">
        <w:rPr>
          <w:noProof/>
        </w:rPr>
        <w:drawing>
          <wp:inline distT="0" distB="0" distL="0" distR="0" wp14:anchorId="143B594D" wp14:editId="43DD9838">
            <wp:extent cx="5760085" cy="2064936"/>
            <wp:effectExtent l="0" t="0" r="0"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60085" cy="2064936"/>
                    </a:xfrm>
                    <a:prstGeom prst="rect">
                      <a:avLst/>
                    </a:prstGeom>
                    <a:noFill/>
                    <a:ln>
                      <a:noFill/>
                    </a:ln>
                  </pic:spPr>
                </pic:pic>
              </a:graphicData>
            </a:graphic>
          </wp:inline>
        </w:drawing>
      </w:r>
    </w:p>
    <w:p w:rsidR="00B06E76" w:rsidRDefault="00B06E76" w:rsidP="008677D6">
      <w:pPr>
        <w:pStyle w:val="Pramen"/>
      </w:pPr>
      <w:r w:rsidRPr="00084342">
        <w:t>Zdroj: MF</w:t>
      </w:r>
    </w:p>
    <w:p w:rsidR="00A65BAE" w:rsidRDefault="00A65BAE" w:rsidP="00A65BAE">
      <w:r w:rsidRPr="009B4FF6">
        <w:t xml:space="preserve">Schválený rozpočet ukazatele „Financování – zvýšení stavu státních dluhopisů“ činil </w:t>
      </w:r>
      <w:r w:rsidRPr="00EF1C45">
        <w:t>60</w:t>
      </w:r>
      <w:r w:rsidRPr="00A752B2">
        <w:t> </w:t>
      </w:r>
      <w:r w:rsidRPr="00EF1C45">
        <w:t>403</w:t>
      </w:r>
      <w:r w:rsidRPr="00A752B2">
        <w:t> </w:t>
      </w:r>
      <w:r w:rsidRPr="00EF1C45">
        <w:t xml:space="preserve"> 400</w:t>
      </w:r>
      <w:r>
        <w:t> </w:t>
      </w:r>
      <w:r w:rsidRPr="00EF1C45">
        <w:t>000</w:t>
      </w:r>
      <w:r>
        <w:t xml:space="preserve"> </w:t>
      </w:r>
      <w:r w:rsidRPr="009B4FF6">
        <w:t>Kč a schválený rozpočet ukazatele Financování – změna stavu na účtech státních finančních aktiv“ činil -</w:t>
      </w:r>
      <w:r w:rsidRPr="00D74DEF">
        <w:t>403 400</w:t>
      </w:r>
      <w:r>
        <w:t> </w:t>
      </w:r>
      <w:r w:rsidRPr="00D74DEF">
        <w:t>000</w:t>
      </w:r>
      <w:r>
        <w:t xml:space="preserve"> </w:t>
      </w:r>
      <w:r w:rsidRPr="009B4FF6">
        <w:t>Kč. V průběhu roku 201</w:t>
      </w:r>
      <w:r>
        <w:t xml:space="preserve">7 </w:t>
      </w:r>
      <w:r w:rsidRPr="009B4FF6">
        <w:t xml:space="preserve">došlo </w:t>
      </w:r>
      <w:r>
        <w:t>vlivem jednoho</w:t>
      </w:r>
      <w:r w:rsidRPr="009B4FF6">
        <w:t> </w:t>
      </w:r>
      <w:r w:rsidRPr="00D74DEF">
        <w:t xml:space="preserve"> ROP k celkovému navýšení ukazatele „Financování – změna stavu na účtech státních finančních aktiv“ ze -403 400 000 Kč na -351 216 274 Kč, tj. o 52 183 726 Kč, a to v</w:t>
      </w:r>
      <w:r w:rsidRPr="009B4FF6">
        <w:t> </w:t>
      </w:r>
      <w:r w:rsidRPr="00D74DEF">
        <w:t xml:space="preserve"> souvztažnosti se zvýšením výdajů kapitoly 397 – Operac</w:t>
      </w:r>
      <w:r w:rsidR="000C0143">
        <w:t>e státních finančních aktiv, na </w:t>
      </w:r>
      <w:r w:rsidRPr="00D74DEF">
        <w:t>základě § 2, od</w:t>
      </w:r>
      <w:r>
        <w:t xml:space="preserve">st. 2 zákona č. 457/2016 Sb. o </w:t>
      </w:r>
      <w:r w:rsidRPr="00D74DEF">
        <w:t>státním rozpočtu České republiky na rok 2017</w:t>
      </w:r>
      <w:r w:rsidRPr="009B4FF6">
        <w:t>.</w:t>
      </w:r>
    </w:p>
    <w:p w:rsidR="00142273" w:rsidRDefault="00A65BAE" w:rsidP="00A65BAE">
      <w:r w:rsidRPr="00250952">
        <w:t>Skutečnost dosažená v rámci ukazatele „Financování – zvýšení stavu státních dluhopisů“ v</w:t>
      </w:r>
      <w:r w:rsidRPr="00250952">
        <w:rPr>
          <w:bCs/>
        </w:rPr>
        <w:t> </w:t>
      </w:r>
      <w:r w:rsidRPr="00250952">
        <w:t xml:space="preserve">kapitole Státní dluh činila </w:t>
      </w:r>
      <w:r w:rsidRPr="00D74DEF">
        <w:t>7 171 570 250,69</w:t>
      </w:r>
      <w:r w:rsidRPr="00250952">
        <w:t xml:space="preserve"> Kč. Skutečnost dosažená v rámci ukazatele „Financování – změna stavu na účtech státních finančních aktiv“ v kapitole Státní dluh činila </w:t>
      </w:r>
      <w:r w:rsidRPr="00D74DEF">
        <w:t>-1 020 296 331,25</w:t>
      </w:r>
      <w:r w:rsidRPr="00250952">
        <w:t xml:space="preserve"> Kč. Celkem tak byl v roce 201</w:t>
      </w:r>
      <w:r>
        <w:t>7</w:t>
      </w:r>
      <w:r w:rsidRPr="00250952">
        <w:t xml:space="preserve"> </w:t>
      </w:r>
      <w:r>
        <w:t>financován schodek státního rozpočtu ve </w:t>
      </w:r>
      <w:r w:rsidRPr="00250952">
        <w:t xml:space="preserve">výši </w:t>
      </w:r>
      <w:r w:rsidRPr="00D74DEF">
        <w:t>6 151 273 919,44</w:t>
      </w:r>
      <w:r w:rsidRPr="00250952">
        <w:t xml:space="preserve"> Kč.</w:t>
      </w:r>
    </w:p>
    <w:p w:rsidR="00C76C93" w:rsidRPr="004317DB" w:rsidRDefault="00C76C93" w:rsidP="00F54BA1">
      <w:pPr>
        <w:pStyle w:val="Nadpis1"/>
        <w:numPr>
          <w:ilvl w:val="0"/>
          <w:numId w:val="30"/>
        </w:numPr>
        <w:ind w:left="587"/>
      </w:pPr>
      <w:bookmarkStart w:id="142" w:name="_Toc508286947"/>
      <w:bookmarkStart w:id="143" w:name="_Toc414003604"/>
      <w:bookmarkStart w:id="144" w:name="_Toc413691501"/>
      <w:bookmarkStart w:id="145" w:name="_Toc332814116"/>
      <w:r>
        <w:t>Řízení státního dluhu</w:t>
      </w:r>
      <w:bookmarkEnd w:id="142"/>
    </w:p>
    <w:p w:rsidR="00C76C93" w:rsidRPr="0054275E" w:rsidRDefault="00C76C93" w:rsidP="0054275E">
      <w:pPr>
        <w:pStyle w:val="Nadpis2"/>
        <w:numPr>
          <w:ilvl w:val="0"/>
          <w:numId w:val="46"/>
        </w:numPr>
      </w:pPr>
      <w:bookmarkStart w:id="146" w:name="_Toc414003605"/>
      <w:bookmarkStart w:id="147" w:name="_Toc508286948"/>
      <w:bookmarkEnd w:id="143"/>
      <w:r w:rsidRPr="0054275E">
        <w:t>Dluhová strategie a rezerva peněžních prostředků</w:t>
      </w:r>
      <w:bookmarkEnd w:id="146"/>
      <w:bookmarkEnd w:id="147"/>
    </w:p>
    <w:p w:rsidR="00E43B00" w:rsidRPr="0054275E" w:rsidRDefault="00E43B00" w:rsidP="0054275E">
      <w:pPr>
        <w:pStyle w:val="Odstavecseseznamem"/>
        <w:keepNext/>
        <w:numPr>
          <w:ilvl w:val="0"/>
          <w:numId w:val="1"/>
        </w:numPr>
        <w:spacing w:before="240" w:after="240"/>
        <w:jc w:val="left"/>
        <w:outlineLvl w:val="0"/>
        <w:rPr>
          <w:b/>
          <w:bCs/>
          <w:vanish/>
          <w:color w:val="365F91"/>
          <w:kern w:val="32"/>
          <w:sz w:val="28"/>
          <w:szCs w:val="32"/>
        </w:rPr>
      </w:pPr>
      <w:bookmarkStart w:id="148" w:name="_Toc476561333"/>
      <w:bookmarkStart w:id="149" w:name="_Toc476668416"/>
      <w:bookmarkStart w:id="150" w:name="_Toc476668819"/>
      <w:bookmarkStart w:id="151" w:name="_Toc508007402"/>
      <w:bookmarkStart w:id="152" w:name="_Toc508007491"/>
      <w:bookmarkStart w:id="153" w:name="_Toc508007577"/>
      <w:bookmarkStart w:id="154" w:name="_Toc508007620"/>
      <w:bookmarkStart w:id="155" w:name="_Toc508007723"/>
      <w:bookmarkStart w:id="156" w:name="_Toc508007766"/>
      <w:bookmarkStart w:id="157" w:name="_Toc508017727"/>
      <w:bookmarkStart w:id="158" w:name="_Toc508019495"/>
      <w:bookmarkStart w:id="159" w:name="_Toc508283339"/>
      <w:bookmarkStart w:id="160" w:name="_Toc508286688"/>
      <w:bookmarkStart w:id="161" w:name="_Toc508286949"/>
      <w:bookmarkStart w:id="162" w:name="_Toc414003606"/>
      <w:bookmarkEnd w:id="144"/>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p>
    <w:p w:rsidR="00E43B00" w:rsidRPr="0054275E" w:rsidRDefault="00E43B00" w:rsidP="0054275E">
      <w:pPr>
        <w:pStyle w:val="Odstavecseseznamem"/>
        <w:keepNext/>
        <w:numPr>
          <w:ilvl w:val="1"/>
          <w:numId w:val="1"/>
        </w:numPr>
        <w:spacing w:before="240" w:after="240"/>
        <w:jc w:val="left"/>
        <w:outlineLvl w:val="0"/>
        <w:rPr>
          <w:b/>
          <w:bCs/>
          <w:vanish/>
          <w:color w:val="365F91"/>
          <w:kern w:val="32"/>
          <w:sz w:val="28"/>
          <w:szCs w:val="32"/>
        </w:rPr>
      </w:pPr>
      <w:bookmarkStart w:id="163" w:name="_Toc476561334"/>
      <w:bookmarkStart w:id="164" w:name="_Toc476668417"/>
      <w:bookmarkStart w:id="165" w:name="_Toc476668820"/>
      <w:bookmarkStart w:id="166" w:name="_Toc508007403"/>
      <w:bookmarkStart w:id="167" w:name="_Toc508007492"/>
      <w:bookmarkStart w:id="168" w:name="_Toc508007578"/>
      <w:bookmarkStart w:id="169" w:name="_Toc508007621"/>
      <w:bookmarkStart w:id="170" w:name="_Toc508007724"/>
      <w:bookmarkStart w:id="171" w:name="_Toc508007767"/>
      <w:bookmarkStart w:id="172" w:name="_Toc508017728"/>
      <w:bookmarkStart w:id="173" w:name="_Toc508019496"/>
      <w:bookmarkStart w:id="174" w:name="_Toc508283340"/>
      <w:bookmarkStart w:id="175" w:name="_Toc508286689"/>
      <w:bookmarkStart w:id="176" w:name="_Toc508286950"/>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rsidR="00C76C93" w:rsidRPr="0054275E" w:rsidRDefault="00A45E8F" w:rsidP="0054275E">
      <w:pPr>
        <w:pStyle w:val="Nadpis3"/>
      </w:pPr>
      <w:bookmarkStart w:id="177" w:name="_Toc508286951"/>
      <w:r>
        <w:t>Strategie financování a řízení</w:t>
      </w:r>
      <w:r w:rsidR="00C76C93" w:rsidRPr="0054275E">
        <w:t xml:space="preserve"> státního dluhu</w:t>
      </w:r>
      <w:bookmarkStart w:id="178" w:name="_Toc414003607"/>
      <w:bookmarkEnd w:id="162"/>
      <w:bookmarkEnd w:id="177"/>
    </w:p>
    <w:p w:rsidR="00125B20" w:rsidRPr="0054275E" w:rsidRDefault="00F20C42" w:rsidP="0054275E">
      <w:r w:rsidRPr="00935310">
        <w:t>Základní rámec realizace financování státu pro rok 2017 a výchozí limity a cíle pro jednotlivé sledované ukazatele portfolia státního dluhu ve střednědobém výhledu</w:t>
      </w:r>
      <w:r w:rsidR="00A45E8F" w:rsidRPr="00AF548D">
        <w:t xml:space="preserve"> </w:t>
      </w:r>
      <w:r w:rsidR="00125B20" w:rsidRPr="0054275E">
        <w:t>byly konkretizovány v</w:t>
      </w:r>
      <w:r w:rsidR="00090FAC" w:rsidRPr="0054275E">
        <w:t> </w:t>
      </w:r>
      <w:r w:rsidR="00125B20" w:rsidRPr="0054275E">
        <w:t xml:space="preserve"> řídícím dokumentu Strategie financování a řízení státního dluhu České republiky na rok </w:t>
      </w:r>
      <w:r w:rsidR="00BE18F1" w:rsidRPr="0054275E">
        <w:t>201</w:t>
      </w:r>
      <w:r w:rsidR="00BE18F1">
        <w:t>7</w:t>
      </w:r>
      <w:r w:rsidR="00125B20" w:rsidRPr="0054275E">
        <w:t xml:space="preserve">, který byl schválen ministrem financí a prezentován veřejnosti dne </w:t>
      </w:r>
      <w:r w:rsidR="00BE18F1">
        <w:t>22</w:t>
      </w:r>
      <w:r w:rsidR="00125B20" w:rsidRPr="0054275E">
        <w:t xml:space="preserve">. prosince </w:t>
      </w:r>
      <w:r w:rsidR="00BE18F1" w:rsidRPr="0054275E">
        <w:t>201</w:t>
      </w:r>
      <w:r w:rsidR="00BE18F1">
        <w:t>6</w:t>
      </w:r>
      <w:r w:rsidR="000C0143">
        <w:t>, a </w:t>
      </w:r>
      <w:r w:rsidR="00125B20" w:rsidRPr="0054275E">
        <w:t>který vymezuje operační prostor pro taktické řízení státního dluhu a</w:t>
      </w:r>
      <w:r w:rsidR="003B1F5F" w:rsidRPr="0054275E">
        <w:t> </w:t>
      </w:r>
      <w:r w:rsidR="00125B20" w:rsidRPr="0054275E">
        <w:t xml:space="preserve">státních finančních aktiv prostřednictvím emisní činnosti, finančního investování a aktivních operací Ministerstva na sekundárním trhu. </w:t>
      </w:r>
      <w:r w:rsidR="00ED7014">
        <w:t xml:space="preserve">Na základě aktuálního vývoje potřeby financování, likvidity státní pokladny a vývoje situace na finančních trzích </w:t>
      </w:r>
      <w:r w:rsidR="0076436A">
        <w:t xml:space="preserve">pak </w:t>
      </w:r>
      <w:r w:rsidR="00125B20" w:rsidRPr="0054275E">
        <w:t xml:space="preserve">Ministerstvo </w:t>
      </w:r>
      <w:r w:rsidR="0076436A">
        <w:t>dne</w:t>
      </w:r>
      <w:r w:rsidR="00125B20" w:rsidRPr="0054275E">
        <w:t xml:space="preserve"> </w:t>
      </w:r>
      <w:r w:rsidR="00BE18F1">
        <w:t>30</w:t>
      </w:r>
      <w:r w:rsidR="00125B20" w:rsidRPr="0054275E">
        <w:t>. června uveřejnilo Strategii</w:t>
      </w:r>
      <w:r w:rsidR="003B1F5F" w:rsidRPr="0054275E">
        <w:t xml:space="preserve"> financování a </w:t>
      </w:r>
      <w:r w:rsidR="00125B20" w:rsidRPr="0054275E">
        <w:t xml:space="preserve">řízení státního dluhu České republiky na rok </w:t>
      </w:r>
      <w:r w:rsidR="00BE18F1" w:rsidRPr="0054275E">
        <w:t>201</w:t>
      </w:r>
      <w:r w:rsidR="00BE18F1">
        <w:t>7</w:t>
      </w:r>
      <w:r w:rsidR="00BE18F1" w:rsidRPr="0054275E">
        <w:t xml:space="preserve"> </w:t>
      </w:r>
      <w:r w:rsidR="00125B20" w:rsidRPr="0054275E">
        <w:t>- ak</w:t>
      </w:r>
      <w:r w:rsidR="000C0143">
        <w:t>tualizaci na </w:t>
      </w:r>
      <w:r w:rsidR="00125B20" w:rsidRPr="0054275E">
        <w:t>2. pololetí s aktualizovaným program</w:t>
      </w:r>
      <w:r w:rsidR="00BE18F1">
        <w:t>em</w:t>
      </w:r>
      <w:r w:rsidR="00125B20" w:rsidRPr="0054275E">
        <w:t xml:space="preserve"> financování.</w:t>
      </w:r>
    </w:p>
    <w:p w:rsidR="0076436A" w:rsidRDefault="0076436A" w:rsidP="00466DF0">
      <w:r w:rsidRPr="00935310">
        <w:t xml:space="preserve">V souvislosti s dostatečnou likviditou na souhrnných účtech státní pokladny a poměrně stabilními zůstatky těch majitelů účtů, kteří jsou pod souhrnné účty státní pokladny zahrnuti povinně, zefektivňováním a modernizací řízení likvidity státní pokladny vyhlašuje Ministerstvo strategické cíle a limity refinančního a úrokového rizika ve střednědobém horizontu. Tento koncept umožňuje pružnou reakci na krátkodobé tržní podmínky a na zájem investorů o instrumenty v určitém segmentu doby do splatnosti či doby do </w:t>
      </w:r>
      <w:proofErr w:type="spellStart"/>
      <w:r w:rsidRPr="00935310">
        <w:t>refixace</w:t>
      </w:r>
      <w:proofErr w:type="spellEnd"/>
      <w:r>
        <w:t>.</w:t>
      </w:r>
    </w:p>
    <w:p w:rsidR="0076436A" w:rsidRPr="00935310" w:rsidRDefault="0076436A" w:rsidP="004A2D58">
      <w:r w:rsidRPr="00935310">
        <w:lastRenderedPageBreak/>
        <w:t>Krátkodobé vychýlení ze stanovených strategických střednědobých limitů a cílů pro rizikové parametry dluhového portfolia pro refinanční a úrokové riziko je možné, avšak emisní činnost ve střednědobém horizontu bude plánována tak, aby limity a cíle definované v</w:t>
      </w:r>
      <w:r w:rsidR="00DD1461">
        <w:t>e</w:t>
      </w:r>
      <w:r w:rsidRPr="00935310">
        <w:t xml:space="preserve"> Strategii byly splněny</w:t>
      </w:r>
      <w:r w:rsidR="00DD1461">
        <w:t xml:space="preserve"> ve střednědobém horizontu</w:t>
      </w:r>
      <w:r w:rsidRPr="00935310">
        <w:t>.</w:t>
      </w:r>
    </w:p>
    <w:p w:rsidR="008052E3" w:rsidRPr="0054275E" w:rsidRDefault="00DD1461" w:rsidP="0054275E">
      <w:r>
        <w:t xml:space="preserve">I pro rok 2017 je ponechána koncepce řízení refinančního rizika u ukazatele průměrné doby do splatnosti státního dluhu a úrokového rizika u ukazatele průměrné doby do </w:t>
      </w:r>
      <w:proofErr w:type="spellStart"/>
      <w:r>
        <w:t>refixace</w:t>
      </w:r>
      <w:proofErr w:type="spellEnd"/>
      <w:r>
        <w:t xml:space="preserve"> státního dluhu prostřednictvím střednědobé cílové hodnoty.</w:t>
      </w:r>
      <w:r w:rsidR="008052E3" w:rsidRPr="0054275E">
        <w:t xml:space="preserve"> Důvodem je tržní situace, kdy je Ministerstvo emisemi na krátkém konci výnosové křivky </w:t>
      </w:r>
      <w:r>
        <w:t>dosahuje</w:t>
      </w:r>
      <w:r w:rsidR="008052E3" w:rsidRPr="0054275E">
        <w:t xml:space="preserve"> mimořádných úspor na obsluze státního dluhu, a je proto žádoucí této situace využívat v maximální přijatelné míře. Udržení pevně stanoveného pásma by tomuto záměru odporovalo. </w:t>
      </w:r>
    </w:p>
    <w:p w:rsidR="00125B20" w:rsidRPr="0054275E" w:rsidRDefault="00125B20" w:rsidP="008117EF">
      <w:pPr>
        <w:pStyle w:val="Titulek"/>
        <w:framePr w:w="0" w:hSpace="0" w:wrap="auto" w:vAnchor="margin" w:hAnchor="text" w:xAlign="left" w:yAlign="inline"/>
        <w:spacing w:after="120"/>
        <w:rPr>
          <w:rFonts w:eastAsia="Calibri"/>
          <w:sz w:val="20"/>
          <w:lang w:eastAsia="en-US"/>
        </w:rPr>
      </w:pPr>
      <w:r w:rsidRPr="0054275E">
        <w:t xml:space="preserve">Tabulka č. </w:t>
      </w:r>
      <w:fldSimple w:instr=" SEQ Tabulka_č. \* ARABIC ">
        <w:r w:rsidR="00E3034F">
          <w:rPr>
            <w:noProof/>
          </w:rPr>
          <w:t>12</w:t>
        </w:r>
      </w:fldSimple>
      <w:r w:rsidRPr="0054275E">
        <w:rPr>
          <w:szCs w:val="22"/>
        </w:rPr>
        <w:t xml:space="preserve">: </w:t>
      </w:r>
      <w:r w:rsidR="009A4782">
        <w:rPr>
          <w:szCs w:val="22"/>
        </w:rPr>
        <w:t>C</w:t>
      </w:r>
      <w:r w:rsidRPr="0054275E">
        <w:rPr>
          <w:szCs w:val="22"/>
        </w:rPr>
        <w:t xml:space="preserve">íle, limity a rizikové </w:t>
      </w:r>
      <w:r w:rsidRPr="0054275E">
        <w:rPr>
          <w:bCs/>
          <w:szCs w:val="22"/>
        </w:rPr>
        <w:t>parametry</w:t>
      </w:r>
      <w:r w:rsidRPr="0054275E">
        <w:rPr>
          <w:szCs w:val="22"/>
        </w:rPr>
        <w:t xml:space="preserve"> dluhového portfolia </w:t>
      </w:r>
    </w:p>
    <w:tbl>
      <w:tblPr>
        <w:tblW w:w="465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3"/>
        <w:gridCol w:w="2602"/>
        <w:gridCol w:w="2505"/>
      </w:tblGrid>
      <w:tr w:rsidR="00125B20" w:rsidRPr="0054275E" w:rsidTr="00D43AB6">
        <w:trPr>
          <w:trHeight w:val="315"/>
        </w:trPr>
        <w:tc>
          <w:tcPr>
            <w:tcW w:w="2048" w:type="pct"/>
            <w:shd w:val="clear" w:color="auto" w:fill="auto"/>
            <w:vAlign w:val="center"/>
          </w:tcPr>
          <w:p w:rsidR="00125B20" w:rsidRPr="0054275E" w:rsidRDefault="00125B20" w:rsidP="0054275E">
            <w:pPr>
              <w:spacing w:before="0"/>
              <w:jc w:val="left"/>
              <w:rPr>
                <w:rFonts w:eastAsia="Calibri"/>
                <w:b/>
                <w:sz w:val="20"/>
                <w:szCs w:val="20"/>
                <w:lang w:eastAsia="en-US"/>
              </w:rPr>
            </w:pPr>
            <w:r w:rsidRPr="0054275E">
              <w:rPr>
                <w:rFonts w:eastAsia="Calibri"/>
                <w:b/>
                <w:sz w:val="20"/>
                <w:szCs w:val="20"/>
                <w:lang w:eastAsia="en-US"/>
              </w:rPr>
              <w:t>UKAZATEL</w:t>
            </w:r>
          </w:p>
        </w:tc>
        <w:tc>
          <w:tcPr>
            <w:tcW w:w="1504" w:type="pct"/>
            <w:shd w:val="clear" w:color="auto" w:fill="auto"/>
            <w:vAlign w:val="center"/>
          </w:tcPr>
          <w:p w:rsidR="00125B20" w:rsidRPr="0054275E" w:rsidRDefault="009A4782" w:rsidP="009A4782">
            <w:pPr>
              <w:pStyle w:val="Tabulka-blue"/>
              <w:spacing w:before="0"/>
              <w:jc w:val="center"/>
              <w:rPr>
                <w:rFonts w:ascii="Times New Roman" w:hAnsi="Times New Roman" w:cs="Times New Roman"/>
                <w:color w:val="auto"/>
                <w:sz w:val="20"/>
                <w:szCs w:val="20"/>
              </w:rPr>
            </w:pPr>
            <w:r w:rsidRPr="0054275E">
              <w:rPr>
                <w:rFonts w:ascii="Times New Roman" w:hAnsi="Times New Roman" w:cs="Times New Roman"/>
                <w:color w:val="auto"/>
                <w:sz w:val="20"/>
                <w:szCs w:val="20"/>
              </w:rPr>
              <w:t>Vyhlášen</w:t>
            </w:r>
            <w:r>
              <w:rPr>
                <w:rFonts w:ascii="Times New Roman" w:hAnsi="Times New Roman" w:cs="Times New Roman"/>
                <w:color w:val="auto"/>
                <w:sz w:val="20"/>
                <w:szCs w:val="20"/>
              </w:rPr>
              <w:t>é</w:t>
            </w:r>
            <w:r w:rsidRPr="0054275E">
              <w:rPr>
                <w:rFonts w:ascii="Times New Roman" w:hAnsi="Times New Roman" w:cs="Times New Roman"/>
                <w:color w:val="auto"/>
                <w:sz w:val="20"/>
                <w:szCs w:val="20"/>
              </w:rPr>
              <w:t xml:space="preserve"> </w:t>
            </w:r>
            <w:r w:rsidR="00125B20" w:rsidRPr="0054275E">
              <w:rPr>
                <w:rFonts w:ascii="Times New Roman" w:hAnsi="Times New Roman" w:cs="Times New Roman"/>
                <w:color w:val="auto"/>
                <w:sz w:val="20"/>
                <w:szCs w:val="20"/>
              </w:rPr>
              <w:t>cíl</w:t>
            </w:r>
            <w:r>
              <w:rPr>
                <w:rFonts w:ascii="Times New Roman" w:hAnsi="Times New Roman" w:cs="Times New Roman"/>
                <w:color w:val="auto"/>
                <w:sz w:val="20"/>
                <w:szCs w:val="20"/>
              </w:rPr>
              <w:t>e a limity</w:t>
            </w:r>
            <w:r w:rsidR="00125B20" w:rsidRPr="0054275E">
              <w:rPr>
                <w:rFonts w:ascii="Times New Roman" w:hAnsi="Times New Roman" w:cs="Times New Roman"/>
                <w:color w:val="auto"/>
                <w:sz w:val="20"/>
                <w:szCs w:val="20"/>
              </w:rPr>
              <w:t xml:space="preserve"> pro </w:t>
            </w:r>
            <w:r w:rsidR="00555C0D" w:rsidRPr="0054275E">
              <w:rPr>
                <w:rFonts w:ascii="Times New Roman" w:hAnsi="Times New Roman" w:cs="Times New Roman"/>
                <w:color w:val="auto"/>
                <w:sz w:val="20"/>
                <w:szCs w:val="20"/>
              </w:rPr>
              <w:t xml:space="preserve">střednědobý horizont </w:t>
            </w:r>
          </w:p>
        </w:tc>
        <w:tc>
          <w:tcPr>
            <w:tcW w:w="1448" w:type="pct"/>
            <w:shd w:val="clear" w:color="auto" w:fill="auto"/>
            <w:vAlign w:val="center"/>
          </w:tcPr>
          <w:p w:rsidR="00125B20" w:rsidRPr="0054275E" w:rsidRDefault="00125B20" w:rsidP="009A4782">
            <w:pPr>
              <w:pStyle w:val="Tabulka-blue"/>
              <w:spacing w:before="0"/>
              <w:jc w:val="center"/>
              <w:rPr>
                <w:rFonts w:ascii="Times New Roman" w:hAnsi="Times New Roman" w:cs="Times New Roman"/>
                <w:color w:val="auto"/>
                <w:sz w:val="20"/>
                <w:szCs w:val="20"/>
              </w:rPr>
            </w:pPr>
            <w:proofErr w:type="gramStart"/>
            <w:r w:rsidRPr="0054275E">
              <w:rPr>
                <w:rFonts w:ascii="Times New Roman" w:hAnsi="Times New Roman" w:cs="Times New Roman"/>
                <w:color w:val="auto"/>
                <w:sz w:val="20"/>
                <w:szCs w:val="20"/>
              </w:rPr>
              <w:t>31.12.</w:t>
            </w:r>
            <w:r w:rsidR="009A4782" w:rsidRPr="0054275E">
              <w:rPr>
                <w:rFonts w:ascii="Times New Roman" w:hAnsi="Times New Roman" w:cs="Times New Roman"/>
                <w:color w:val="auto"/>
                <w:sz w:val="20"/>
                <w:szCs w:val="20"/>
              </w:rPr>
              <w:t>201</w:t>
            </w:r>
            <w:r w:rsidR="009A4782">
              <w:rPr>
                <w:rFonts w:ascii="Times New Roman" w:hAnsi="Times New Roman" w:cs="Times New Roman"/>
                <w:color w:val="auto"/>
                <w:sz w:val="20"/>
                <w:szCs w:val="20"/>
              </w:rPr>
              <w:t>7</w:t>
            </w:r>
            <w:proofErr w:type="gramEnd"/>
          </w:p>
        </w:tc>
      </w:tr>
      <w:tr w:rsidR="00125B20" w:rsidRPr="0054275E" w:rsidTr="00D43AB6">
        <w:trPr>
          <w:trHeight w:val="315"/>
        </w:trPr>
        <w:tc>
          <w:tcPr>
            <w:tcW w:w="2048" w:type="pct"/>
            <w:shd w:val="clear" w:color="auto" w:fill="auto"/>
            <w:vAlign w:val="center"/>
          </w:tcPr>
          <w:p w:rsidR="00125B20" w:rsidRPr="0054275E" w:rsidRDefault="00125B20" w:rsidP="0054275E">
            <w:pPr>
              <w:pStyle w:val="Tabulka-blue"/>
              <w:spacing w:before="0"/>
              <w:rPr>
                <w:rFonts w:ascii="Times New Roman" w:hAnsi="Times New Roman" w:cs="Times New Roman"/>
                <w:color w:val="auto"/>
                <w:sz w:val="20"/>
                <w:szCs w:val="20"/>
              </w:rPr>
            </w:pPr>
            <w:r w:rsidRPr="0054275E">
              <w:rPr>
                <w:rFonts w:ascii="Times New Roman" w:hAnsi="Times New Roman" w:cs="Times New Roman"/>
                <w:color w:val="auto"/>
                <w:sz w:val="20"/>
                <w:szCs w:val="20"/>
              </w:rPr>
              <w:t>Krátkodobý státní dluh</w:t>
            </w:r>
          </w:p>
        </w:tc>
        <w:tc>
          <w:tcPr>
            <w:tcW w:w="1504" w:type="pct"/>
            <w:shd w:val="clear" w:color="auto" w:fill="auto"/>
            <w:vAlign w:val="center"/>
          </w:tcPr>
          <w:p w:rsidR="00125B20" w:rsidRPr="0054275E" w:rsidRDefault="00125B20" w:rsidP="0054275E">
            <w:pPr>
              <w:spacing w:before="0"/>
              <w:jc w:val="center"/>
              <w:rPr>
                <w:rFonts w:eastAsia="Calibri"/>
                <w:sz w:val="20"/>
                <w:szCs w:val="20"/>
                <w:lang w:eastAsia="en-US"/>
              </w:rPr>
            </w:pPr>
            <w:r w:rsidRPr="0054275E">
              <w:rPr>
                <w:rFonts w:eastAsia="Calibri"/>
                <w:sz w:val="20"/>
                <w:szCs w:val="20"/>
                <w:lang w:eastAsia="en-US"/>
              </w:rPr>
              <w:t>20,0 % a méně</w:t>
            </w:r>
          </w:p>
        </w:tc>
        <w:tc>
          <w:tcPr>
            <w:tcW w:w="1448" w:type="pct"/>
            <w:shd w:val="clear" w:color="auto" w:fill="auto"/>
            <w:vAlign w:val="center"/>
          </w:tcPr>
          <w:p w:rsidR="00125B20" w:rsidRPr="0054275E" w:rsidRDefault="00D7460A" w:rsidP="0054275E">
            <w:pPr>
              <w:spacing w:before="0"/>
              <w:jc w:val="center"/>
              <w:rPr>
                <w:rFonts w:eastAsia="Calibri"/>
                <w:sz w:val="20"/>
                <w:szCs w:val="20"/>
                <w:lang w:eastAsia="en-US"/>
              </w:rPr>
            </w:pPr>
            <w:r>
              <w:rPr>
                <w:rFonts w:eastAsia="Calibri"/>
                <w:sz w:val="20"/>
                <w:szCs w:val="20"/>
                <w:lang w:eastAsia="en-US"/>
              </w:rPr>
              <w:t>18,5</w:t>
            </w:r>
            <w:r w:rsidR="00125B20" w:rsidRPr="0054275E">
              <w:rPr>
                <w:rFonts w:eastAsia="Calibri"/>
                <w:sz w:val="20"/>
                <w:szCs w:val="20"/>
                <w:lang w:eastAsia="en-US"/>
              </w:rPr>
              <w:t xml:space="preserve"> %</w:t>
            </w:r>
          </w:p>
        </w:tc>
      </w:tr>
      <w:tr w:rsidR="00125B20" w:rsidRPr="0054275E" w:rsidTr="00D43AB6">
        <w:trPr>
          <w:trHeight w:val="315"/>
        </w:trPr>
        <w:tc>
          <w:tcPr>
            <w:tcW w:w="2048" w:type="pct"/>
            <w:shd w:val="clear" w:color="auto" w:fill="auto"/>
            <w:vAlign w:val="center"/>
          </w:tcPr>
          <w:p w:rsidR="00125B20" w:rsidRPr="0054275E" w:rsidRDefault="00125B20" w:rsidP="0054275E">
            <w:pPr>
              <w:pStyle w:val="Tabulka-blue"/>
              <w:spacing w:before="0"/>
              <w:jc w:val="both"/>
              <w:rPr>
                <w:rFonts w:ascii="Times New Roman" w:hAnsi="Times New Roman" w:cs="Times New Roman"/>
                <w:color w:val="auto"/>
                <w:sz w:val="20"/>
                <w:szCs w:val="20"/>
              </w:rPr>
            </w:pPr>
            <w:r w:rsidRPr="0054275E">
              <w:rPr>
                <w:rFonts w:ascii="Times New Roman" w:hAnsi="Times New Roman" w:cs="Times New Roman"/>
                <w:color w:val="auto"/>
                <w:sz w:val="20"/>
                <w:szCs w:val="20"/>
              </w:rPr>
              <w:t>Střednědobý státní dluh</w:t>
            </w:r>
          </w:p>
        </w:tc>
        <w:tc>
          <w:tcPr>
            <w:tcW w:w="1504" w:type="pct"/>
            <w:shd w:val="clear" w:color="auto" w:fill="auto"/>
            <w:vAlign w:val="center"/>
          </w:tcPr>
          <w:p w:rsidR="00125B20" w:rsidRPr="0054275E" w:rsidRDefault="00125B20" w:rsidP="0054275E">
            <w:pPr>
              <w:spacing w:before="0"/>
              <w:jc w:val="center"/>
              <w:rPr>
                <w:rFonts w:eastAsia="Calibri"/>
                <w:sz w:val="20"/>
                <w:szCs w:val="20"/>
                <w:lang w:eastAsia="en-US"/>
              </w:rPr>
            </w:pPr>
            <w:r w:rsidRPr="0054275E">
              <w:rPr>
                <w:rFonts w:eastAsia="Calibri"/>
                <w:sz w:val="20"/>
                <w:szCs w:val="20"/>
                <w:lang w:eastAsia="en-US"/>
              </w:rPr>
              <w:t>70,0 % a méně</w:t>
            </w:r>
          </w:p>
        </w:tc>
        <w:tc>
          <w:tcPr>
            <w:tcW w:w="1448" w:type="pct"/>
            <w:shd w:val="clear" w:color="auto" w:fill="auto"/>
            <w:vAlign w:val="center"/>
          </w:tcPr>
          <w:p w:rsidR="00125B20" w:rsidRPr="0054275E" w:rsidRDefault="00D7460A" w:rsidP="0054275E">
            <w:pPr>
              <w:spacing w:before="0"/>
              <w:jc w:val="center"/>
              <w:rPr>
                <w:rFonts w:eastAsia="Calibri"/>
                <w:sz w:val="20"/>
                <w:szCs w:val="20"/>
                <w:lang w:eastAsia="en-US"/>
              </w:rPr>
            </w:pPr>
            <w:r>
              <w:rPr>
                <w:rFonts w:eastAsia="Calibri"/>
                <w:sz w:val="20"/>
                <w:szCs w:val="20"/>
                <w:lang w:eastAsia="en-US"/>
              </w:rPr>
              <w:t>62,3</w:t>
            </w:r>
            <w:r w:rsidR="00125B20" w:rsidRPr="0054275E">
              <w:rPr>
                <w:rFonts w:eastAsia="Calibri"/>
                <w:sz w:val="20"/>
                <w:szCs w:val="20"/>
                <w:lang w:eastAsia="en-US"/>
              </w:rPr>
              <w:t xml:space="preserve"> %</w:t>
            </w:r>
          </w:p>
        </w:tc>
      </w:tr>
      <w:tr w:rsidR="00125B20" w:rsidRPr="0054275E" w:rsidTr="00D43AB6">
        <w:trPr>
          <w:trHeight w:val="315"/>
        </w:trPr>
        <w:tc>
          <w:tcPr>
            <w:tcW w:w="2048" w:type="pct"/>
            <w:shd w:val="clear" w:color="auto" w:fill="auto"/>
            <w:vAlign w:val="center"/>
          </w:tcPr>
          <w:p w:rsidR="00125B20" w:rsidRPr="0054275E" w:rsidRDefault="00125B20" w:rsidP="0054275E">
            <w:pPr>
              <w:pStyle w:val="Tabulka-blue"/>
              <w:spacing w:before="0"/>
              <w:rPr>
                <w:rFonts w:ascii="Times New Roman" w:hAnsi="Times New Roman" w:cs="Times New Roman"/>
                <w:color w:val="auto"/>
                <w:sz w:val="20"/>
                <w:szCs w:val="20"/>
              </w:rPr>
            </w:pPr>
            <w:r w:rsidRPr="0054275E">
              <w:rPr>
                <w:rFonts w:ascii="Times New Roman" w:hAnsi="Times New Roman" w:cs="Times New Roman"/>
                <w:color w:val="auto"/>
                <w:sz w:val="20"/>
                <w:szCs w:val="20"/>
              </w:rPr>
              <w:t>Průměrná doba do splatnosti</w:t>
            </w:r>
          </w:p>
        </w:tc>
        <w:tc>
          <w:tcPr>
            <w:tcW w:w="1504" w:type="pct"/>
            <w:shd w:val="clear" w:color="auto" w:fill="auto"/>
            <w:vAlign w:val="center"/>
          </w:tcPr>
          <w:p w:rsidR="00125B20" w:rsidRPr="0054275E" w:rsidRDefault="00125B20" w:rsidP="0054275E">
            <w:pPr>
              <w:spacing w:before="0"/>
              <w:jc w:val="center"/>
              <w:rPr>
                <w:rFonts w:eastAsia="Calibri"/>
                <w:sz w:val="20"/>
                <w:szCs w:val="20"/>
                <w:lang w:eastAsia="en-US"/>
              </w:rPr>
            </w:pPr>
            <w:r w:rsidRPr="0054275E">
              <w:rPr>
                <w:rFonts w:eastAsia="Calibri"/>
                <w:sz w:val="20"/>
                <w:szCs w:val="20"/>
                <w:lang w:eastAsia="en-US"/>
              </w:rPr>
              <w:t xml:space="preserve">6,0 </w:t>
            </w:r>
            <w:r w:rsidR="00555C0D" w:rsidRPr="0054275E">
              <w:rPr>
                <w:rFonts w:eastAsia="Calibri"/>
                <w:sz w:val="20"/>
                <w:szCs w:val="20"/>
                <w:lang w:eastAsia="en-US"/>
              </w:rPr>
              <w:t>roku</w:t>
            </w:r>
            <w:r w:rsidR="00555C0D" w:rsidRPr="0054275E">
              <w:rPr>
                <w:rFonts w:eastAsia="Calibri"/>
                <w:sz w:val="20"/>
                <w:szCs w:val="20"/>
                <w:vertAlign w:val="superscript"/>
                <w:lang w:eastAsia="en-US"/>
              </w:rPr>
              <w:t>1</w:t>
            </w:r>
          </w:p>
        </w:tc>
        <w:tc>
          <w:tcPr>
            <w:tcW w:w="1448" w:type="pct"/>
            <w:shd w:val="clear" w:color="auto" w:fill="auto"/>
            <w:vAlign w:val="center"/>
          </w:tcPr>
          <w:p w:rsidR="00125B20" w:rsidRPr="0054275E" w:rsidRDefault="00125B20" w:rsidP="0054275E">
            <w:pPr>
              <w:spacing w:before="0"/>
              <w:jc w:val="center"/>
              <w:rPr>
                <w:rFonts w:eastAsia="Calibri"/>
                <w:sz w:val="20"/>
                <w:szCs w:val="20"/>
                <w:lang w:eastAsia="en-US"/>
              </w:rPr>
            </w:pPr>
            <w:r w:rsidRPr="0054275E">
              <w:rPr>
                <w:rFonts w:eastAsia="Calibri"/>
                <w:sz w:val="20"/>
                <w:szCs w:val="20"/>
                <w:lang w:eastAsia="en-US"/>
              </w:rPr>
              <w:t>5,</w:t>
            </w:r>
            <w:r w:rsidR="008052E3" w:rsidRPr="0054275E">
              <w:rPr>
                <w:rFonts w:eastAsia="Calibri"/>
                <w:sz w:val="20"/>
                <w:szCs w:val="20"/>
                <w:lang w:eastAsia="en-US"/>
              </w:rPr>
              <w:t>0</w:t>
            </w:r>
            <w:r w:rsidRPr="0054275E">
              <w:rPr>
                <w:rFonts w:eastAsia="Calibri"/>
                <w:sz w:val="20"/>
                <w:szCs w:val="20"/>
                <w:lang w:eastAsia="en-US"/>
              </w:rPr>
              <w:t xml:space="preserve"> </w:t>
            </w:r>
            <w:r w:rsidR="008052E3" w:rsidRPr="0054275E">
              <w:rPr>
                <w:rFonts w:eastAsia="Calibri"/>
                <w:sz w:val="20"/>
                <w:szCs w:val="20"/>
                <w:lang w:eastAsia="en-US"/>
              </w:rPr>
              <w:t>roku</w:t>
            </w:r>
          </w:p>
        </w:tc>
      </w:tr>
      <w:tr w:rsidR="00125B20" w:rsidRPr="0054275E" w:rsidTr="00D43AB6">
        <w:trPr>
          <w:trHeight w:val="315"/>
        </w:trPr>
        <w:tc>
          <w:tcPr>
            <w:tcW w:w="2048" w:type="pct"/>
            <w:shd w:val="clear" w:color="auto" w:fill="auto"/>
            <w:vAlign w:val="center"/>
          </w:tcPr>
          <w:p w:rsidR="00125B20" w:rsidRPr="0054275E" w:rsidRDefault="00125B20" w:rsidP="0054275E">
            <w:pPr>
              <w:pStyle w:val="Tabulka-blue"/>
              <w:spacing w:before="0"/>
              <w:rPr>
                <w:rFonts w:ascii="Times New Roman" w:hAnsi="Times New Roman" w:cs="Times New Roman"/>
                <w:color w:val="auto"/>
                <w:sz w:val="20"/>
                <w:szCs w:val="20"/>
              </w:rPr>
            </w:pPr>
            <w:r w:rsidRPr="0054275E">
              <w:rPr>
                <w:rFonts w:ascii="Times New Roman" w:hAnsi="Times New Roman" w:cs="Times New Roman"/>
                <w:color w:val="auto"/>
                <w:sz w:val="20"/>
                <w:szCs w:val="20"/>
              </w:rPr>
              <w:t xml:space="preserve">Úroková </w:t>
            </w:r>
            <w:proofErr w:type="spellStart"/>
            <w:r w:rsidRPr="0054275E">
              <w:rPr>
                <w:rFonts w:ascii="Times New Roman" w:hAnsi="Times New Roman" w:cs="Times New Roman"/>
                <w:color w:val="auto"/>
                <w:sz w:val="20"/>
                <w:szCs w:val="20"/>
              </w:rPr>
              <w:t>refixace</w:t>
            </w:r>
            <w:proofErr w:type="spellEnd"/>
            <w:r w:rsidRPr="0054275E">
              <w:rPr>
                <w:rFonts w:ascii="Times New Roman" w:hAnsi="Times New Roman" w:cs="Times New Roman"/>
                <w:color w:val="auto"/>
                <w:sz w:val="20"/>
                <w:szCs w:val="20"/>
              </w:rPr>
              <w:t xml:space="preserve"> do 1 roku</w:t>
            </w:r>
          </w:p>
        </w:tc>
        <w:tc>
          <w:tcPr>
            <w:tcW w:w="1504" w:type="pct"/>
            <w:shd w:val="clear" w:color="auto" w:fill="auto"/>
            <w:vAlign w:val="center"/>
          </w:tcPr>
          <w:p w:rsidR="00125B20" w:rsidRPr="0054275E" w:rsidRDefault="00125B20" w:rsidP="0054275E">
            <w:pPr>
              <w:spacing w:before="0"/>
              <w:jc w:val="center"/>
              <w:rPr>
                <w:rFonts w:eastAsia="Calibri"/>
                <w:sz w:val="20"/>
                <w:szCs w:val="20"/>
                <w:lang w:eastAsia="en-US"/>
              </w:rPr>
            </w:pPr>
            <w:r w:rsidRPr="0054275E">
              <w:rPr>
                <w:rFonts w:eastAsia="Calibri"/>
                <w:sz w:val="20"/>
                <w:szCs w:val="20"/>
                <w:lang w:eastAsia="en-US"/>
              </w:rPr>
              <w:t>30,0 až 40,0 %</w:t>
            </w:r>
          </w:p>
        </w:tc>
        <w:tc>
          <w:tcPr>
            <w:tcW w:w="1448" w:type="pct"/>
            <w:shd w:val="clear" w:color="auto" w:fill="auto"/>
            <w:vAlign w:val="center"/>
          </w:tcPr>
          <w:p w:rsidR="00125B20" w:rsidRPr="0054275E" w:rsidRDefault="00D7460A" w:rsidP="0054275E">
            <w:pPr>
              <w:spacing w:before="0"/>
              <w:jc w:val="center"/>
              <w:rPr>
                <w:rFonts w:eastAsia="Calibri"/>
                <w:sz w:val="20"/>
                <w:szCs w:val="20"/>
                <w:lang w:eastAsia="en-US"/>
              </w:rPr>
            </w:pPr>
            <w:r>
              <w:rPr>
                <w:rFonts w:eastAsia="Calibri"/>
                <w:sz w:val="20"/>
                <w:szCs w:val="20"/>
                <w:lang w:eastAsia="en-US"/>
              </w:rPr>
              <w:t>33,5</w:t>
            </w:r>
            <w:r w:rsidR="00125B20" w:rsidRPr="0054275E">
              <w:rPr>
                <w:rFonts w:eastAsia="Calibri"/>
                <w:sz w:val="20"/>
                <w:szCs w:val="20"/>
                <w:lang w:eastAsia="en-US"/>
              </w:rPr>
              <w:t xml:space="preserve"> %</w:t>
            </w:r>
          </w:p>
        </w:tc>
      </w:tr>
      <w:tr w:rsidR="00125B20" w:rsidRPr="0054275E" w:rsidTr="00D43AB6">
        <w:trPr>
          <w:trHeight w:val="315"/>
        </w:trPr>
        <w:tc>
          <w:tcPr>
            <w:tcW w:w="2048" w:type="pct"/>
            <w:shd w:val="clear" w:color="auto" w:fill="auto"/>
            <w:vAlign w:val="center"/>
          </w:tcPr>
          <w:p w:rsidR="00125B20" w:rsidRPr="0054275E" w:rsidRDefault="00125B20" w:rsidP="0054275E">
            <w:pPr>
              <w:pStyle w:val="Tabulka-blue"/>
              <w:spacing w:before="0"/>
              <w:rPr>
                <w:rFonts w:ascii="Times New Roman" w:hAnsi="Times New Roman" w:cs="Times New Roman"/>
                <w:color w:val="auto"/>
                <w:sz w:val="20"/>
                <w:szCs w:val="20"/>
              </w:rPr>
            </w:pPr>
            <w:r w:rsidRPr="0054275E">
              <w:rPr>
                <w:rFonts w:ascii="Times New Roman" w:hAnsi="Times New Roman" w:cs="Times New Roman"/>
                <w:color w:val="auto"/>
                <w:sz w:val="20"/>
                <w:szCs w:val="20"/>
              </w:rPr>
              <w:t xml:space="preserve">Průměrná doba do </w:t>
            </w:r>
            <w:proofErr w:type="spellStart"/>
            <w:r w:rsidRPr="0054275E">
              <w:rPr>
                <w:rFonts w:ascii="Times New Roman" w:hAnsi="Times New Roman" w:cs="Times New Roman"/>
                <w:color w:val="auto"/>
                <w:sz w:val="20"/>
                <w:szCs w:val="20"/>
              </w:rPr>
              <w:t>refixace</w:t>
            </w:r>
            <w:proofErr w:type="spellEnd"/>
          </w:p>
        </w:tc>
        <w:tc>
          <w:tcPr>
            <w:tcW w:w="1504" w:type="pct"/>
            <w:shd w:val="clear" w:color="auto" w:fill="auto"/>
            <w:vAlign w:val="center"/>
          </w:tcPr>
          <w:p w:rsidR="00125B20" w:rsidRPr="0054275E" w:rsidRDefault="00125B20" w:rsidP="0054275E">
            <w:pPr>
              <w:spacing w:before="0"/>
              <w:jc w:val="center"/>
              <w:rPr>
                <w:rFonts w:eastAsia="Calibri"/>
                <w:sz w:val="20"/>
                <w:szCs w:val="20"/>
                <w:lang w:eastAsia="en-US"/>
              </w:rPr>
            </w:pPr>
            <w:r w:rsidRPr="0054275E">
              <w:rPr>
                <w:rFonts w:eastAsia="Calibri"/>
                <w:sz w:val="20"/>
                <w:szCs w:val="20"/>
                <w:lang w:eastAsia="en-US"/>
              </w:rPr>
              <w:t xml:space="preserve">4,0 </w:t>
            </w:r>
            <w:r w:rsidR="00555C0D" w:rsidRPr="0054275E">
              <w:rPr>
                <w:rFonts w:eastAsia="Calibri"/>
                <w:sz w:val="20"/>
                <w:szCs w:val="20"/>
                <w:lang w:eastAsia="en-US"/>
              </w:rPr>
              <w:t>roku</w:t>
            </w:r>
          </w:p>
        </w:tc>
        <w:tc>
          <w:tcPr>
            <w:tcW w:w="1448" w:type="pct"/>
            <w:shd w:val="clear" w:color="auto" w:fill="auto"/>
            <w:vAlign w:val="center"/>
          </w:tcPr>
          <w:p w:rsidR="00125B20" w:rsidRPr="0054275E" w:rsidRDefault="00D7460A" w:rsidP="0054275E">
            <w:pPr>
              <w:spacing w:before="0"/>
              <w:jc w:val="center"/>
              <w:rPr>
                <w:rFonts w:eastAsia="Calibri"/>
                <w:sz w:val="20"/>
                <w:szCs w:val="20"/>
                <w:lang w:eastAsia="en-US"/>
              </w:rPr>
            </w:pPr>
            <w:r>
              <w:rPr>
                <w:rFonts w:eastAsia="Calibri"/>
                <w:sz w:val="20"/>
                <w:szCs w:val="20"/>
                <w:lang w:eastAsia="en-US"/>
              </w:rPr>
              <w:t>4,1</w:t>
            </w:r>
            <w:r w:rsidR="00125B20" w:rsidRPr="0054275E">
              <w:rPr>
                <w:rFonts w:eastAsia="Calibri"/>
                <w:sz w:val="20"/>
                <w:szCs w:val="20"/>
                <w:lang w:eastAsia="en-US"/>
              </w:rPr>
              <w:t xml:space="preserve"> </w:t>
            </w:r>
            <w:r w:rsidR="008052E3" w:rsidRPr="0054275E">
              <w:rPr>
                <w:rFonts w:eastAsia="Calibri"/>
                <w:sz w:val="20"/>
                <w:szCs w:val="20"/>
                <w:lang w:eastAsia="en-US"/>
              </w:rPr>
              <w:t>roku</w:t>
            </w:r>
          </w:p>
        </w:tc>
      </w:tr>
      <w:tr w:rsidR="00125B20" w:rsidRPr="0054275E" w:rsidTr="00D43AB6">
        <w:trPr>
          <w:trHeight w:val="315"/>
        </w:trPr>
        <w:tc>
          <w:tcPr>
            <w:tcW w:w="2048" w:type="pct"/>
            <w:shd w:val="clear" w:color="auto" w:fill="auto"/>
            <w:vAlign w:val="center"/>
          </w:tcPr>
          <w:p w:rsidR="00125B20" w:rsidRPr="0054275E" w:rsidRDefault="00125B20" w:rsidP="0054275E">
            <w:pPr>
              <w:pStyle w:val="Tabulka-blue"/>
              <w:spacing w:before="0"/>
              <w:rPr>
                <w:rFonts w:ascii="Times New Roman" w:hAnsi="Times New Roman" w:cs="Times New Roman"/>
                <w:color w:val="auto"/>
                <w:sz w:val="20"/>
                <w:szCs w:val="20"/>
              </w:rPr>
            </w:pPr>
            <w:r w:rsidRPr="0054275E">
              <w:rPr>
                <w:rFonts w:ascii="Times New Roman" w:hAnsi="Times New Roman" w:cs="Times New Roman"/>
                <w:color w:val="auto"/>
                <w:sz w:val="20"/>
                <w:szCs w:val="20"/>
              </w:rPr>
              <w:t xml:space="preserve">Čistá </w:t>
            </w:r>
            <w:proofErr w:type="spellStart"/>
            <w:r w:rsidRPr="0054275E">
              <w:rPr>
                <w:rFonts w:ascii="Times New Roman" w:hAnsi="Times New Roman" w:cs="Times New Roman"/>
                <w:color w:val="auto"/>
                <w:sz w:val="20"/>
                <w:szCs w:val="20"/>
              </w:rPr>
              <w:t>cizoměnová</w:t>
            </w:r>
            <w:proofErr w:type="spellEnd"/>
            <w:r w:rsidRPr="0054275E">
              <w:rPr>
                <w:rFonts w:ascii="Times New Roman" w:hAnsi="Times New Roman" w:cs="Times New Roman"/>
                <w:color w:val="auto"/>
                <w:sz w:val="20"/>
                <w:szCs w:val="20"/>
              </w:rPr>
              <w:t xml:space="preserve"> expozice státního dluhu s dopadem na výši státního dluhu</w:t>
            </w:r>
          </w:p>
        </w:tc>
        <w:tc>
          <w:tcPr>
            <w:tcW w:w="1504" w:type="pct"/>
            <w:shd w:val="clear" w:color="auto" w:fill="auto"/>
            <w:vAlign w:val="center"/>
          </w:tcPr>
          <w:p w:rsidR="00125B20" w:rsidRPr="0054275E" w:rsidRDefault="008C5278" w:rsidP="0054275E">
            <w:pPr>
              <w:spacing w:before="0"/>
              <w:jc w:val="center"/>
              <w:rPr>
                <w:rFonts w:eastAsia="Calibri"/>
                <w:sz w:val="20"/>
                <w:szCs w:val="20"/>
                <w:lang w:eastAsia="en-US"/>
              </w:rPr>
            </w:pPr>
            <w:r w:rsidRPr="0054275E">
              <w:rPr>
                <w:rFonts w:eastAsia="Calibri"/>
                <w:sz w:val="20"/>
                <w:szCs w:val="20"/>
                <w:lang w:eastAsia="en-US"/>
              </w:rPr>
              <w:t>15,0 %</w:t>
            </w:r>
            <w:r w:rsidRPr="0054275E">
              <w:rPr>
                <w:rFonts w:eastAsia="Calibri"/>
                <w:sz w:val="20"/>
                <w:szCs w:val="20"/>
                <w:vertAlign w:val="superscript"/>
                <w:lang w:eastAsia="en-US"/>
              </w:rPr>
              <w:t>2</w:t>
            </w:r>
          </w:p>
        </w:tc>
        <w:tc>
          <w:tcPr>
            <w:tcW w:w="1448" w:type="pct"/>
            <w:shd w:val="clear" w:color="auto" w:fill="auto"/>
            <w:vAlign w:val="center"/>
          </w:tcPr>
          <w:p w:rsidR="00125B20" w:rsidRPr="0054275E" w:rsidRDefault="00D7460A" w:rsidP="0054275E">
            <w:pPr>
              <w:spacing w:before="0"/>
              <w:jc w:val="center"/>
              <w:rPr>
                <w:rFonts w:eastAsia="Calibri"/>
                <w:sz w:val="20"/>
                <w:szCs w:val="20"/>
                <w:lang w:eastAsia="en-US"/>
              </w:rPr>
            </w:pPr>
            <w:r>
              <w:rPr>
                <w:rFonts w:eastAsia="Calibri"/>
                <w:sz w:val="20"/>
                <w:szCs w:val="20"/>
                <w:lang w:eastAsia="en-US"/>
              </w:rPr>
              <w:t>10,9</w:t>
            </w:r>
            <w:r w:rsidR="00125B20" w:rsidRPr="0054275E">
              <w:rPr>
                <w:rFonts w:eastAsia="Calibri"/>
                <w:sz w:val="20"/>
                <w:szCs w:val="20"/>
                <w:lang w:eastAsia="en-US"/>
              </w:rPr>
              <w:t xml:space="preserve"> %</w:t>
            </w:r>
          </w:p>
        </w:tc>
      </w:tr>
      <w:tr w:rsidR="00125B20" w:rsidRPr="0054275E" w:rsidTr="00D43AB6">
        <w:trPr>
          <w:trHeight w:val="315"/>
        </w:trPr>
        <w:tc>
          <w:tcPr>
            <w:tcW w:w="2048" w:type="pct"/>
            <w:shd w:val="clear" w:color="auto" w:fill="auto"/>
            <w:vAlign w:val="center"/>
          </w:tcPr>
          <w:p w:rsidR="00125B20" w:rsidRPr="0054275E" w:rsidRDefault="00125B20" w:rsidP="0054275E">
            <w:pPr>
              <w:pStyle w:val="Tabulka-blue"/>
              <w:spacing w:before="0"/>
              <w:rPr>
                <w:rFonts w:ascii="Times New Roman" w:hAnsi="Times New Roman" w:cs="Times New Roman"/>
                <w:color w:val="auto"/>
                <w:sz w:val="20"/>
                <w:szCs w:val="20"/>
              </w:rPr>
            </w:pPr>
            <w:r w:rsidRPr="0054275E">
              <w:rPr>
                <w:rFonts w:ascii="Times New Roman" w:hAnsi="Times New Roman" w:cs="Times New Roman"/>
                <w:color w:val="auto"/>
                <w:sz w:val="20"/>
                <w:szCs w:val="20"/>
              </w:rPr>
              <w:t xml:space="preserve">Čistá </w:t>
            </w:r>
            <w:proofErr w:type="spellStart"/>
            <w:r w:rsidRPr="0054275E">
              <w:rPr>
                <w:rFonts w:ascii="Times New Roman" w:hAnsi="Times New Roman" w:cs="Times New Roman"/>
                <w:color w:val="auto"/>
                <w:sz w:val="20"/>
                <w:szCs w:val="20"/>
              </w:rPr>
              <w:t>cizoměnová</w:t>
            </w:r>
            <w:proofErr w:type="spellEnd"/>
            <w:r w:rsidRPr="0054275E">
              <w:rPr>
                <w:rFonts w:ascii="Times New Roman" w:hAnsi="Times New Roman" w:cs="Times New Roman"/>
                <w:color w:val="auto"/>
                <w:sz w:val="20"/>
                <w:szCs w:val="20"/>
              </w:rPr>
              <w:t xml:space="preserve"> expozice státního dluhu s dopadem výši úrokových výdajů na obsluhu státního dluhu</w:t>
            </w:r>
          </w:p>
        </w:tc>
        <w:tc>
          <w:tcPr>
            <w:tcW w:w="1504" w:type="pct"/>
            <w:shd w:val="clear" w:color="auto" w:fill="auto"/>
            <w:vAlign w:val="center"/>
          </w:tcPr>
          <w:p w:rsidR="00125B20" w:rsidRPr="0054275E" w:rsidRDefault="008C5278" w:rsidP="0054275E">
            <w:pPr>
              <w:spacing w:before="0"/>
              <w:jc w:val="center"/>
              <w:rPr>
                <w:rFonts w:eastAsia="Calibri"/>
                <w:sz w:val="20"/>
                <w:szCs w:val="20"/>
                <w:lang w:eastAsia="en-US"/>
              </w:rPr>
            </w:pPr>
            <w:r w:rsidRPr="0054275E">
              <w:rPr>
                <w:rFonts w:eastAsia="Calibri"/>
                <w:sz w:val="20"/>
                <w:szCs w:val="20"/>
                <w:lang w:eastAsia="en-US"/>
              </w:rPr>
              <w:t>15,0 %</w:t>
            </w:r>
            <w:r w:rsidRPr="0054275E">
              <w:rPr>
                <w:rFonts w:eastAsia="Calibri"/>
                <w:sz w:val="20"/>
                <w:szCs w:val="20"/>
                <w:vertAlign w:val="superscript"/>
                <w:lang w:eastAsia="en-US"/>
              </w:rPr>
              <w:t>2</w:t>
            </w:r>
          </w:p>
        </w:tc>
        <w:tc>
          <w:tcPr>
            <w:tcW w:w="1448" w:type="pct"/>
            <w:shd w:val="clear" w:color="auto" w:fill="auto"/>
            <w:vAlign w:val="center"/>
          </w:tcPr>
          <w:p w:rsidR="00125B20" w:rsidRPr="0054275E" w:rsidRDefault="00D7460A" w:rsidP="0054275E">
            <w:pPr>
              <w:spacing w:before="0"/>
              <w:jc w:val="center"/>
              <w:rPr>
                <w:rFonts w:eastAsia="Calibri"/>
                <w:sz w:val="20"/>
                <w:szCs w:val="20"/>
                <w:lang w:eastAsia="en-US"/>
              </w:rPr>
            </w:pPr>
            <w:r>
              <w:rPr>
                <w:rFonts w:eastAsia="Calibri"/>
                <w:sz w:val="20"/>
                <w:szCs w:val="20"/>
                <w:lang w:eastAsia="en-US"/>
              </w:rPr>
              <w:t>11,0</w:t>
            </w:r>
            <w:r w:rsidR="00125B20" w:rsidRPr="0054275E">
              <w:rPr>
                <w:rFonts w:eastAsia="Calibri"/>
                <w:sz w:val="20"/>
                <w:szCs w:val="20"/>
                <w:lang w:eastAsia="en-US"/>
              </w:rPr>
              <w:t xml:space="preserve"> %</w:t>
            </w:r>
          </w:p>
        </w:tc>
      </w:tr>
    </w:tbl>
    <w:p w:rsidR="008C5278" w:rsidRPr="0054275E" w:rsidRDefault="008C5278" w:rsidP="008677D6">
      <w:pPr>
        <w:pStyle w:val="Pramen"/>
      </w:pPr>
      <w:r w:rsidRPr="0054275E">
        <w:rPr>
          <w:vertAlign w:val="superscript"/>
        </w:rPr>
        <w:t>1</w:t>
      </w:r>
      <w:r w:rsidRPr="0054275E">
        <w:t xml:space="preserve"> S možností odchylky 0,25 roku.</w:t>
      </w:r>
    </w:p>
    <w:p w:rsidR="008052E3" w:rsidRPr="0054275E" w:rsidRDefault="008C5278" w:rsidP="008677D6">
      <w:pPr>
        <w:pStyle w:val="Pramen"/>
      </w:pPr>
      <w:r w:rsidRPr="0054275E">
        <w:rPr>
          <w:vertAlign w:val="superscript"/>
        </w:rPr>
        <w:t>2</w:t>
      </w:r>
      <w:r w:rsidRPr="0054275E">
        <w:t>V případě nenadálé depreciace domácí měny je možné krátkodobé překročení o 2 p.</w:t>
      </w:r>
      <w:r w:rsidR="008052E3" w:rsidRPr="0054275E">
        <w:t xml:space="preserve"> </w:t>
      </w:r>
      <w:r w:rsidRPr="0054275E">
        <w:t>b. Limitní hranice stanovená Ministerstvem je platná pro každý rok střednědobého horizontu bez možnosti jejího dlouhodobého překročení, avšak její výše je podmíněna tím, že nedojde k výraznějšímu oslabení kurzu koruny.</w:t>
      </w:r>
    </w:p>
    <w:p w:rsidR="00125B20" w:rsidRPr="0054275E" w:rsidRDefault="00125B20" w:rsidP="008677D6">
      <w:pPr>
        <w:pStyle w:val="Pramen"/>
      </w:pPr>
      <w:r w:rsidRPr="0054275E">
        <w:t>Zdroj: MF</w:t>
      </w:r>
    </w:p>
    <w:p w:rsidR="000C0143" w:rsidRDefault="00D7460A" w:rsidP="00935310">
      <w:pPr>
        <w:rPr>
          <w:spacing w:val="3"/>
        </w:rPr>
      </w:pPr>
      <w:r>
        <w:t>Podíl krátkodobého státního dluhu ke konci roku 2017 činil 18,5 % celkového státního dluhu, což představuje nárůst o 4</w:t>
      </w:r>
      <w:r w:rsidR="00090FAC">
        <w:t xml:space="preserve">,2 p. b. </w:t>
      </w:r>
      <w:proofErr w:type="gramStart"/>
      <w:r w:rsidR="00935310">
        <w:t>oproti</w:t>
      </w:r>
      <w:proofErr w:type="gramEnd"/>
      <w:r w:rsidR="00935310">
        <w:t xml:space="preserve"> konci roku 2016,</w:t>
      </w:r>
      <w:r>
        <w:t xml:space="preserve"> avšak stále se nachází pod limitní hranicí platnou pro střednědobý horizont. Průměrná měsíční hodnota podílu krátkodobého státního dluhu na celkovém státním dluhu v roce 2017 činí 22,4 %</w:t>
      </w:r>
      <w:r w:rsidR="0033727C">
        <w:t>,</w:t>
      </w:r>
      <w:r>
        <w:t xml:space="preserve"> když oproti</w:t>
      </w:r>
      <w:r w:rsidR="00090FAC">
        <w:t xml:space="preserve"> roku 2016 vzrostla o 6,6 p. b.</w:t>
      </w:r>
      <w:r w:rsidR="0033727C">
        <w:t xml:space="preserve"> </w:t>
      </w:r>
      <w:proofErr w:type="gramStart"/>
      <w:r>
        <w:t>zejména</w:t>
      </w:r>
      <w:proofErr w:type="gramEnd"/>
      <w:r>
        <w:t xml:space="preserve"> díky mimořádně výhodné situaci na finančním trhu, kdy Ministerstvo za účelem získání dodatečných příjmů státního rozpočtu prakticky po celý rok 2017 ve větší míře emitovalo státní pokladniční poukázky splatné převážně v roce 2017.</w:t>
      </w:r>
      <w:r w:rsidR="00090FAC">
        <w:t xml:space="preserve"> </w:t>
      </w:r>
      <w:r w:rsidR="00F4558D">
        <w:rPr>
          <w:spacing w:val="-2"/>
        </w:rPr>
        <w:t>Hodnota podílu střednědobého státního dluhu na celkovém státním dluhu ke konci roku 2017 činí 62,3 %, a ačkoliv oproti konci roku 2016 narostla o 2,0 p. b., ukazatel se stále nachází bezpečně pod stanovenou limitní hranicí stanovenou pro střednědobý horizont. Průměrná měsíční hodnota podílu střednědobého státního dluhu na celkovém státním dluhu v roce 2017 činí 63,9 % a oproti průměrné měsíční hodnotě tohoto ukazatele v roce 2016 narostla o 3,5 p. b.</w:t>
      </w:r>
      <w:r w:rsidR="00935310">
        <w:rPr>
          <w:spacing w:val="-2"/>
        </w:rPr>
        <w:t xml:space="preserve"> </w:t>
      </w:r>
      <w:r w:rsidR="00F4558D">
        <w:t>Průměrná doba do splatnosti státního dluhu ke konci roku 2017 dosahuje hodnoty 5,0 roku a oproti roku 2016 klesla o 0,1 roku. Za tímto poklesem výhradně stojí flexibilní reakce Ministerstva na tržní podmínky ke konci roku 2017, kdy emitovalo státní pokladniční poukázky splatné v roce 2018 za záporný výnos. Kdyby Ministerstvo této příznivé situace nevyužilo a tyto státní pokladniční poukázky neemitovalo, průměrná doba do splatnosti státního dluhu ke konci roku 2017 by se nacházela na stejné úr</w:t>
      </w:r>
      <w:r w:rsidR="0033727C">
        <w:t xml:space="preserve">ovni jako ke konci roku 2016. </w:t>
      </w:r>
      <w:r w:rsidR="00F4558D">
        <w:t xml:space="preserve">Průměrná měsíční hodnota průměrné doby do splatnosti státního dluhu v roce 2017 činí </w:t>
      </w:r>
      <w:r w:rsidR="00F4558D">
        <w:lastRenderedPageBreak/>
        <w:t>4,7</w:t>
      </w:r>
      <w:r w:rsidR="0033727C">
        <w:t> </w:t>
      </w:r>
      <w:r w:rsidR="00F4558D">
        <w:t xml:space="preserve"> roku a oproti průměrné hodnotě tohoto ukazatele v roce 2016 poklesla o 0,3 roku, což převážně souvisí se zvýšenou emisí státních pokladničních poukázek za záporný výnos v</w:t>
      </w:r>
      <w:r w:rsidR="0033727C">
        <w:t> </w:t>
      </w:r>
      <w:r w:rsidR="00F4558D">
        <w:t xml:space="preserve"> průběhu celého roku 2017.</w:t>
      </w:r>
      <w:r w:rsidR="0033727C">
        <w:t xml:space="preserve"> </w:t>
      </w:r>
      <w:r w:rsidR="000F4262">
        <w:t xml:space="preserve">Průměrná doba do </w:t>
      </w:r>
      <w:proofErr w:type="spellStart"/>
      <w:r w:rsidR="000F4262">
        <w:t>refixace</w:t>
      </w:r>
      <w:proofErr w:type="spellEnd"/>
      <w:r w:rsidR="000F4262">
        <w:t xml:space="preserve"> státního dluhu ke konci roku 2017 činí 4,1 roku a nachází se tak nad úrovní cílové hodnoty pro střednědobý horizont. Oproti konci roku 2016 dochází k nárůstu tohoto ukazatele o 0,1 roku. Průměrná měsíční hodnota průměrné doby do </w:t>
      </w:r>
      <w:proofErr w:type="spellStart"/>
      <w:r w:rsidR="000F4262">
        <w:t>refixace</w:t>
      </w:r>
      <w:proofErr w:type="spellEnd"/>
      <w:r w:rsidR="000F4262">
        <w:t xml:space="preserve"> státního dluhu v roce 2017 činí 3,8 roku a oproti roku 2016 poklesla o 0,1 roku.</w:t>
      </w:r>
      <w:r w:rsidR="0033727C">
        <w:t xml:space="preserve"> </w:t>
      </w:r>
      <w:r w:rsidR="00FC3AA5">
        <w:t xml:space="preserve">Podíl úrokové </w:t>
      </w:r>
      <w:proofErr w:type="spellStart"/>
      <w:r w:rsidR="00FC3AA5">
        <w:t>refixace</w:t>
      </w:r>
      <w:proofErr w:type="spellEnd"/>
      <w:r w:rsidR="00FC3AA5">
        <w:t xml:space="preserve"> do jednoho roku na celkovém státním dluhu se ke konci roku 2017 pohybuje na úrovni 33,5 %, a drží se tak uvnitř střednědobého cílového pásma. Oproti konci roku 2016</w:t>
      </w:r>
      <w:r w:rsidR="0033727C">
        <w:t xml:space="preserve"> </w:t>
      </w:r>
      <w:r w:rsidR="00FC3AA5">
        <w:t xml:space="preserve">činí nárůst tohoto ukazatele 3,9 p. b. Průměrná měsíční hodnota úrokové </w:t>
      </w:r>
      <w:proofErr w:type="spellStart"/>
      <w:r w:rsidR="00FC3AA5">
        <w:t>refixace</w:t>
      </w:r>
      <w:proofErr w:type="spellEnd"/>
      <w:r w:rsidR="00FC3AA5">
        <w:t xml:space="preserve"> do jednoho roku na celkovém státním dluhu v roce 2017 činí 36,6</w:t>
      </w:r>
      <w:r w:rsidR="0033727C">
        <w:t> </w:t>
      </w:r>
      <w:r w:rsidR="00FC3AA5">
        <w:t xml:space="preserve"> %. Oproti roku 2016 vzrostla průměrná měsíční hodnota úrokové </w:t>
      </w:r>
      <w:proofErr w:type="spellStart"/>
      <w:r w:rsidR="00FC3AA5">
        <w:t>refixace</w:t>
      </w:r>
      <w:proofErr w:type="spellEnd"/>
      <w:r w:rsidR="00FC3AA5">
        <w:t xml:space="preserve"> do jednoho roku v roce 2017 o 4,6 p. b. </w:t>
      </w:r>
      <w:r w:rsidR="00FC3AA5">
        <w:rPr>
          <w:spacing w:val="3"/>
        </w:rPr>
        <w:t xml:space="preserve">Ke konci roku 2017 činí hodnota podílu čisté </w:t>
      </w:r>
      <w:proofErr w:type="spellStart"/>
      <w:r w:rsidR="00FC3AA5">
        <w:rPr>
          <w:spacing w:val="3"/>
        </w:rPr>
        <w:t>cizoměnové</w:t>
      </w:r>
      <w:proofErr w:type="spellEnd"/>
      <w:r w:rsidR="00FC3AA5">
        <w:rPr>
          <w:spacing w:val="3"/>
        </w:rPr>
        <w:t xml:space="preserve"> expozice s dopadem na výši státního dluhu 10,9 % celkového státního dluhu a pohybuje se tak bezpečně pod svojí limitní hranicí. Oproti konci roku 2016 došlo k poklesu ukazatele o</w:t>
      </w:r>
      <w:r w:rsidR="0033727C">
        <w:t> </w:t>
      </w:r>
      <w:r w:rsidR="00FC3AA5">
        <w:rPr>
          <w:spacing w:val="3"/>
        </w:rPr>
        <w:t xml:space="preserve"> 0,6 p. b. Hodnota podílu čisté </w:t>
      </w:r>
      <w:proofErr w:type="spellStart"/>
      <w:r w:rsidR="00FC3AA5">
        <w:rPr>
          <w:spacing w:val="3"/>
        </w:rPr>
        <w:t>cizoměnové</w:t>
      </w:r>
      <w:proofErr w:type="spellEnd"/>
      <w:r w:rsidR="00FC3AA5">
        <w:rPr>
          <w:spacing w:val="3"/>
        </w:rPr>
        <w:t xml:space="preserve"> expozice s dopadem na výši úrokových výdajů na obsluhu státního dluhu činí ke konci roku 2017 11,0 % celkového státního dluhu a pohybuje se tak bezpečně pod svojí limitní hranicí. Oproti konci roku 2016 došlo k</w:t>
      </w:r>
      <w:r w:rsidR="0033727C">
        <w:t> </w:t>
      </w:r>
      <w:r w:rsidR="00FC3AA5">
        <w:rPr>
          <w:spacing w:val="3"/>
        </w:rPr>
        <w:t xml:space="preserve"> poklesu ukazatele o 0,6 p. b. </w:t>
      </w:r>
    </w:p>
    <w:p w:rsidR="00C1399A" w:rsidRDefault="00B900A6" w:rsidP="00935310">
      <w:r>
        <w:t>Očekáváné čisté výdaje činily 46,0 mld. Kč. Skutečně dosažené čisté výdaje kapitoly v roce 2017 činí 39,8 mld. Kč, tj. zhruba 0,8 % HDP a 3,1 % celkových příjmů státního rozpočtu bez zahrnutí příjmů kapitoly 396 – Státní dluh. Rozdíl skutečných čistých výdajů oproti původně schválenému rozpočtu ve výši 46,3 mld. Kč činí 6,6 mld. Kč, což částečně přispělo k lepšímu než očekávanému hospodaření státního rozpočtu v roce</w:t>
      </w:r>
      <w:r w:rsidR="000C0143">
        <w:t xml:space="preserve"> 2017. Rozdíl mezi skutečnými a </w:t>
      </w:r>
      <w:r>
        <w:t>rozpočtovanými čistými výdaji je zapříčiněn především nižšími výdaji, zatímco příjmy dosáhly mírně vyšší úrovně oproti schválenému rozpočtu. Oproti roku 2016 došlo k poklesu čistých výdajů o cca 2,2 %.</w:t>
      </w:r>
      <w:r>
        <w:rPr>
          <w:spacing w:val="-2"/>
        </w:rPr>
        <w:t xml:space="preserve"> </w:t>
      </w:r>
      <w:r w:rsidR="00C1399A">
        <w:t>Srovnání skutečně realizovaných čistých úrokových výdajů státního dluhu se simulovanými hodnotami očekávaných výdajů (průměrem simulací) a úrokových výdajů v riziku (95% a 99% kvantil simulací) v letech 2016 a 2017 zachycuje následující tabulka. V roce 2017 činí čisté úrokové výdaje 39,4 mld. Kč, očekávané čisté úrokové výdaje v roce 2017 predikované modelem se nacházejí na úrovni 45,6 mld. Kč.</w:t>
      </w:r>
    </w:p>
    <w:p w:rsidR="00125B20" w:rsidRPr="0054275E" w:rsidRDefault="00125B20" w:rsidP="008117EF">
      <w:pPr>
        <w:pStyle w:val="Titulek"/>
        <w:framePr w:w="0" w:hSpace="0" w:wrap="auto" w:vAnchor="margin" w:hAnchor="text" w:xAlign="left" w:yAlign="inline"/>
        <w:spacing w:after="120"/>
        <w:rPr>
          <w:szCs w:val="22"/>
        </w:rPr>
      </w:pPr>
      <w:r w:rsidRPr="0054275E">
        <w:t xml:space="preserve">Tabulka č. </w:t>
      </w:r>
      <w:fldSimple w:instr=" SEQ Tabulka_č. \* ARABIC ">
        <w:r w:rsidR="00E3034F">
          <w:rPr>
            <w:noProof/>
          </w:rPr>
          <w:t>13</w:t>
        </w:r>
      </w:fldSimple>
      <w:r w:rsidRPr="0054275E">
        <w:rPr>
          <w:szCs w:val="22"/>
        </w:rPr>
        <w:t xml:space="preserve">: Očekávané vs. skutečné čisté úrokové výdaje v roce </w:t>
      </w:r>
      <w:r w:rsidR="00C1399A" w:rsidRPr="0054275E">
        <w:rPr>
          <w:bCs/>
          <w:szCs w:val="22"/>
        </w:rPr>
        <w:t>201</w:t>
      </w:r>
      <w:r w:rsidR="00C1399A">
        <w:rPr>
          <w:bCs/>
          <w:szCs w:val="22"/>
        </w:rPr>
        <w:t>6</w:t>
      </w:r>
      <w:r w:rsidR="00C1399A" w:rsidRPr="0054275E">
        <w:rPr>
          <w:szCs w:val="22"/>
        </w:rPr>
        <w:t xml:space="preserve"> </w:t>
      </w:r>
      <w:r w:rsidRPr="0054275E">
        <w:rPr>
          <w:szCs w:val="22"/>
        </w:rPr>
        <w:t>a </w:t>
      </w:r>
      <w:r w:rsidR="00C1399A" w:rsidRPr="0054275E">
        <w:rPr>
          <w:szCs w:val="22"/>
        </w:rPr>
        <w:t>201</w:t>
      </w:r>
      <w:r w:rsidR="00C1399A">
        <w:rPr>
          <w:szCs w:val="22"/>
        </w:rPr>
        <w:t>7</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2285"/>
        <w:gridCol w:w="2285"/>
      </w:tblGrid>
      <w:tr w:rsidR="00125B20" w:rsidRPr="0054275E" w:rsidTr="00D43AB6">
        <w:trPr>
          <w:trHeight w:val="293"/>
        </w:trPr>
        <w:tc>
          <w:tcPr>
            <w:tcW w:w="4253" w:type="dxa"/>
            <w:shd w:val="clear" w:color="auto" w:fill="auto"/>
          </w:tcPr>
          <w:p w:rsidR="00125B20" w:rsidRPr="0054275E" w:rsidRDefault="00125B20" w:rsidP="0054275E">
            <w:pPr>
              <w:spacing w:before="0"/>
              <w:jc w:val="left"/>
              <w:rPr>
                <w:rFonts w:eastAsia="Calibri"/>
                <w:sz w:val="20"/>
                <w:szCs w:val="20"/>
                <w:lang w:eastAsia="en-US"/>
              </w:rPr>
            </w:pPr>
            <w:r w:rsidRPr="0054275E">
              <w:rPr>
                <w:rFonts w:eastAsia="Calibri"/>
                <w:sz w:val="20"/>
                <w:szCs w:val="20"/>
                <w:lang w:eastAsia="en-US"/>
              </w:rPr>
              <w:t>mld. Kč</w:t>
            </w:r>
          </w:p>
        </w:tc>
        <w:tc>
          <w:tcPr>
            <w:tcW w:w="2285" w:type="dxa"/>
            <w:shd w:val="clear" w:color="auto" w:fill="auto"/>
          </w:tcPr>
          <w:p w:rsidR="00125B20" w:rsidRPr="0054275E" w:rsidRDefault="00C1399A" w:rsidP="00C1399A">
            <w:pPr>
              <w:pStyle w:val="Tabulka-blue"/>
              <w:spacing w:before="0" w:line="240" w:lineRule="auto"/>
              <w:jc w:val="center"/>
              <w:rPr>
                <w:rFonts w:ascii="Times New Roman" w:hAnsi="Times New Roman" w:cs="Times New Roman"/>
                <w:color w:val="auto"/>
                <w:sz w:val="20"/>
                <w:szCs w:val="20"/>
              </w:rPr>
            </w:pPr>
            <w:r w:rsidRPr="0054275E">
              <w:rPr>
                <w:rFonts w:ascii="Times New Roman" w:hAnsi="Times New Roman" w:cs="Times New Roman"/>
                <w:color w:val="auto"/>
                <w:w w:val="101"/>
                <w:sz w:val="20"/>
                <w:szCs w:val="20"/>
              </w:rPr>
              <w:t>201</w:t>
            </w:r>
            <w:r>
              <w:rPr>
                <w:rFonts w:ascii="Times New Roman" w:hAnsi="Times New Roman" w:cs="Times New Roman"/>
                <w:color w:val="auto"/>
                <w:w w:val="101"/>
                <w:sz w:val="20"/>
                <w:szCs w:val="20"/>
              </w:rPr>
              <w:t>6</w:t>
            </w:r>
          </w:p>
        </w:tc>
        <w:tc>
          <w:tcPr>
            <w:tcW w:w="2285" w:type="dxa"/>
            <w:shd w:val="clear" w:color="auto" w:fill="auto"/>
          </w:tcPr>
          <w:p w:rsidR="00125B20" w:rsidRPr="0054275E" w:rsidRDefault="00C1399A" w:rsidP="00C1399A">
            <w:pPr>
              <w:pStyle w:val="Tabulka-blue"/>
              <w:spacing w:before="0" w:line="240" w:lineRule="auto"/>
              <w:jc w:val="center"/>
              <w:rPr>
                <w:rFonts w:ascii="Times New Roman" w:hAnsi="Times New Roman" w:cs="Times New Roman"/>
                <w:color w:val="auto"/>
                <w:sz w:val="20"/>
                <w:szCs w:val="20"/>
              </w:rPr>
            </w:pPr>
            <w:r w:rsidRPr="0054275E">
              <w:rPr>
                <w:rFonts w:ascii="Times New Roman" w:hAnsi="Times New Roman" w:cs="Times New Roman"/>
                <w:color w:val="auto"/>
                <w:w w:val="101"/>
                <w:sz w:val="20"/>
                <w:szCs w:val="20"/>
              </w:rPr>
              <w:t>201</w:t>
            </w:r>
            <w:r>
              <w:rPr>
                <w:rFonts w:ascii="Times New Roman" w:hAnsi="Times New Roman" w:cs="Times New Roman"/>
                <w:color w:val="auto"/>
                <w:w w:val="101"/>
                <w:sz w:val="20"/>
                <w:szCs w:val="20"/>
              </w:rPr>
              <w:t>7</w:t>
            </w:r>
          </w:p>
        </w:tc>
      </w:tr>
      <w:tr w:rsidR="00C1399A" w:rsidRPr="0054275E" w:rsidTr="00D43AB6">
        <w:trPr>
          <w:trHeight w:val="293"/>
        </w:trPr>
        <w:tc>
          <w:tcPr>
            <w:tcW w:w="4253" w:type="dxa"/>
            <w:shd w:val="clear" w:color="auto" w:fill="auto"/>
          </w:tcPr>
          <w:p w:rsidR="00C1399A" w:rsidRPr="0054275E" w:rsidRDefault="00C1399A" w:rsidP="0054275E">
            <w:pPr>
              <w:pStyle w:val="Tabulka-blue"/>
              <w:spacing w:before="0" w:line="240" w:lineRule="auto"/>
              <w:rPr>
                <w:rFonts w:ascii="Times New Roman" w:hAnsi="Times New Roman" w:cs="Times New Roman"/>
                <w:color w:val="auto"/>
                <w:sz w:val="20"/>
                <w:szCs w:val="20"/>
              </w:rPr>
            </w:pPr>
            <w:r w:rsidRPr="0054275E">
              <w:rPr>
                <w:rFonts w:ascii="Times New Roman" w:hAnsi="Times New Roman" w:cs="Times New Roman"/>
                <w:color w:val="auto"/>
                <w:w w:val="101"/>
                <w:sz w:val="20"/>
                <w:szCs w:val="20"/>
              </w:rPr>
              <w:t xml:space="preserve">Skutečné výdaje </w:t>
            </w:r>
          </w:p>
        </w:tc>
        <w:tc>
          <w:tcPr>
            <w:tcW w:w="2285" w:type="dxa"/>
            <w:shd w:val="clear" w:color="auto" w:fill="auto"/>
            <w:vAlign w:val="center"/>
          </w:tcPr>
          <w:p w:rsidR="00C1399A" w:rsidRPr="0054275E" w:rsidRDefault="00C1399A" w:rsidP="0054275E">
            <w:pPr>
              <w:pStyle w:val="Tabulka-blue"/>
              <w:spacing w:before="0" w:line="240" w:lineRule="auto"/>
              <w:jc w:val="center"/>
              <w:rPr>
                <w:rFonts w:ascii="Times New Roman" w:hAnsi="Times New Roman" w:cs="Times New Roman"/>
                <w:b w:val="0"/>
                <w:color w:val="auto"/>
                <w:w w:val="101"/>
                <w:sz w:val="20"/>
                <w:szCs w:val="20"/>
              </w:rPr>
            </w:pPr>
            <w:r w:rsidRPr="0054275E">
              <w:rPr>
                <w:rFonts w:ascii="Times New Roman" w:hAnsi="Times New Roman" w:cs="Times New Roman"/>
                <w:b w:val="0"/>
                <w:color w:val="auto"/>
                <w:w w:val="101"/>
                <w:sz w:val="20"/>
                <w:szCs w:val="20"/>
              </w:rPr>
              <w:t>40,4</w:t>
            </w:r>
          </w:p>
        </w:tc>
        <w:tc>
          <w:tcPr>
            <w:tcW w:w="2285" w:type="dxa"/>
            <w:shd w:val="clear" w:color="auto" w:fill="auto"/>
            <w:vAlign w:val="center"/>
          </w:tcPr>
          <w:p w:rsidR="00C1399A" w:rsidRPr="0054275E" w:rsidRDefault="00C1399A" w:rsidP="0054275E">
            <w:pPr>
              <w:pStyle w:val="Tabulka-blue"/>
              <w:spacing w:before="0" w:line="240" w:lineRule="auto"/>
              <w:jc w:val="center"/>
              <w:rPr>
                <w:rFonts w:ascii="Times New Roman" w:hAnsi="Times New Roman" w:cs="Times New Roman"/>
                <w:b w:val="0"/>
                <w:color w:val="auto"/>
                <w:w w:val="101"/>
                <w:sz w:val="20"/>
                <w:szCs w:val="20"/>
              </w:rPr>
            </w:pPr>
            <w:r>
              <w:rPr>
                <w:rFonts w:ascii="Times New Roman" w:hAnsi="Times New Roman" w:cs="Times New Roman"/>
                <w:b w:val="0"/>
                <w:color w:val="auto"/>
                <w:w w:val="101"/>
                <w:sz w:val="20"/>
                <w:szCs w:val="20"/>
              </w:rPr>
              <w:t>39,4</w:t>
            </w:r>
          </w:p>
        </w:tc>
      </w:tr>
      <w:tr w:rsidR="00C1399A" w:rsidRPr="0054275E" w:rsidTr="00D43AB6">
        <w:trPr>
          <w:trHeight w:val="293"/>
        </w:trPr>
        <w:tc>
          <w:tcPr>
            <w:tcW w:w="4253" w:type="dxa"/>
            <w:shd w:val="clear" w:color="auto" w:fill="auto"/>
          </w:tcPr>
          <w:p w:rsidR="00C1399A" w:rsidRPr="0054275E" w:rsidRDefault="00C1399A" w:rsidP="0054275E">
            <w:pPr>
              <w:pStyle w:val="Tabulka-blue"/>
              <w:spacing w:before="0" w:line="240" w:lineRule="auto"/>
              <w:rPr>
                <w:rFonts w:ascii="Times New Roman" w:hAnsi="Times New Roman" w:cs="Times New Roman"/>
                <w:color w:val="auto"/>
                <w:sz w:val="20"/>
                <w:szCs w:val="20"/>
              </w:rPr>
            </w:pPr>
            <w:r w:rsidRPr="0054275E">
              <w:rPr>
                <w:rFonts w:ascii="Times New Roman" w:hAnsi="Times New Roman" w:cs="Times New Roman"/>
                <w:color w:val="auto"/>
                <w:w w:val="101"/>
                <w:sz w:val="20"/>
                <w:szCs w:val="20"/>
              </w:rPr>
              <w:t xml:space="preserve">Očekávané výdaje </w:t>
            </w:r>
          </w:p>
        </w:tc>
        <w:tc>
          <w:tcPr>
            <w:tcW w:w="2285" w:type="dxa"/>
            <w:shd w:val="clear" w:color="auto" w:fill="auto"/>
            <w:vAlign w:val="center"/>
          </w:tcPr>
          <w:p w:rsidR="00C1399A" w:rsidRPr="0054275E" w:rsidRDefault="00C1399A" w:rsidP="0054275E">
            <w:pPr>
              <w:pStyle w:val="Tabulka-blue"/>
              <w:spacing w:before="0" w:line="240" w:lineRule="auto"/>
              <w:jc w:val="center"/>
              <w:rPr>
                <w:rFonts w:ascii="Times New Roman" w:hAnsi="Times New Roman" w:cs="Times New Roman"/>
                <w:b w:val="0"/>
                <w:color w:val="auto"/>
                <w:w w:val="101"/>
                <w:sz w:val="20"/>
                <w:szCs w:val="20"/>
              </w:rPr>
            </w:pPr>
            <w:r w:rsidRPr="0054275E">
              <w:rPr>
                <w:rFonts w:ascii="Times New Roman" w:hAnsi="Times New Roman" w:cs="Times New Roman"/>
                <w:b w:val="0"/>
                <w:color w:val="auto"/>
                <w:w w:val="101"/>
                <w:sz w:val="20"/>
                <w:szCs w:val="20"/>
              </w:rPr>
              <w:t>44,3</w:t>
            </w:r>
          </w:p>
        </w:tc>
        <w:tc>
          <w:tcPr>
            <w:tcW w:w="2285" w:type="dxa"/>
            <w:shd w:val="clear" w:color="auto" w:fill="auto"/>
            <w:vAlign w:val="center"/>
          </w:tcPr>
          <w:p w:rsidR="00C1399A" w:rsidRPr="0054275E" w:rsidRDefault="00C1399A" w:rsidP="0054275E">
            <w:pPr>
              <w:pStyle w:val="Tabulka-blue"/>
              <w:spacing w:before="0" w:line="240" w:lineRule="auto"/>
              <w:jc w:val="center"/>
              <w:rPr>
                <w:rFonts w:ascii="Times New Roman" w:hAnsi="Times New Roman" w:cs="Times New Roman"/>
                <w:b w:val="0"/>
                <w:color w:val="auto"/>
                <w:w w:val="101"/>
                <w:sz w:val="20"/>
                <w:szCs w:val="20"/>
              </w:rPr>
            </w:pPr>
            <w:r>
              <w:rPr>
                <w:rFonts w:ascii="Times New Roman" w:hAnsi="Times New Roman" w:cs="Times New Roman"/>
                <w:b w:val="0"/>
                <w:color w:val="auto"/>
                <w:w w:val="101"/>
                <w:sz w:val="20"/>
                <w:szCs w:val="20"/>
              </w:rPr>
              <w:t>45,6</w:t>
            </w:r>
          </w:p>
        </w:tc>
      </w:tr>
      <w:tr w:rsidR="00C1399A" w:rsidRPr="0054275E" w:rsidTr="00D43AB6">
        <w:trPr>
          <w:trHeight w:val="293"/>
        </w:trPr>
        <w:tc>
          <w:tcPr>
            <w:tcW w:w="4253" w:type="dxa"/>
            <w:shd w:val="clear" w:color="auto" w:fill="auto"/>
          </w:tcPr>
          <w:p w:rsidR="00C1399A" w:rsidRPr="0054275E" w:rsidRDefault="00C1399A" w:rsidP="0054275E">
            <w:pPr>
              <w:pStyle w:val="Tabulka-blue"/>
              <w:spacing w:before="0" w:line="240" w:lineRule="auto"/>
              <w:rPr>
                <w:rFonts w:ascii="Times New Roman" w:hAnsi="Times New Roman" w:cs="Times New Roman"/>
                <w:color w:val="auto"/>
                <w:sz w:val="20"/>
                <w:szCs w:val="20"/>
              </w:rPr>
            </w:pPr>
            <w:proofErr w:type="spellStart"/>
            <w:r w:rsidRPr="0054275E">
              <w:rPr>
                <w:rFonts w:ascii="Times New Roman" w:hAnsi="Times New Roman" w:cs="Times New Roman"/>
                <w:color w:val="auto"/>
                <w:w w:val="101"/>
                <w:sz w:val="20"/>
                <w:szCs w:val="20"/>
              </w:rPr>
              <w:t>CaR</w:t>
            </w:r>
            <w:proofErr w:type="spellEnd"/>
            <w:r w:rsidRPr="0054275E">
              <w:rPr>
                <w:rFonts w:ascii="Times New Roman" w:hAnsi="Times New Roman" w:cs="Times New Roman"/>
                <w:color w:val="auto"/>
                <w:w w:val="101"/>
                <w:sz w:val="20"/>
                <w:szCs w:val="20"/>
              </w:rPr>
              <w:t xml:space="preserve"> 95 % </w:t>
            </w:r>
          </w:p>
        </w:tc>
        <w:tc>
          <w:tcPr>
            <w:tcW w:w="2285" w:type="dxa"/>
            <w:shd w:val="clear" w:color="auto" w:fill="auto"/>
            <w:vAlign w:val="center"/>
          </w:tcPr>
          <w:p w:rsidR="00C1399A" w:rsidRPr="0054275E" w:rsidRDefault="00C1399A" w:rsidP="0054275E">
            <w:pPr>
              <w:pStyle w:val="Tabulka-blue"/>
              <w:spacing w:before="0" w:line="240" w:lineRule="auto"/>
              <w:jc w:val="center"/>
              <w:rPr>
                <w:rFonts w:ascii="Times New Roman" w:hAnsi="Times New Roman" w:cs="Times New Roman"/>
                <w:b w:val="0"/>
                <w:color w:val="auto"/>
                <w:w w:val="101"/>
                <w:sz w:val="20"/>
                <w:szCs w:val="20"/>
              </w:rPr>
            </w:pPr>
            <w:r w:rsidRPr="0054275E">
              <w:rPr>
                <w:rFonts w:ascii="Times New Roman" w:hAnsi="Times New Roman" w:cs="Times New Roman"/>
                <w:b w:val="0"/>
                <w:color w:val="auto"/>
                <w:w w:val="101"/>
                <w:sz w:val="20"/>
                <w:szCs w:val="20"/>
              </w:rPr>
              <w:t>51,4</w:t>
            </w:r>
          </w:p>
        </w:tc>
        <w:tc>
          <w:tcPr>
            <w:tcW w:w="2285" w:type="dxa"/>
            <w:shd w:val="clear" w:color="auto" w:fill="auto"/>
            <w:vAlign w:val="center"/>
          </w:tcPr>
          <w:p w:rsidR="00C1399A" w:rsidRPr="0054275E" w:rsidRDefault="00C1399A" w:rsidP="0054275E">
            <w:pPr>
              <w:pStyle w:val="Tabulka-blue"/>
              <w:spacing w:before="0" w:line="240" w:lineRule="auto"/>
              <w:jc w:val="center"/>
              <w:rPr>
                <w:rFonts w:ascii="Times New Roman" w:hAnsi="Times New Roman" w:cs="Times New Roman"/>
                <w:b w:val="0"/>
                <w:color w:val="auto"/>
                <w:w w:val="101"/>
                <w:sz w:val="20"/>
                <w:szCs w:val="20"/>
              </w:rPr>
            </w:pPr>
            <w:r>
              <w:rPr>
                <w:rFonts w:ascii="Times New Roman" w:hAnsi="Times New Roman" w:cs="Times New Roman"/>
                <w:b w:val="0"/>
                <w:color w:val="auto"/>
                <w:w w:val="101"/>
                <w:sz w:val="20"/>
                <w:szCs w:val="20"/>
              </w:rPr>
              <w:t>49,6</w:t>
            </w:r>
          </w:p>
        </w:tc>
      </w:tr>
      <w:tr w:rsidR="00C1399A" w:rsidRPr="0054275E" w:rsidTr="00D43AB6">
        <w:trPr>
          <w:trHeight w:val="293"/>
        </w:trPr>
        <w:tc>
          <w:tcPr>
            <w:tcW w:w="4253" w:type="dxa"/>
            <w:shd w:val="clear" w:color="auto" w:fill="auto"/>
          </w:tcPr>
          <w:p w:rsidR="00C1399A" w:rsidRPr="0054275E" w:rsidRDefault="00C1399A" w:rsidP="0054275E">
            <w:pPr>
              <w:pStyle w:val="Tabulka-blue"/>
              <w:spacing w:before="0" w:line="240" w:lineRule="auto"/>
              <w:rPr>
                <w:rFonts w:ascii="Times New Roman" w:hAnsi="Times New Roman" w:cs="Times New Roman"/>
                <w:color w:val="auto"/>
                <w:sz w:val="20"/>
                <w:szCs w:val="20"/>
              </w:rPr>
            </w:pPr>
            <w:proofErr w:type="spellStart"/>
            <w:r w:rsidRPr="0054275E">
              <w:rPr>
                <w:rFonts w:ascii="Times New Roman" w:hAnsi="Times New Roman" w:cs="Times New Roman"/>
                <w:color w:val="auto"/>
                <w:w w:val="101"/>
                <w:sz w:val="20"/>
                <w:szCs w:val="20"/>
              </w:rPr>
              <w:t>CaR</w:t>
            </w:r>
            <w:proofErr w:type="spellEnd"/>
            <w:r w:rsidRPr="0054275E">
              <w:rPr>
                <w:rFonts w:ascii="Times New Roman" w:hAnsi="Times New Roman" w:cs="Times New Roman"/>
                <w:color w:val="auto"/>
                <w:w w:val="101"/>
                <w:sz w:val="20"/>
                <w:szCs w:val="20"/>
              </w:rPr>
              <w:t xml:space="preserve"> 99 % </w:t>
            </w:r>
          </w:p>
        </w:tc>
        <w:tc>
          <w:tcPr>
            <w:tcW w:w="2285" w:type="dxa"/>
            <w:shd w:val="clear" w:color="auto" w:fill="auto"/>
            <w:vAlign w:val="center"/>
          </w:tcPr>
          <w:p w:rsidR="00C1399A" w:rsidRPr="0054275E" w:rsidRDefault="00C1399A" w:rsidP="0054275E">
            <w:pPr>
              <w:pStyle w:val="Tabulka-blue"/>
              <w:spacing w:before="0" w:line="240" w:lineRule="auto"/>
              <w:jc w:val="center"/>
              <w:rPr>
                <w:rFonts w:ascii="Times New Roman" w:hAnsi="Times New Roman" w:cs="Times New Roman"/>
                <w:b w:val="0"/>
                <w:color w:val="auto"/>
                <w:w w:val="101"/>
                <w:sz w:val="20"/>
                <w:szCs w:val="20"/>
              </w:rPr>
            </w:pPr>
            <w:r w:rsidRPr="0054275E">
              <w:rPr>
                <w:rFonts w:ascii="Times New Roman" w:hAnsi="Times New Roman" w:cs="Times New Roman"/>
                <w:b w:val="0"/>
                <w:color w:val="auto"/>
                <w:w w:val="101"/>
                <w:sz w:val="20"/>
                <w:szCs w:val="20"/>
              </w:rPr>
              <w:t>54,3</w:t>
            </w:r>
          </w:p>
        </w:tc>
        <w:tc>
          <w:tcPr>
            <w:tcW w:w="2285" w:type="dxa"/>
            <w:shd w:val="clear" w:color="auto" w:fill="auto"/>
            <w:vAlign w:val="center"/>
          </w:tcPr>
          <w:p w:rsidR="00C1399A" w:rsidRPr="0054275E" w:rsidRDefault="00C1399A" w:rsidP="0054275E">
            <w:pPr>
              <w:pStyle w:val="Tabulka-blue"/>
              <w:spacing w:before="0" w:line="240" w:lineRule="auto"/>
              <w:jc w:val="center"/>
              <w:rPr>
                <w:rFonts w:ascii="Times New Roman" w:hAnsi="Times New Roman" w:cs="Times New Roman"/>
                <w:b w:val="0"/>
                <w:color w:val="auto"/>
                <w:w w:val="101"/>
                <w:sz w:val="20"/>
                <w:szCs w:val="20"/>
              </w:rPr>
            </w:pPr>
            <w:r>
              <w:rPr>
                <w:rFonts w:ascii="Times New Roman" w:hAnsi="Times New Roman" w:cs="Times New Roman"/>
                <w:b w:val="0"/>
                <w:color w:val="auto"/>
                <w:w w:val="101"/>
                <w:sz w:val="20"/>
                <w:szCs w:val="20"/>
              </w:rPr>
              <w:t>52,9</w:t>
            </w:r>
          </w:p>
        </w:tc>
      </w:tr>
      <w:tr w:rsidR="00C1399A" w:rsidRPr="0054275E" w:rsidTr="00D43AB6">
        <w:trPr>
          <w:trHeight w:val="293"/>
        </w:trPr>
        <w:tc>
          <w:tcPr>
            <w:tcW w:w="4253" w:type="dxa"/>
            <w:shd w:val="clear" w:color="auto" w:fill="auto"/>
          </w:tcPr>
          <w:p w:rsidR="00C1399A" w:rsidRPr="0054275E" w:rsidRDefault="00C1399A" w:rsidP="0054275E">
            <w:pPr>
              <w:pStyle w:val="Tabulka-blue"/>
              <w:spacing w:before="0" w:line="240" w:lineRule="auto"/>
              <w:rPr>
                <w:rFonts w:ascii="Times New Roman" w:hAnsi="Times New Roman" w:cs="Times New Roman"/>
                <w:color w:val="auto"/>
                <w:sz w:val="20"/>
                <w:szCs w:val="20"/>
              </w:rPr>
            </w:pPr>
            <w:r w:rsidRPr="0054275E">
              <w:rPr>
                <w:rFonts w:ascii="Times New Roman" w:hAnsi="Times New Roman" w:cs="Times New Roman"/>
                <w:color w:val="auto"/>
                <w:w w:val="101"/>
                <w:sz w:val="20"/>
                <w:szCs w:val="20"/>
              </w:rPr>
              <w:t xml:space="preserve">Odchylka očekávání od skutečnosti </w:t>
            </w:r>
          </w:p>
        </w:tc>
        <w:tc>
          <w:tcPr>
            <w:tcW w:w="2285" w:type="dxa"/>
            <w:shd w:val="clear" w:color="auto" w:fill="auto"/>
            <w:vAlign w:val="center"/>
          </w:tcPr>
          <w:p w:rsidR="00C1399A" w:rsidRPr="0054275E" w:rsidRDefault="00C1399A" w:rsidP="0054275E">
            <w:pPr>
              <w:pStyle w:val="Tabulka-blue"/>
              <w:spacing w:before="0" w:line="240" w:lineRule="auto"/>
              <w:jc w:val="center"/>
              <w:rPr>
                <w:rFonts w:ascii="Times New Roman" w:hAnsi="Times New Roman" w:cs="Times New Roman"/>
                <w:b w:val="0"/>
                <w:color w:val="auto"/>
                <w:w w:val="101"/>
                <w:sz w:val="20"/>
                <w:szCs w:val="20"/>
              </w:rPr>
            </w:pPr>
            <w:r w:rsidRPr="0054275E">
              <w:rPr>
                <w:rFonts w:ascii="Times New Roman" w:hAnsi="Times New Roman" w:cs="Times New Roman"/>
                <w:b w:val="0"/>
                <w:color w:val="auto"/>
                <w:w w:val="101"/>
                <w:sz w:val="20"/>
                <w:szCs w:val="20"/>
              </w:rPr>
              <w:t>3,9</w:t>
            </w:r>
          </w:p>
        </w:tc>
        <w:tc>
          <w:tcPr>
            <w:tcW w:w="2285" w:type="dxa"/>
            <w:shd w:val="clear" w:color="auto" w:fill="auto"/>
            <w:vAlign w:val="center"/>
          </w:tcPr>
          <w:p w:rsidR="00C1399A" w:rsidRPr="0054275E" w:rsidRDefault="00C1399A" w:rsidP="0054275E">
            <w:pPr>
              <w:pStyle w:val="Tabulka-blue"/>
              <w:spacing w:before="0" w:line="240" w:lineRule="auto"/>
              <w:jc w:val="center"/>
              <w:rPr>
                <w:rFonts w:ascii="Times New Roman" w:hAnsi="Times New Roman" w:cs="Times New Roman"/>
                <w:b w:val="0"/>
                <w:color w:val="auto"/>
                <w:w w:val="101"/>
                <w:sz w:val="20"/>
                <w:szCs w:val="20"/>
              </w:rPr>
            </w:pPr>
            <w:r>
              <w:rPr>
                <w:rFonts w:ascii="Times New Roman" w:hAnsi="Times New Roman" w:cs="Times New Roman"/>
                <w:b w:val="0"/>
                <w:color w:val="auto"/>
                <w:w w:val="101"/>
                <w:sz w:val="20"/>
                <w:szCs w:val="20"/>
              </w:rPr>
              <w:t>6,1</w:t>
            </w:r>
          </w:p>
        </w:tc>
      </w:tr>
    </w:tbl>
    <w:p w:rsidR="00125B20" w:rsidRPr="0054275E" w:rsidRDefault="00125B20" w:rsidP="008677D6">
      <w:pPr>
        <w:pStyle w:val="Pramen"/>
        <w:rPr>
          <w:w w:val="101"/>
        </w:rPr>
      </w:pPr>
      <w:r w:rsidRPr="0054275E">
        <w:rPr>
          <w:w w:val="101"/>
        </w:rPr>
        <w:t>Zdroj: MF</w:t>
      </w:r>
    </w:p>
    <w:p w:rsidR="00C1399A" w:rsidRPr="00935310" w:rsidRDefault="00C1399A" w:rsidP="00935310">
      <w:r w:rsidRPr="00935310">
        <w:t xml:space="preserve">Čisté úrokové výdaje tak i v roce 2017 zůstaly pod hranicí </w:t>
      </w:r>
      <w:proofErr w:type="spellStart"/>
      <w:r w:rsidRPr="00935310">
        <w:t>CaR</w:t>
      </w:r>
      <w:proofErr w:type="spellEnd"/>
      <w:r w:rsidRPr="00935310">
        <w:t xml:space="preserve"> 95 % i </w:t>
      </w:r>
      <w:proofErr w:type="spellStart"/>
      <w:r w:rsidRPr="00935310">
        <w:t>CaR</w:t>
      </w:r>
      <w:proofErr w:type="spellEnd"/>
      <w:r w:rsidRPr="00935310">
        <w:t xml:space="preserve"> 99 %, které byly stanoveny na 49,6 mld. Kč, respektive na 52,9 mld. Kč. Očekávané čisté úrokové výdaje predikované modelem jsou cca o 6,1 mld. Kč vyšší oproti skutečnosti. </w:t>
      </w:r>
    </w:p>
    <w:p w:rsidR="00C1399A" w:rsidRPr="00935310" w:rsidRDefault="00C1399A" w:rsidP="00935310">
      <w:r w:rsidRPr="00935310">
        <w:t xml:space="preserve">Diference očekávaných čistých úrokových výdajů je dána především nižšími výnosy korunových střednědobých a dlouhodobých státních dluhopisů oproti očekávání danému modelem, která trvala prakticky po celý rok 2017. Výnosy státních dluhopisů úročených na krátkém konci výnosové křivky během prvních třech čtvrtletí roku 2017 dosahovaly i nadále záporných hodnot. Na tuto situaci na finančním trhu Ministerstvo od počátku roku 2017 flexibilně zareagovalo a navýšilo emisi na krátkém konci výnosové křivky se zbytkovou dobou do splatnosti do tří let. Diference z tohoto titulu činí celkem 3,9 mld. Kč a je dána </w:t>
      </w:r>
      <w:r w:rsidRPr="00935310">
        <w:lastRenderedPageBreak/>
        <w:t>především změnou struktury emisního kalendáře střednědobých a dlouhodobých státních dluhopisů. Diference cca 0,8 mld. Kč je způsobena vlivem nižších než očekávaných výnosů státních pokladničních poukázek, když v průběhu celého roku 2017 výnosy státních pokladničních poukázek dosahovaly rovněž záporných hodnot. Celkový dodatečný příjem státního rozpočtu z titulu emise státních dluhopisů a státních pokladničních poukázek se zápornými výnosy do splatnosti činil 1,2 mld. Kč. Dalším výrazným faktorem byly nižší hladiny referenční úrokové sazby PRIBOR a referenční úrokové sazby EURIBOR. Z titulu nižších než očekáváných hodnot referenční sazby činí diference očekávání cca 1,1 mld. Kč. Diference cca 0,3 mld. Kč je dána vyššími než očekávanými příjmy souvisejícími s řízením likvidity státní pokladny poté, co od třetího čtvrtletí roku 2017 ČNB postupně zvyšuje základní úrokové sazby.</w:t>
      </w:r>
    </w:p>
    <w:p w:rsidR="00C76C93" w:rsidRPr="0054275E" w:rsidRDefault="00C76C93" w:rsidP="0054275E">
      <w:pPr>
        <w:pStyle w:val="Nadpis3"/>
      </w:pPr>
      <w:bookmarkStart w:id="179" w:name="_Toc508286952"/>
      <w:r w:rsidRPr="0054275E">
        <w:t>Rezerva peněžních prostředků</w:t>
      </w:r>
      <w:bookmarkEnd w:id="178"/>
      <w:bookmarkEnd w:id="179"/>
    </w:p>
    <w:p w:rsidR="00125B20" w:rsidRPr="0054275E" w:rsidRDefault="00125B20" w:rsidP="0054275E">
      <w:r w:rsidRPr="0054275E">
        <w:t>Počínaje rokem 2013 je v rámci efektivního řízení v souladu s nejmodernějšími principy řízení vládních financí využívána disponibilní likvidita státní pokladny v procesu krytí potřeby financování. Rezervu peněžních prostředků, která byla v minulých letech vytvářena emisní činností při souvztažném růstu hrubého státního dluhu, tak nahrazují ostatní disponibilní peněžní prostředky centrálního systému řízení souhrnných účtů státní pokladny.</w:t>
      </w:r>
    </w:p>
    <w:p w:rsidR="004D258A" w:rsidRPr="00A45E8F" w:rsidRDefault="004D258A" w:rsidP="000B71FE">
      <w:pPr>
        <w:pStyle w:val="Nadpis2"/>
      </w:pPr>
      <w:bookmarkStart w:id="180" w:name="_Toc508286953"/>
      <w:r w:rsidRPr="00A45E8F">
        <w:t>Řízení likvidity státního rozpočtu a státní pokladny</w:t>
      </w:r>
      <w:bookmarkEnd w:id="180"/>
    </w:p>
    <w:p w:rsidR="00EC0603" w:rsidRPr="00F84344" w:rsidRDefault="00EC0603" w:rsidP="00EC0603">
      <w:pPr>
        <w:pStyle w:val="Odstavecseseznamem"/>
        <w:keepNext/>
        <w:numPr>
          <w:ilvl w:val="0"/>
          <w:numId w:val="41"/>
        </w:numPr>
        <w:spacing w:before="240" w:after="240"/>
        <w:jc w:val="left"/>
        <w:outlineLvl w:val="0"/>
        <w:rPr>
          <w:b/>
          <w:bCs/>
          <w:vanish/>
          <w:color w:val="365F91"/>
          <w:kern w:val="32"/>
          <w:sz w:val="28"/>
          <w:szCs w:val="32"/>
          <w:highlight w:val="lightGray"/>
        </w:rPr>
      </w:pPr>
      <w:bookmarkStart w:id="181" w:name="_Toc476561338"/>
      <w:bookmarkStart w:id="182" w:name="_Toc476668421"/>
      <w:bookmarkStart w:id="183" w:name="_Toc476668824"/>
      <w:bookmarkStart w:id="184" w:name="_Toc508007407"/>
      <w:bookmarkStart w:id="185" w:name="_Toc508007496"/>
      <w:bookmarkStart w:id="186" w:name="_Toc508007582"/>
      <w:bookmarkStart w:id="187" w:name="_Toc508007625"/>
      <w:bookmarkStart w:id="188" w:name="_Toc508007728"/>
      <w:bookmarkStart w:id="189" w:name="_Toc508007771"/>
      <w:bookmarkStart w:id="190" w:name="_Toc508017732"/>
      <w:bookmarkStart w:id="191" w:name="_Toc508019500"/>
      <w:bookmarkStart w:id="192" w:name="_Toc508283344"/>
      <w:bookmarkStart w:id="193" w:name="_Toc508286693"/>
      <w:bookmarkStart w:id="194" w:name="_Toc508286954"/>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p w:rsidR="00EC0603" w:rsidRPr="00F84344" w:rsidRDefault="00EC0603" w:rsidP="00EC0603">
      <w:pPr>
        <w:pStyle w:val="Odstavecseseznamem"/>
        <w:keepNext/>
        <w:numPr>
          <w:ilvl w:val="1"/>
          <w:numId w:val="41"/>
        </w:numPr>
        <w:spacing w:before="240" w:after="240"/>
        <w:jc w:val="left"/>
        <w:outlineLvl w:val="0"/>
        <w:rPr>
          <w:b/>
          <w:bCs/>
          <w:vanish/>
          <w:color w:val="365F91"/>
          <w:kern w:val="32"/>
          <w:sz w:val="28"/>
          <w:szCs w:val="32"/>
          <w:highlight w:val="lightGray"/>
        </w:rPr>
      </w:pPr>
      <w:bookmarkStart w:id="195" w:name="_Toc476561339"/>
      <w:bookmarkStart w:id="196" w:name="_Toc476668422"/>
      <w:bookmarkStart w:id="197" w:name="_Toc476668825"/>
      <w:bookmarkStart w:id="198" w:name="_Toc508007408"/>
      <w:bookmarkStart w:id="199" w:name="_Toc508007497"/>
      <w:bookmarkStart w:id="200" w:name="_Toc508007583"/>
      <w:bookmarkStart w:id="201" w:name="_Toc508007626"/>
      <w:bookmarkStart w:id="202" w:name="_Toc508007729"/>
      <w:bookmarkStart w:id="203" w:name="_Toc508007772"/>
      <w:bookmarkStart w:id="204" w:name="_Toc508017733"/>
      <w:bookmarkStart w:id="205" w:name="_Toc508019501"/>
      <w:bookmarkStart w:id="206" w:name="_Toc508283345"/>
      <w:bookmarkStart w:id="207" w:name="_Toc508286694"/>
      <w:bookmarkStart w:id="208" w:name="_Toc508286955"/>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rsidR="00EC0603" w:rsidRPr="00F84344" w:rsidRDefault="00EC0603" w:rsidP="00EC0603">
      <w:pPr>
        <w:pStyle w:val="Odstavecseseznamem"/>
        <w:keepNext/>
        <w:numPr>
          <w:ilvl w:val="1"/>
          <w:numId w:val="41"/>
        </w:numPr>
        <w:spacing w:before="240" w:after="240"/>
        <w:jc w:val="left"/>
        <w:outlineLvl w:val="0"/>
        <w:rPr>
          <w:b/>
          <w:bCs/>
          <w:vanish/>
          <w:color w:val="365F91"/>
          <w:kern w:val="32"/>
          <w:sz w:val="28"/>
          <w:szCs w:val="32"/>
          <w:highlight w:val="lightGray"/>
        </w:rPr>
      </w:pPr>
      <w:bookmarkStart w:id="209" w:name="_Toc476561340"/>
      <w:bookmarkStart w:id="210" w:name="_Toc476668423"/>
      <w:bookmarkStart w:id="211" w:name="_Toc476668826"/>
      <w:bookmarkStart w:id="212" w:name="_Toc508007409"/>
      <w:bookmarkStart w:id="213" w:name="_Toc508007498"/>
      <w:bookmarkStart w:id="214" w:name="_Toc508007584"/>
      <w:bookmarkStart w:id="215" w:name="_Toc508007627"/>
      <w:bookmarkStart w:id="216" w:name="_Toc508007730"/>
      <w:bookmarkStart w:id="217" w:name="_Toc508007773"/>
      <w:bookmarkStart w:id="218" w:name="_Toc508017734"/>
      <w:bookmarkStart w:id="219" w:name="_Toc508019502"/>
      <w:bookmarkStart w:id="220" w:name="_Toc508283346"/>
      <w:bookmarkStart w:id="221" w:name="_Toc508286695"/>
      <w:bookmarkStart w:id="222" w:name="_Toc508286956"/>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C76C93" w:rsidRPr="00934C90" w:rsidRDefault="00C76C93" w:rsidP="001312D4">
      <w:pPr>
        <w:pStyle w:val="Nadpis3"/>
        <w:numPr>
          <w:ilvl w:val="2"/>
          <w:numId w:val="42"/>
        </w:numPr>
      </w:pPr>
      <w:bookmarkStart w:id="223" w:name="_Toc508286957"/>
      <w:r w:rsidRPr="00934C90">
        <w:t>Řízení likvidity státní pokladny</w:t>
      </w:r>
      <w:bookmarkEnd w:id="145"/>
      <w:bookmarkEnd w:id="223"/>
    </w:p>
    <w:p w:rsidR="00934C90" w:rsidRDefault="00934C90" w:rsidP="00934C90">
      <w:r w:rsidRPr="00FA0486">
        <w:t>V rámci řízení likvidity</w:t>
      </w:r>
      <w:r>
        <w:t xml:space="preserve"> korunové</w:t>
      </w:r>
      <w:r w:rsidRPr="00FA0486">
        <w:t xml:space="preserve"> státní pokladny byly v </w:t>
      </w:r>
      <w:r>
        <w:t xml:space="preserve">roce 2017 </w:t>
      </w:r>
      <w:r w:rsidRPr="00FA0486">
        <w:t xml:space="preserve">provedeny krátkodobé investice s použitím </w:t>
      </w:r>
      <w:r>
        <w:t>kolaterálu</w:t>
      </w:r>
      <w:r w:rsidRPr="00FA0486">
        <w:t xml:space="preserve"> poukázek ČNB</w:t>
      </w:r>
      <w:r>
        <w:t xml:space="preserve"> a střednědobých a dlouhodobých státních dluhopisů</w:t>
      </w:r>
      <w:r w:rsidRPr="00FA0486">
        <w:t xml:space="preserve"> v</w:t>
      </w:r>
      <w:r>
        <w:t> </w:t>
      </w:r>
      <w:r w:rsidRPr="00FA0486">
        <w:t xml:space="preserve">celkové jmenovité hodnotě </w:t>
      </w:r>
      <w:r>
        <w:t>7 361 906</w:t>
      </w:r>
      <w:r w:rsidRPr="00FA0486">
        <w:t xml:space="preserve"> mil. Kč, splátky přitom dosáhly celkové jmenovité hodnoty </w:t>
      </w:r>
      <w:r>
        <w:t>7 361 906</w:t>
      </w:r>
      <w:r w:rsidRPr="00FA0486">
        <w:t xml:space="preserve"> mil. Kč. Celkový </w:t>
      </w:r>
      <w:r>
        <w:t>příjem</w:t>
      </w:r>
      <w:r w:rsidRPr="00FA0486">
        <w:t xml:space="preserve"> </w:t>
      </w:r>
      <w:r>
        <w:t xml:space="preserve">z těchto </w:t>
      </w:r>
      <w:r w:rsidRPr="00FA0486">
        <w:t xml:space="preserve">operací činil </w:t>
      </w:r>
      <w:r>
        <w:t>279,11</w:t>
      </w:r>
      <w:r w:rsidR="000C0143">
        <w:t xml:space="preserve"> mil. Kč a </w:t>
      </w:r>
      <w:r w:rsidRPr="00AA02BC">
        <w:t>byl dosažen při průměrné úrokové sazbě</w:t>
      </w:r>
      <w:r w:rsidRPr="00FA0486">
        <w:t xml:space="preserve"> </w:t>
      </w:r>
      <w:r>
        <w:t>0,12</w:t>
      </w:r>
      <w:r w:rsidRPr="00FA0486">
        <w:t xml:space="preserve"> % p. a.</w:t>
      </w:r>
    </w:p>
    <w:p w:rsidR="00934C90" w:rsidRDefault="00934C90" w:rsidP="00934C90">
      <w:r w:rsidRPr="00CB295A">
        <w:t xml:space="preserve">V rámci řízení likvidity </w:t>
      </w:r>
      <w:r>
        <w:t>korunové státní pokladny</w:t>
      </w:r>
      <w:r w:rsidRPr="00CB295A">
        <w:t xml:space="preserve"> byly </w:t>
      </w:r>
      <w:r w:rsidRPr="00FA0486">
        <w:t>v </w:t>
      </w:r>
      <w:r>
        <w:t>roce 2017</w:t>
      </w:r>
      <w:r w:rsidRPr="00FA0486">
        <w:t xml:space="preserve"> </w:t>
      </w:r>
      <w:r w:rsidRPr="00CB295A">
        <w:t xml:space="preserve">realizovány krátkodobé investice ve formě depozitních operací v celkové jmenovité hodnotě </w:t>
      </w:r>
      <w:r>
        <w:t>5 865 026</w:t>
      </w:r>
      <w:r w:rsidRPr="00CB295A">
        <w:t xml:space="preserve"> mil. Kč, splátky těchto investic pak dosáhly celkové jmenovité hodnoty </w:t>
      </w:r>
      <w:r>
        <w:t>5 865 040</w:t>
      </w:r>
      <w:r w:rsidRPr="00CB295A">
        <w:t xml:space="preserve"> mil. Kč. Celkový </w:t>
      </w:r>
      <w:r>
        <w:t>příjem</w:t>
      </w:r>
      <w:r w:rsidRPr="00CB295A">
        <w:t xml:space="preserve"> depozitních operací činil </w:t>
      </w:r>
      <w:r>
        <w:t>14</w:t>
      </w:r>
      <w:r w:rsidRPr="00AA02BC">
        <w:t>,</w:t>
      </w:r>
      <w:r>
        <w:t>40</w:t>
      </w:r>
      <w:r w:rsidRPr="00CB295A">
        <w:t> mil. Kč</w:t>
      </w:r>
      <w:r>
        <w:t>,</w:t>
      </w:r>
      <w:r w:rsidRPr="00CB295A">
        <w:t xml:space="preserve"> </w:t>
      </w:r>
      <w:r w:rsidRPr="00AA02BC">
        <w:t>byl dosažen při průměrné úrokové sazbě 0,0</w:t>
      </w:r>
      <w:r>
        <w:t>5</w:t>
      </w:r>
      <w:r w:rsidR="00E72667" w:rsidRPr="00CB295A">
        <w:t> </w:t>
      </w:r>
      <w:r w:rsidRPr="00CB295A">
        <w:t xml:space="preserve"> % p. a.</w:t>
      </w:r>
      <w:r>
        <w:t xml:space="preserve"> a ú</w:t>
      </w:r>
      <w:r w:rsidRPr="00420D29">
        <w:t xml:space="preserve">ročením zůstatku </w:t>
      </w:r>
      <w:r>
        <w:t>souhrnného</w:t>
      </w:r>
      <w:r w:rsidRPr="00420D29">
        <w:t xml:space="preserve"> účtu bylo dosaženo příjmu 0,0</w:t>
      </w:r>
      <w:r>
        <w:t>2</w:t>
      </w:r>
      <w:r w:rsidRPr="00420D29">
        <w:t xml:space="preserve"> mil. Kč.</w:t>
      </w:r>
    </w:p>
    <w:p w:rsidR="00934C90" w:rsidRDefault="00934C90" w:rsidP="00934C90">
      <w:r w:rsidRPr="00CB295A">
        <w:t xml:space="preserve">V rámci řízení likvidity </w:t>
      </w:r>
      <w:r>
        <w:t xml:space="preserve">eurové státní </w:t>
      </w:r>
      <w:r w:rsidRPr="00420D29">
        <w:t>pokladny byl</w:t>
      </w:r>
      <w:r>
        <w:t>y</w:t>
      </w:r>
      <w:r w:rsidRPr="00420D29">
        <w:t xml:space="preserve"> </w:t>
      </w:r>
      <w:r w:rsidRPr="00FA0486">
        <w:t>v </w:t>
      </w:r>
      <w:r>
        <w:t>roce 2017</w:t>
      </w:r>
      <w:r w:rsidRPr="00420D29">
        <w:t xml:space="preserve"> proveden</w:t>
      </w:r>
      <w:r>
        <w:t>y</w:t>
      </w:r>
      <w:r w:rsidRPr="00420D29">
        <w:t xml:space="preserve"> krátkodob</w:t>
      </w:r>
      <w:r>
        <w:t>é</w:t>
      </w:r>
      <w:r w:rsidRPr="00420D29">
        <w:t xml:space="preserve"> zápůjčk</w:t>
      </w:r>
      <w:r>
        <w:t>y</w:t>
      </w:r>
      <w:r w:rsidRPr="00420D29">
        <w:t xml:space="preserve"> v</w:t>
      </w:r>
      <w:r>
        <w:t xml:space="preserve"> celkové</w:t>
      </w:r>
      <w:r w:rsidRPr="00420D29">
        <w:t xml:space="preserve"> jmenovité hodnotě </w:t>
      </w:r>
      <w:r>
        <w:t>65</w:t>
      </w:r>
      <w:r w:rsidRPr="00420D29">
        <w:t xml:space="preserve"> mil. EUR</w:t>
      </w:r>
      <w:r>
        <w:t>, splátky těchto zápůjček dosáhly celkové jmenovité hodnoty 65 mil. Kč.</w:t>
      </w:r>
      <w:r w:rsidRPr="00420D29">
        <w:t xml:space="preserve"> </w:t>
      </w:r>
      <w:r>
        <w:t>Celkový příjem ze zápůjček činil 0,98 mil. Kč a ú</w:t>
      </w:r>
      <w:r w:rsidRPr="00420D29">
        <w:t>ročením zůstatku běžného účtu bylo dosaženo příjmu 0,0</w:t>
      </w:r>
      <w:r>
        <w:t>4</w:t>
      </w:r>
      <w:r w:rsidRPr="00420D29">
        <w:t xml:space="preserve"> mil. Kč.</w:t>
      </w:r>
    </w:p>
    <w:p w:rsidR="00934C90" w:rsidRDefault="00934C90" w:rsidP="00934C90">
      <w:r>
        <w:t xml:space="preserve">Dále byly </w:t>
      </w:r>
      <w:r w:rsidRPr="00FA0486">
        <w:t>v </w:t>
      </w:r>
      <w:r>
        <w:t xml:space="preserve">roce 2017 realizovány devizové swapy v celkové jmenovité hodnotě 641 mil. EUR a současně byly splatné devizové swapy v celkové jmenovité hodnotě 180 mil. EUR. </w:t>
      </w:r>
      <w:r w:rsidRPr="00CB295A">
        <w:t xml:space="preserve">Celkový </w:t>
      </w:r>
      <w:r>
        <w:t>příjem z devizových</w:t>
      </w:r>
      <w:r w:rsidRPr="00CB295A">
        <w:t xml:space="preserve"> </w:t>
      </w:r>
      <w:r>
        <w:t>swapů</w:t>
      </w:r>
      <w:r w:rsidRPr="00CB295A">
        <w:t xml:space="preserve"> činil </w:t>
      </w:r>
      <w:r>
        <w:t>17</w:t>
      </w:r>
      <w:r w:rsidRPr="00AA02BC">
        <w:t>,</w:t>
      </w:r>
      <w:r>
        <w:t>72</w:t>
      </w:r>
      <w:r w:rsidRPr="00CB295A">
        <w:t> mil. Kč</w:t>
      </w:r>
      <w:r>
        <w:t>.</w:t>
      </w:r>
      <w:r w:rsidRPr="00CB295A">
        <w:t xml:space="preserve"> </w:t>
      </w:r>
    </w:p>
    <w:p w:rsidR="00E00C21" w:rsidRDefault="00934C90" w:rsidP="00934C90">
      <w:r w:rsidRPr="00282425">
        <w:t>K</w:t>
      </w:r>
      <w:r>
        <w:t> 31</w:t>
      </w:r>
      <w:r w:rsidRPr="00282425">
        <w:t xml:space="preserve">. </w:t>
      </w:r>
      <w:r>
        <w:t>prosinci</w:t>
      </w:r>
      <w:r w:rsidRPr="00282425">
        <w:t xml:space="preserve"> 201</w:t>
      </w:r>
      <w:r>
        <w:t>7</w:t>
      </w:r>
      <w:r w:rsidRPr="00282425">
        <w:t xml:space="preserve"> byly na majetkových účtech MF evidovány poukázky ČNB ve jmenovité hodnotě </w:t>
      </w:r>
      <w:r>
        <w:t>10</w:t>
      </w:r>
      <w:r w:rsidRPr="00282425">
        <w:t> </w:t>
      </w:r>
      <w:r>
        <w:t>745</w:t>
      </w:r>
      <w:r w:rsidRPr="00282425">
        <w:t xml:space="preserve"> mil.</w:t>
      </w:r>
      <w:r>
        <w:t>, které představovaly hodnotu zástavy aktivních operací.</w:t>
      </w:r>
    </w:p>
    <w:p w:rsidR="00934C90" w:rsidRDefault="00E00C21" w:rsidP="00934C90">
      <w:r>
        <w:br w:type="page"/>
      </w:r>
    </w:p>
    <w:p w:rsidR="00934C90" w:rsidRDefault="004704B8" w:rsidP="00934C90">
      <w:pPr>
        <w:pStyle w:val="Titulek"/>
        <w:framePr w:w="0" w:hSpace="0" w:wrap="auto" w:vAnchor="margin" w:hAnchor="text" w:xAlign="left" w:yAlign="inline"/>
        <w:spacing w:after="120"/>
        <w:jc w:val="left"/>
      </w:pPr>
      <w:r w:rsidRPr="00934C90">
        <w:t xml:space="preserve">Tabulka č. </w:t>
      </w:r>
      <w:fldSimple w:instr=" SEQ Tabulka_č. \* ARABIC ">
        <w:r w:rsidR="00E3034F">
          <w:rPr>
            <w:noProof/>
          </w:rPr>
          <w:t>14</w:t>
        </w:r>
      </w:fldSimple>
      <w:r w:rsidRPr="00934C90">
        <w:t xml:space="preserve">: </w:t>
      </w:r>
      <w:r w:rsidR="00934C90" w:rsidRPr="008F504D">
        <w:t xml:space="preserve">Porovnání </w:t>
      </w:r>
      <w:r w:rsidR="00934C90">
        <w:t>čistých příjmů</w:t>
      </w:r>
      <w:r w:rsidR="00934C90" w:rsidRPr="008F504D">
        <w:t xml:space="preserve"> </w:t>
      </w:r>
      <w:r w:rsidR="00934C90">
        <w:t>státního rozpočtu z  operací v rámci řízení likvidity státní pokladny a emisí se záporným výnosem</w:t>
      </w:r>
      <w:r w:rsidR="00934C90" w:rsidRPr="008F504D">
        <w:t xml:space="preserve"> v</w:t>
      </w:r>
      <w:r w:rsidR="00934C90">
        <w:t> roce 2016 a</w:t>
      </w:r>
      <w:r w:rsidR="00934C90" w:rsidRPr="002A6910">
        <w:t xml:space="preserve"> </w:t>
      </w:r>
      <w:r w:rsidR="00934C90" w:rsidRPr="00FA0486">
        <w:t>201</w:t>
      </w:r>
      <w:r w:rsidR="00934C90">
        <w:t>7</w:t>
      </w:r>
      <w:r w:rsidR="00934C90" w:rsidRPr="00FA0486">
        <w:t xml:space="preserve"> </w:t>
      </w:r>
      <w:r w:rsidR="00934C90">
        <w:t>(</w:t>
      </w:r>
      <w:r w:rsidR="00934C90" w:rsidRPr="008F504D">
        <w:t>mil. Kč)</w:t>
      </w:r>
    </w:p>
    <w:tbl>
      <w:tblPr>
        <w:tblW w:w="5000" w:type="pct"/>
        <w:tblCellMar>
          <w:left w:w="70" w:type="dxa"/>
          <w:right w:w="70" w:type="dxa"/>
        </w:tblCellMar>
        <w:tblLook w:val="04A0" w:firstRow="1" w:lastRow="0" w:firstColumn="1" w:lastColumn="0" w:noHBand="0" w:noVBand="1"/>
      </w:tblPr>
      <w:tblGrid>
        <w:gridCol w:w="5032"/>
        <w:gridCol w:w="1393"/>
        <w:gridCol w:w="1393"/>
        <w:gridCol w:w="1393"/>
      </w:tblGrid>
      <w:tr w:rsidR="00934C90" w:rsidRPr="00934C90" w:rsidTr="00934C90">
        <w:trPr>
          <w:trHeight w:val="270"/>
        </w:trPr>
        <w:tc>
          <w:tcPr>
            <w:tcW w:w="2732" w:type="pct"/>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934C90" w:rsidRPr="00934C90" w:rsidRDefault="00934C90" w:rsidP="00934C90">
            <w:pPr>
              <w:spacing w:before="0"/>
              <w:jc w:val="left"/>
              <w:rPr>
                <w:b/>
                <w:bCs/>
                <w:color w:val="000000"/>
                <w:sz w:val="20"/>
                <w:szCs w:val="20"/>
              </w:rPr>
            </w:pPr>
            <w:r w:rsidRPr="00934C90">
              <w:rPr>
                <w:b/>
                <w:bCs/>
                <w:color w:val="000000"/>
                <w:sz w:val="20"/>
                <w:szCs w:val="20"/>
              </w:rPr>
              <w:t>Příjmy</w:t>
            </w:r>
          </w:p>
        </w:tc>
        <w:tc>
          <w:tcPr>
            <w:tcW w:w="756" w:type="pct"/>
            <w:vMerge w:val="restart"/>
            <w:tcBorders>
              <w:top w:val="single" w:sz="8" w:space="0" w:color="auto"/>
              <w:left w:val="single" w:sz="4" w:space="0" w:color="auto"/>
              <w:bottom w:val="single" w:sz="8" w:space="0" w:color="000000"/>
              <w:right w:val="single" w:sz="4" w:space="0" w:color="auto"/>
            </w:tcBorders>
            <w:shd w:val="clear" w:color="000000" w:fill="FFFFFF"/>
            <w:vAlign w:val="center"/>
            <w:hideMark/>
          </w:tcPr>
          <w:p w:rsidR="00934C90" w:rsidRPr="00934C90" w:rsidRDefault="00934C90" w:rsidP="00934C90">
            <w:pPr>
              <w:spacing w:before="0"/>
              <w:jc w:val="center"/>
              <w:rPr>
                <w:b/>
                <w:bCs/>
                <w:color w:val="000000"/>
                <w:sz w:val="20"/>
                <w:szCs w:val="20"/>
              </w:rPr>
            </w:pPr>
            <w:r w:rsidRPr="00934C90">
              <w:rPr>
                <w:b/>
                <w:bCs/>
                <w:color w:val="000000"/>
                <w:sz w:val="20"/>
                <w:szCs w:val="20"/>
              </w:rPr>
              <w:t>2016</w:t>
            </w:r>
          </w:p>
        </w:tc>
        <w:tc>
          <w:tcPr>
            <w:tcW w:w="756" w:type="pct"/>
            <w:vMerge w:val="restart"/>
            <w:tcBorders>
              <w:top w:val="single" w:sz="8" w:space="0" w:color="auto"/>
              <w:left w:val="single" w:sz="4" w:space="0" w:color="auto"/>
              <w:bottom w:val="single" w:sz="8" w:space="0" w:color="000000"/>
              <w:right w:val="single" w:sz="4" w:space="0" w:color="auto"/>
            </w:tcBorders>
            <w:shd w:val="clear" w:color="000000" w:fill="FFFFFF"/>
            <w:vAlign w:val="center"/>
            <w:hideMark/>
          </w:tcPr>
          <w:p w:rsidR="00934C90" w:rsidRPr="00934C90" w:rsidRDefault="00934C90" w:rsidP="00934C90">
            <w:pPr>
              <w:spacing w:before="0"/>
              <w:jc w:val="center"/>
              <w:rPr>
                <w:b/>
                <w:bCs/>
                <w:color w:val="000000"/>
                <w:sz w:val="20"/>
                <w:szCs w:val="20"/>
              </w:rPr>
            </w:pPr>
            <w:r w:rsidRPr="00934C90">
              <w:rPr>
                <w:b/>
                <w:bCs/>
                <w:color w:val="000000"/>
                <w:sz w:val="20"/>
                <w:szCs w:val="20"/>
              </w:rPr>
              <w:t>2017</w:t>
            </w:r>
          </w:p>
        </w:tc>
        <w:tc>
          <w:tcPr>
            <w:tcW w:w="756" w:type="pct"/>
            <w:vMerge w:val="restart"/>
            <w:tcBorders>
              <w:top w:val="single" w:sz="8" w:space="0" w:color="auto"/>
              <w:left w:val="single" w:sz="4" w:space="0" w:color="auto"/>
              <w:bottom w:val="single" w:sz="8" w:space="0" w:color="000000"/>
              <w:right w:val="single" w:sz="8" w:space="0" w:color="auto"/>
            </w:tcBorders>
            <w:shd w:val="clear" w:color="000000" w:fill="FFFFFF"/>
            <w:vAlign w:val="center"/>
            <w:hideMark/>
          </w:tcPr>
          <w:p w:rsidR="00934C90" w:rsidRPr="00934C90" w:rsidRDefault="00934C90" w:rsidP="00934C90">
            <w:pPr>
              <w:spacing w:before="0"/>
              <w:jc w:val="center"/>
              <w:rPr>
                <w:b/>
                <w:bCs/>
                <w:sz w:val="20"/>
                <w:szCs w:val="20"/>
              </w:rPr>
            </w:pPr>
            <w:r w:rsidRPr="00934C90">
              <w:rPr>
                <w:b/>
                <w:bCs/>
                <w:sz w:val="20"/>
                <w:szCs w:val="20"/>
              </w:rPr>
              <w:t>2017/2016</w:t>
            </w:r>
          </w:p>
        </w:tc>
      </w:tr>
      <w:tr w:rsidR="00934C90" w:rsidRPr="00934C90" w:rsidTr="00934C90">
        <w:trPr>
          <w:trHeight w:val="270"/>
        </w:trPr>
        <w:tc>
          <w:tcPr>
            <w:tcW w:w="2732" w:type="pct"/>
            <w:vMerge/>
            <w:tcBorders>
              <w:top w:val="single" w:sz="8" w:space="0" w:color="auto"/>
              <w:left w:val="single" w:sz="8" w:space="0" w:color="auto"/>
              <w:bottom w:val="single" w:sz="8" w:space="0" w:color="000000"/>
              <w:right w:val="single" w:sz="4" w:space="0" w:color="auto"/>
            </w:tcBorders>
            <w:vAlign w:val="center"/>
            <w:hideMark/>
          </w:tcPr>
          <w:p w:rsidR="00934C90" w:rsidRPr="00934C90" w:rsidRDefault="00934C90" w:rsidP="00934C90">
            <w:pPr>
              <w:spacing w:before="0"/>
              <w:jc w:val="left"/>
              <w:rPr>
                <w:b/>
                <w:bCs/>
                <w:color w:val="000000"/>
                <w:sz w:val="20"/>
                <w:szCs w:val="20"/>
              </w:rPr>
            </w:pPr>
          </w:p>
        </w:tc>
        <w:tc>
          <w:tcPr>
            <w:tcW w:w="756" w:type="pct"/>
            <w:vMerge/>
            <w:tcBorders>
              <w:top w:val="single" w:sz="8" w:space="0" w:color="auto"/>
              <w:left w:val="single" w:sz="4" w:space="0" w:color="auto"/>
              <w:bottom w:val="single" w:sz="8" w:space="0" w:color="000000"/>
              <w:right w:val="single" w:sz="4" w:space="0" w:color="auto"/>
            </w:tcBorders>
            <w:vAlign w:val="center"/>
            <w:hideMark/>
          </w:tcPr>
          <w:p w:rsidR="00934C90" w:rsidRPr="00934C90" w:rsidRDefault="00934C90" w:rsidP="00934C90">
            <w:pPr>
              <w:spacing w:before="0"/>
              <w:jc w:val="left"/>
              <w:rPr>
                <w:b/>
                <w:bCs/>
                <w:color w:val="000000"/>
                <w:sz w:val="20"/>
                <w:szCs w:val="20"/>
              </w:rPr>
            </w:pPr>
          </w:p>
        </w:tc>
        <w:tc>
          <w:tcPr>
            <w:tcW w:w="756" w:type="pct"/>
            <w:vMerge/>
            <w:tcBorders>
              <w:top w:val="single" w:sz="8" w:space="0" w:color="auto"/>
              <w:left w:val="single" w:sz="4" w:space="0" w:color="auto"/>
              <w:bottom w:val="single" w:sz="8" w:space="0" w:color="000000"/>
              <w:right w:val="single" w:sz="4" w:space="0" w:color="auto"/>
            </w:tcBorders>
            <w:vAlign w:val="center"/>
            <w:hideMark/>
          </w:tcPr>
          <w:p w:rsidR="00934C90" w:rsidRPr="00934C90" w:rsidRDefault="00934C90" w:rsidP="00934C90">
            <w:pPr>
              <w:spacing w:before="0"/>
              <w:jc w:val="left"/>
              <w:rPr>
                <w:b/>
                <w:bCs/>
                <w:color w:val="000000"/>
                <w:sz w:val="20"/>
                <w:szCs w:val="20"/>
              </w:rPr>
            </w:pPr>
          </w:p>
        </w:tc>
        <w:tc>
          <w:tcPr>
            <w:tcW w:w="756" w:type="pct"/>
            <w:vMerge/>
            <w:tcBorders>
              <w:top w:val="single" w:sz="8" w:space="0" w:color="auto"/>
              <w:left w:val="single" w:sz="4" w:space="0" w:color="auto"/>
              <w:bottom w:val="single" w:sz="8" w:space="0" w:color="000000"/>
              <w:right w:val="single" w:sz="8" w:space="0" w:color="auto"/>
            </w:tcBorders>
            <w:vAlign w:val="center"/>
            <w:hideMark/>
          </w:tcPr>
          <w:p w:rsidR="00934C90" w:rsidRPr="00934C90" w:rsidRDefault="00934C90" w:rsidP="00934C90">
            <w:pPr>
              <w:spacing w:before="0"/>
              <w:jc w:val="left"/>
              <w:rPr>
                <w:b/>
                <w:bCs/>
                <w:sz w:val="20"/>
                <w:szCs w:val="20"/>
              </w:rPr>
            </w:pPr>
          </w:p>
        </w:tc>
      </w:tr>
      <w:tr w:rsidR="00934C90" w:rsidRPr="00934C90" w:rsidTr="00934C90">
        <w:trPr>
          <w:trHeight w:val="255"/>
        </w:trPr>
        <w:tc>
          <w:tcPr>
            <w:tcW w:w="2732"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934C90" w:rsidRPr="00934C90" w:rsidRDefault="00934C90" w:rsidP="00934C90">
            <w:pPr>
              <w:spacing w:before="0"/>
              <w:jc w:val="left"/>
              <w:rPr>
                <w:color w:val="000000"/>
                <w:sz w:val="20"/>
                <w:szCs w:val="20"/>
              </w:rPr>
            </w:pPr>
            <w:r w:rsidRPr="00934C90">
              <w:rPr>
                <w:color w:val="000000"/>
                <w:sz w:val="20"/>
                <w:szCs w:val="20"/>
              </w:rPr>
              <w:t>Příjmy z korunových REPO operací</w:t>
            </w:r>
          </w:p>
        </w:tc>
        <w:tc>
          <w:tcPr>
            <w:tcW w:w="756" w:type="pct"/>
            <w:tcBorders>
              <w:top w:val="nil"/>
              <w:left w:val="single" w:sz="4" w:space="0" w:color="auto"/>
              <w:bottom w:val="single" w:sz="4" w:space="0" w:color="auto"/>
              <w:right w:val="single" w:sz="4" w:space="0" w:color="auto"/>
            </w:tcBorders>
            <w:shd w:val="clear" w:color="auto" w:fill="auto"/>
            <w:vAlign w:val="center"/>
            <w:hideMark/>
          </w:tcPr>
          <w:p w:rsidR="00934C90" w:rsidRPr="00934C90" w:rsidRDefault="00934C90" w:rsidP="00934C90">
            <w:pPr>
              <w:spacing w:before="0"/>
              <w:jc w:val="center"/>
              <w:rPr>
                <w:color w:val="000000"/>
                <w:sz w:val="20"/>
                <w:szCs w:val="20"/>
              </w:rPr>
            </w:pPr>
            <w:r w:rsidRPr="00934C90">
              <w:rPr>
                <w:color w:val="000000"/>
                <w:sz w:val="20"/>
                <w:szCs w:val="20"/>
              </w:rPr>
              <w:t>49,96</w:t>
            </w:r>
          </w:p>
        </w:tc>
        <w:tc>
          <w:tcPr>
            <w:tcW w:w="756" w:type="pct"/>
            <w:tcBorders>
              <w:top w:val="nil"/>
              <w:left w:val="nil"/>
              <w:bottom w:val="single" w:sz="4" w:space="0" w:color="auto"/>
              <w:right w:val="single" w:sz="4" w:space="0" w:color="auto"/>
            </w:tcBorders>
            <w:shd w:val="clear" w:color="auto" w:fill="auto"/>
            <w:vAlign w:val="center"/>
            <w:hideMark/>
          </w:tcPr>
          <w:p w:rsidR="00934C90" w:rsidRPr="00934C90" w:rsidRDefault="00934C90" w:rsidP="00934C90">
            <w:pPr>
              <w:spacing w:before="0"/>
              <w:jc w:val="center"/>
              <w:rPr>
                <w:color w:val="000000"/>
                <w:sz w:val="20"/>
                <w:szCs w:val="20"/>
              </w:rPr>
            </w:pPr>
            <w:r w:rsidRPr="00934C90">
              <w:rPr>
                <w:color w:val="000000"/>
                <w:sz w:val="20"/>
                <w:szCs w:val="20"/>
              </w:rPr>
              <w:t>279,11</w:t>
            </w:r>
          </w:p>
        </w:tc>
        <w:tc>
          <w:tcPr>
            <w:tcW w:w="756" w:type="pct"/>
            <w:tcBorders>
              <w:top w:val="nil"/>
              <w:left w:val="nil"/>
              <w:bottom w:val="single" w:sz="4" w:space="0" w:color="auto"/>
              <w:right w:val="single" w:sz="8" w:space="0" w:color="auto"/>
            </w:tcBorders>
            <w:shd w:val="clear" w:color="auto" w:fill="auto"/>
            <w:vAlign w:val="center"/>
            <w:hideMark/>
          </w:tcPr>
          <w:p w:rsidR="00934C90" w:rsidRPr="00934C90" w:rsidRDefault="00934C90" w:rsidP="00934C90">
            <w:pPr>
              <w:spacing w:before="0"/>
              <w:jc w:val="center"/>
              <w:rPr>
                <w:color w:val="000000"/>
                <w:sz w:val="20"/>
                <w:szCs w:val="20"/>
              </w:rPr>
            </w:pPr>
            <w:r w:rsidRPr="00934C90">
              <w:rPr>
                <w:color w:val="000000"/>
                <w:sz w:val="20"/>
                <w:szCs w:val="20"/>
              </w:rPr>
              <w:t>558,69</w:t>
            </w:r>
          </w:p>
        </w:tc>
      </w:tr>
      <w:tr w:rsidR="00934C90" w:rsidRPr="00934C90" w:rsidTr="00934C90">
        <w:trPr>
          <w:trHeight w:val="255"/>
        </w:trPr>
        <w:tc>
          <w:tcPr>
            <w:tcW w:w="2732"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934C90" w:rsidRPr="00934C90" w:rsidRDefault="00934C90" w:rsidP="00934C90">
            <w:pPr>
              <w:spacing w:before="0"/>
              <w:jc w:val="left"/>
              <w:rPr>
                <w:color w:val="000000"/>
                <w:sz w:val="20"/>
                <w:szCs w:val="20"/>
              </w:rPr>
            </w:pPr>
            <w:r w:rsidRPr="00934C90">
              <w:rPr>
                <w:color w:val="000000"/>
                <w:sz w:val="20"/>
                <w:szCs w:val="20"/>
              </w:rPr>
              <w:t>Příjmy z korunových DEPO operací</w:t>
            </w:r>
          </w:p>
        </w:tc>
        <w:tc>
          <w:tcPr>
            <w:tcW w:w="756" w:type="pct"/>
            <w:tcBorders>
              <w:top w:val="nil"/>
              <w:left w:val="nil"/>
              <w:bottom w:val="single" w:sz="4" w:space="0" w:color="auto"/>
              <w:right w:val="single" w:sz="4" w:space="0" w:color="auto"/>
            </w:tcBorders>
            <w:shd w:val="clear" w:color="auto" w:fill="auto"/>
            <w:vAlign w:val="center"/>
            <w:hideMark/>
          </w:tcPr>
          <w:p w:rsidR="00934C90" w:rsidRPr="00934C90" w:rsidRDefault="00934C90" w:rsidP="00934C90">
            <w:pPr>
              <w:spacing w:before="0"/>
              <w:jc w:val="center"/>
              <w:rPr>
                <w:color w:val="000000"/>
                <w:sz w:val="20"/>
                <w:szCs w:val="20"/>
              </w:rPr>
            </w:pPr>
            <w:r w:rsidRPr="00934C90">
              <w:rPr>
                <w:color w:val="000000"/>
                <w:sz w:val="20"/>
                <w:szCs w:val="20"/>
              </w:rPr>
              <w:t>9,75</w:t>
            </w:r>
          </w:p>
        </w:tc>
        <w:tc>
          <w:tcPr>
            <w:tcW w:w="756" w:type="pct"/>
            <w:tcBorders>
              <w:top w:val="nil"/>
              <w:left w:val="nil"/>
              <w:bottom w:val="single" w:sz="4" w:space="0" w:color="auto"/>
              <w:right w:val="single" w:sz="4" w:space="0" w:color="auto"/>
            </w:tcBorders>
            <w:shd w:val="clear" w:color="auto" w:fill="auto"/>
            <w:vAlign w:val="center"/>
            <w:hideMark/>
          </w:tcPr>
          <w:p w:rsidR="00934C90" w:rsidRPr="00934C90" w:rsidRDefault="00934C90" w:rsidP="00934C90">
            <w:pPr>
              <w:spacing w:before="0"/>
              <w:jc w:val="center"/>
              <w:rPr>
                <w:color w:val="000000"/>
                <w:sz w:val="20"/>
                <w:szCs w:val="20"/>
              </w:rPr>
            </w:pPr>
            <w:r w:rsidRPr="00934C90">
              <w:rPr>
                <w:color w:val="000000"/>
                <w:sz w:val="20"/>
                <w:szCs w:val="20"/>
              </w:rPr>
              <w:t>14,43</w:t>
            </w:r>
          </w:p>
        </w:tc>
        <w:tc>
          <w:tcPr>
            <w:tcW w:w="756" w:type="pct"/>
            <w:tcBorders>
              <w:top w:val="nil"/>
              <w:left w:val="nil"/>
              <w:bottom w:val="single" w:sz="4" w:space="0" w:color="auto"/>
              <w:right w:val="single" w:sz="8" w:space="0" w:color="auto"/>
            </w:tcBorders>
            <w:shd w:val="clear" w:color="auto" w:fill="auto"/>
            <w:vAlign w:val="center"/>
            <w:hideMark/>
          </w:tcPr>
          <w:p w:rsidR="00934C90" w:rsidRPr="00934C90" w:rsidRDefault="00934C90" w:rsidP="00934C90">
            <w:pPr>
              <w:spacing w:before="0"/>
              <w:jc w:val="center"/>
              <w:rPr>
                <w:color w:val="000000"/>
                <w:sz w:val="20"/>
                <w:szCs w:val="20"/>
              </w:rPr>
            </w:pPr>
            <w:r w:rsidRPr="00934C90">
              <w:rPr>
                <w:color w:val="000000"/>
                <w:sz w:val="20"/>
                <w:szCs w:val="20"/>
              </w:rPr>
              <w:t>147,95</w:t>
            </w:r>
          </w:p>
        </w:tc>
      </w:tr>
      <w:tr w:rsidR="00934C90" w:rsidRPr="00934C90" w:rsidTr="00934C90">
        <w:trPr>
          <w:trHeight w:val="255"/>
        </w:trPr>
        <w:tc>
          <w:tcPr>
            <w:tcW w:w="2732" w:type="pct"/>
            <w:tcBorders>
              <w:top w:val="nil"/>
              <w:left w:val="single" w:sz="8" w:space="0" w:color="auto"/>
              <w:bottom w:val="single" w:sz="4" w:space="0" w:color="auto"/>
              <w:right w:val="single" w:sz="4" w:space="0" w:color="auto"/>
            </w:tcBorders>
            <w:shd w:val="clear" w:color="auto" w:fill="auto"/>
            <w:vAlign w:val="center"/>
            <w:hideMark/>
          </w:tcPr>
          <w:p w:rsidR="00934C90" w:rsidRPr="00934C90" w:rsidRDefault="00934C90" w:rsidP="00934C90">
            <w:pPr>
              <w:spacing w:before="0"/>
              <w:jc w:val="left"/>
              <w:rPr>
                <w:color w:val="000000"/>
                <w:sz w:val="20"/>
                <w:szCs w:val="20"/>
              </w:rPr>
            </w:pPr>
            <w:r w:rsidRPr="00934C90">
              <w:rPr>
                <w:color w:val="000000"/>
                <w:sz w:val="20"/>
                <w:szCs w:val="20"/>
              </w:rPr>
              <w:t>Příjmy z REPO EUR operací</w:t>
            </w:r>
          </w:p>
        </w:tc>
        <w:tc>
          <w:tcPr>
            <w:tcW w:w="756" w:type="pct"/>
            <w:tcBorders>
              <w:top w:val="nil"/>
              <w:left w:val="nil"/>
              <w:bottom w:val="single" w:sz="4" w:space="0" w:color="auto"/>
              <w:right w:val="single" w:sz="4" w:space="0" w:color="auto"/>
            </w:tcBorders>
            <w:shd w:val="clear" w:color="auto" w:fill="auto"/>
            <w:vAlign w:val="center"/>
            <w:hideMark/>
          </w:tcPr>
          <w:p w:rsidR="00934C90" w:rsidRPr="00934C90" w:rsidRDefault="00934C90" w:rsidP="00934C90">
            <w:pPr>
              <w:spacing w:before="0"/>
              <w:jc w:val="center"/>
              <w:rPr>
                <w:color w:val="000000"/>
                <w:sz w:val="20"/>
                <w:szCs w:val="20"/>
              </w:rPr>
            </w:pPr>
            <w:r w:rsidRPr="00934C90">
              <w:rPr>
                <w:color w:val="000000"/>
                <w:sz w:val="20"/>
                <w:szCs w:val="20"/>
              </w:rPr>
              <w:t>3,10</w:t>
            </w:r>
          </w:p>
        </w:tc>
        <w:tc>
          <w:tcPr>
            <w:tcW w:w="756" w:type="pct"/>
            <w:tcBorders>
              <w:top w:val="nil"/>
              <w:left w:val="nil"/>
              <w:bottom w:val="single" w:sz="4" w:space="0" w:color="auto"/>
              <w:right w:val="single" w:sz="4" w:space="0" w:color="auto"/>
            </w:tcBorders>
            <w:shd w:val="clear" w:color="auto" w:fill="auto"/>
            <w:vAlign w:val="center"/>
            <w:hideMark/>
          </w:tcPr>
          <w:p w:rsidR="00934C90" w:rsidRPr="00934C90" w:rsidRDefault="00934C90" w:rsidP="00934C90">
            <w:pPr>
              <w:spacing w:before="0"/>
              <w:jc w:val="center"/>
              <w:rPr>
                <w:color w:val="000000"/>
                <w:sz w:val="20"/>
                <w:szCs w:val="20"/>
              </w:rPr>
            </w:pPr>
            <w:r w:rsidRPr="00934C90">
              <w:rPr>
                <w:color w:val="000000"/>
                <w:sz w:val="20"/>
                <w:szCs w:val="20"/>
              </w:rPr>
              <w:t>-</w:t>
            </w:r>
          </w:p>
        </w:tc>
        <w:tc>
          <w:tcPr>
            <w:tcW w:w="756" w:type="pct"/>
            <w:tcBorders>
              <w:top w:val="nil"/>
              <w:left w:val="nil"/>
              <w:bottom w:val="single" w:sz="4" w:space="0" w:color="auto"/>
              <w:right w:val="single" w:sz="8" w:space="0" w:color="auto"/>
            </w:tcBorders>
            <w:shd w:val="clear" w:color="auto" w:fill="auto"/>
            <w:vAlign w:val="center"/>
            <w:hideMark/>
          </w:tcPr>
          <w:p w:rsidR="00934C90" w:rsidRPr="00934C90" w:rsidRDefault="00934C90" w:rsidP="00934C90">
            <w:pPr>
              <w:spacing w:before="0"/>
              <w:jc w:val="center"/>
              <w:rPr>
                <w:color w:val="000000"/>
                <w:sz w:val="20"/>
                <w:szCs w:val="20"/>
              </w:rPr>
            </w:pPr>
            <w:r w:rsidRPr="00934C90">
              <w:rPr>
                <w:color w:val="000000"/>
                <w:sz w:val="20"/>
                <w:szCs w:val="20"/>
              </w:rPr>
              <w:t>-</w:t>
            </w:r>
          </w:p>
        </w:tc>
      </w:tr>
      <w:tr w:rsidR="00934C90" w:rsidRPr="00934C90" w:rsidTr="00934C90">
        <w:trPr>
          <w:trHeight w:val="255"/>
        </w:trPr>
        <w:tc>
          <w:tcPr>
            <w:tcW w:w="2732" w:type="pct"/>
            <w:tcBorders>
              <w:top w:val="nil"/>
              <w:left w:val="single" w:sz="8" w:space="0" w:color="auto"/>
              <w:bottom w:val="single" w:sz="4" w:space="0" w:color="auto"/>
              <w:right w:val="single" w:sz="4" w:space="0" w:color="auto"/>
            </w:tcBorders>
            <w:shd w:val="clear" w:color="auto" w:fill="auto"/>
            <w:vAlign w:val="center"/>
            <w:hideMark/>
          </w:tcPr>
          <w:p w:rsidR="00934C90" w:rsidRPr="00934C90" w:rsidRDefault="00934C90" w:rsidP="00934C90">
            <w:pPr>
              <w:spacing w:before="0"/>
              <w:jc w:val="left"/>
              <w:rPr>
                <w:color w:val="000000"/>
                <w:sz w:val="20"/>
                <w:szCs w:val="20"/>
              </w:rPr>
            </w:pPr>
            <w:r w:rsidRPr="00934C90">
              <w:rPr>
                <w:color w:val="000000"/>
                <w:sz w:val="20"/>
                <w:szCs w:val="20"/>
              </w:rPr>
              <w:t xml:space="preserve">Příjmy z </w:t>
            </w:r>
            <w:proofErr w:type="gramStart"/>
            <w:r w:rsidRPr="00934C90">
              <w:rPr>
                <w:color w:val="000000"/>
                <w:sz w:val="20"/>
                <w:szCs w:val="20"/>
              </w:rPr>
              <w:t>DEPO</w:t>
            </w:r>
            <w:proofErr w:type="gramEnd"/>
            <w:r w:rsidRPr="00934C90">
              <w:rPr>
                <w:color w:val="000000"/>
                <w:sz w:val="20"/>
                <w:szCs w:val="20"/>
              </w:rPr>
              <w:t xml:space="preserve"> EUR operací</w:t>
            </w:r>
          </w:p>
        </w:tc>
        <w:tc>
          <w:tcPr>
            <w:tcW w:w="756" w:type="pct"/>
            <w:tcBorders>
              <w:top w:val="nil"/>
              <w:left w:val="nil"/>
              <w:bottom w:val="single" w:sz="4" w:space="0" w:color="auto"/>
              <w:right w:val="single" w:sz="4" w:space="0" w:color="auto"/>
            </w:tcBorders>
            <w:shd w:val="clear" w:color="auto" w:fill="auto"/>
            <w:vAlign w:val="center"/>
            <w:hideMark/>
          </w:tcPr>
          <w:p w:rsidR="00934C90" w:rsidRPr="00934C90" w:rsidRDefault="00934C90" w:rsidP="00934C90">
            <w:pPr>
              <w:spacing w:before="0"/>
              <w:jc w:val="center"/>
              <w:rPr>
                <w:color w:val="000000"/>
                <w:sz w:val="20"/>
                <w:szCs w:val="20"/>
              </w:rPr>
            </w:pPr>
            <w:r w:rsidRPr="00934C90">
              <w:rPr>
                <w:color w:val="000000"/>
                <w:sz w:val="20"/>
                <w:szCs w:val="20"/>
              </w:rPr>
              <w:t>13,77</w:t>
            </w:r>
          </w:p>
        </w:tc>
        <w:tc>
          <w:tcPr>
            <w:tcW w:w="756" w:type="pct"/>
            <w:tcBorders>
              <w:top w:val="nil"/>
              <w:left w:val="nil"/>
              <w:bottom w:val="single" w:sz="4" w:space="0" w:color="auto"/>
              <w:right w:val="single" w:sz="4" w:space="0" w:color="auto"/>
            </w:tcBorders>
            <w:shd w:val="clear" w:color="auto" w:fill="auto"/>
            <w:vAlign w:val="center"/>
            <w:hideMark/>
          </w:tcPr>
          <w:p w:rsidR="00934C90" w:rsidRPr="00934C90" w:rsidRDefault="00934C90" w:rsidP="00934C90">
            <w:pPr>
              <w:spacing w:before="0"/>
              <w:jc w:val="center"/>
              <w:rPr>
                <w:color w:val="000000"/>
                <w:sz w:val="20"/>
                <w:szCs w:val="20"/>
              </w:rPr>
            </w:pPr>
            <w:r w:rsidRPr="00934C90">
              <w:rPr>
                <w:color w:val="000000"/>
                <w:sz w:val="20"/>
                <w:szCs w:val="20"/>
              </w:rPr>
              <w:t>1,02</w:t>
            </w:r>
          </w:p>
        </w:tc>
        <w:tc>
          <w:tcPr>
            <w:tcW w:w="756" w:type="pct"/>
            <w:tcBorders>
              <w:top w:val="nil"/>
              <w:left w:val="nil"/>
              <w:bottom w:val="single" w:sz="4" w:space="0" w:color="auto"/>
              <w:right w:val="single" w:sz="8" w:space="0" w:color="auto"/>
            </w:tcBorders>
            <w:shd w:val="clear" w:color="auto" w:fill="auto"/>
            <w:vAlign w:val="center"/>
            <w:hideMark/>
          </w:tcPr>
          <w:p w:rsidR="00934C90" w:rsidRPr="00934C90" w:rsidRDefault="00934C90" w:rsidP="00934C90">
            <w:pPr>
              <w:spacing w:before="0"/>
              <w:jc w:val="center"/>
              <w:rPr>
                <w:color w:val="000000"/>
                <w:sz w:val="20"/>
                <w:szCs w:val="20"/>
              </w:rPr>
            </w:pPr>
            <w:r w:rsidRPr="00934C90">
              <w:rPr>
                <w:color w:val="000000"/>
                <w:sz w:val="20"/>
                <w:szCs w:val="20"/>
              </w:rPr>
              <w:t>7,42</w:t>
            </w:r>
          </w:p>
        </w:tc>
      </w:tr>
      <w:tr w:rsidR="00934C90" w:rsidRPr="00934C90" w:rsidTr="00934C90">
        <w:trPr>
          <w:trHeight w:val="255"/>
        </w:trPr>
        <w:tc>
          <w:tcPr>
            <w:tcW w:w="2732" w:type="pct"/>
            <w:tcBorders>
              <w:top w:val="nil"/>
              <w:left w:val="single" w:sz="8" w:space="0" w:color="auto"/>
              <w:bottom w:val="single" w:sz="4" w:space="0" w:color="auto"/>
              <w:right w:val="single" w:sz="4" w:space="0" w:color="auto"/>
            </w:tcBorders>
            <w:shd w:val="clear" w:color="auto" w:fill="auto"/>
            <w:vAlign w:val="center"/>
            <w:hideMark/>
          </w:tcPr>
          <w:p w:rsidR="00934C90" w:rsidRPr="00934C90" w:rsidRDefault="00934C90" w:rsidP="00934C90">
            <w:pPr>
              <w:spacing w:before="0"/>
              <w:jc w:val="left"/>
              <w:rPr>
                <w:color w:val="000000"/>
                <w:sz w:val="20"/>
                <w:szCs w:val="20"/>
              </w:rPr>
            </w:pPr>
            <w:r w:rsidRPr="00934C90">
              <w:rPr>
                <w:color w:val="000000"/>
                <w:sz w:val="20"/>
                <w:szCs w:val="20"/>
              </w:rPr>
              <w:t>Příjmy z devizových swapů</w:t>
            </w:r>
          </w:p>
        </w:tc>
        <w:tc>
          <w:tcPr>
            <w:tcW w:w="756" w:type="pct"/>
            <w:tcBorders>
              <w:top w:val="nil"/>
              <w:left w:val="nil"/>
              <w:bottom w:val="single" w:sz="4" w:space="0" w:color="auto"/>
              <w:right w:val="single" w:sz="4" w:space="0" w:color="auto"/>
            </w:tcBorders>
            <w:shd w:val="clear" w:color="auto" w:fill="auto"/>
            <w:vAlign w:val="center"/>
            <w:hideMark/>
          </w:tcPr>
          <w:p w:rsidR="00934C90" w:rsidRPr="00934C90" w:rsidRDefault="00934C90" w:rsidP="00934C90">
            <w:pPr>
              <w:spacing w:before="0"/>
              <w:jc w:val="center"/>
              <w:rPr>
                <w:color w:val="000000"/>
                <w:sz w:val="20"/>
                <w:szCs w:val="20"/>
              </w:rPr>
            </w:pPr>
            <w:r w:rsidRPr="00934C90">
              <w:rPr>
                <w:color w:val="000000"/>
                <w:sz w:val="20"/>
                <w:szCs w:val="20"/>
              </w:rPr>
              <w:t>43,95</w:t>
            </w:r>
          </w:p>
        </w:tc>
        <w:tc>
          <w:tcPr>
            <w:tcW w:w="756" w:type="pct"/>
            <w:tcBorders>
              <w:top w:val="nil"/>
              <w:left w:val="nil"/>
              <w:bottom w:val="single" w:sz="4" w:space="0" w:color="auto"/>
              <w:right w:val="single" w:sz="4" w:space="0" w:color="auto"/>
            </w:tcBorders>
            <w:shd w:val="clear" w:color="auto" w:fill="auto"/>
            <w:vAlign w:val="center"/>
            <w:hideMark/>
          </w:tcPr>
          <w:p w:rsidR="00934C90" w:rsidRPr="00934C90" w:rsidRDefault="00934C90" w:rsidP="00934C90">
            <w:pPr>
              <w:spacing w:before="0"/>
              <w:jc w:val="center"/>
              <w:rPr>
                <w:color w:val="000000"/>
                <w:sz w:val="20"/>
                <w:szCs w:val="20"/>
              </w:rPr>
            </w:pPr>
            <w:r w:rsidRPr="00934C90">
              <w:rPr>
                <w:color w:val="000000"/>
                <w:sz w:val="20"/>
                <w:szCs w:val="20"/>
              </w:rPr>
              <w:t>17,72</w:t>
            </w:r>
          </w:p>
        </w:tc>
        <w:tc>
          <w:tcPr>
            <w:tcW w:w="756" w:type="pct"/>
            <w:tcBorders>
              <w:top w:val="nil"/>
              <w:left w:val="nil"/>
              <w:bottom w:val="single" w:sz="4" w:space="0" w:color="auto"/>
              <w:right w:val="single" w:sz="8" w:space="0" w:color="auto"/>
            </w:tcBorders>
            <w:shd w:val="clear" w:color="auto" w:fill="auto"/>
            <w:vAlign w:val="center"/>
            <w:hideMark/>
          </w:tcPr>
          <w:p w:rsidR="00934C90" w:rsidRPr="00934C90" w:rsidRDefault="00934C90" w:rsidP="00934C90">
            <w:pPr>
              <w:spacing w:before="0"/>
              <w:jc w:val="center"/>
              <w:rPr>
                <w:color w:val="000000"/>
                <w:sz w:val="20"/>
                <w:szCs w:val="20"/>
              </w:rPr>
            </w:pPr>
            <w:r w:rsidRPr="00934C90">
              <w:rPr>
                <w:color w:val="000000"/>
                <w:sz w:val="20"/>
                <w:szCs w:val="20"/>
              </w:rPr>
              <w:t>40,32</w:t>
            </w:r>
          </w:p>
        </w:tc>
      </w:tr>
      <w:tr w:rsidR="00934C90" w:rsidRPr="00934C90" w:rsidTr="00934C90">
        <w:trPr>
          <w:trHeight w:val="285"/>
        </w:trPr>
        <w:tc>
          <w:tcPr>
            <w:tcW w:w="2732" w:type="pct"/>
            <w:tcBorders>
              <w:top w:val="nil"/>
              <w:left w:val="single" w:sz="8" w:space="0" w:color="auto"/>
              <w:bottom w:val="single" w:sz="4" w:space="0" w:color="auto"/>
              <w:right w:val="single" w:sz="4" w:space="0" w:color="auto"/>
            </w:tcBorders>
            <w:shd w:val="clear" w:color="auto" w:fill="auto"/>
            <w:vAlign w:val="center"/>
            <w:hideMark/>
          </w:tcPr>
          <w:p w:rsidR="00934C90" w:rsidRPr="00934C90" w:rsidRDefault="00934C90" w:rsidP="00934C90">
            <w:pPr>
              <w:spacing w:before="0"/>
              <w:jc w:val="left"/>
              <w:rPr>
                <w:color w:val="000000"/>
                <w:sz w:val="20"/>
                <w:szCs w:val="20"/>
              </w:rPr>
            </w:pPr>
            <w:r w:rsidRPr="00934C90">
              <w:rPr>
                <w:color w:val="000000"/>
                <w:sz w:val="20"/>
                <w:szCs w:val="20"/>
              </w:rPr>
              <w:t xml:space="preserve">Příjmy ze zápůjčních </w:t>
            </w:r>
            <w:proofErr w:type="spellStart"/>
            <w:r w:rsidRPr="00934C90">
              <w:rPr>
                <w:color w:val="000000"/>
                <w:sz w:val="20"/>
                <w:szCs w:val="20"/>
              </w:rPr>
              <w:t>facilit</w:t>
            </w:r>
            <w:proofErr w:type="spellEnd"/>
            <w:r w:rsidRPr="00934C90">
              <w:rPr>
                <w:color w:val="000000"/>
                <w:sz w:val="20"/>
                <w:szCs w:val="20"/>
              </w:rPr>
              <w:t xml:space="preserve"> ve formě REPO operací</w:t>
            </w:r>
          </w:p>
        </w:tc>
        <w:tc>
          <w:tcPr>
            <w:tcW w:w="756" w:type="pct"/>
            <w:tcBorders>
              <w:top w:val="nil"/>
              <w:left w:val="nil"/>
              <w:bottom w:val="single" w:sz="4" w:space="0" w:color="auto"/>
              <w:right w:val="single" w:sz="4" w:space="0" w:color="auto"/>
            </w:tcBorders>
            <w:shd w:val="clear" w:color="auto" w:fill="auto"/>
            <w:vAlign w:val="center"/>
            <w:hideMark/>
          </w:tcPr>
          <w:p w:rsidR="00934C90" w:rsidRPr="00934C90" w:rsidRDefault="00934C90" w:rsidP="00934C90">
            <w:pPr>
              <w:spacing w:before="0"/>
              <w:jc w:val="center"/>
              <w:rPr>
                <w:color w:val="000000"/>
                <w:sz w:val="20"/>
                <w:szCs w:val="20"/>
              </w:rPr>
            </w:pPr>
            <w:r w:rsidRPr="00934C90">
              <w:rPr>
                <w:color w:val="000000"/>
                <w:sz w:val="20"/>
                <w:szCs w:val="20"/>
              </w:rPr>
              <w:t>7,82</w:t>
            </w:r>
          </w:p>
        </w:tc>
        <w:tc>
          <w:tcPr>
            <w:tcW w:w="756" w:type="pct"/>
            <w:tcBorders>
              <w:top w:val="nil"/>
              <w:left w:val="nil"/>
              <w:bottom w:val="single" w:sz="4" w:space="0" w:color="auto"/>
              <w:right w:val="single" w:sz="4" w:space="0" w:color="auto"/>
            </w:tcBorders>
            <w:shd w:val="clear" w:color="auto" w:fill="auto"/>
            <w:vAlign w:val="center"/>
            <w:hideMark/>
          </w:tcPr>
          <w:p w:rsidR="00934C90" w:rsidRPr="00934C90" w:rsidRDefault="00934C90" w:rsidP="00934C90">
            <w:pPr>
              <w:spacing w:before="0"/>
              <w:jc w:val="center"/>
              <w:rPr>
                <w:color w:val="000000"/>
                <w:sz w:val="20"/>
                <w:szCs w:val="20"/>
              </w:rPr>
            </w:pPr>
            <w:r w:rsidRPr="00934C90">
              <w:rPr>
                <w:color w:val="000000"/>
                <w:sz w:val="20"/>
                <w:szCs w:val="20"/>
              </w:rPr>
              <w:t>2,88</w:t>
            </w:r>
          </w:p>
        </w:tc>
        <w:tc>
          <w:tcPr>
            <w:tcW w:w="756" w:type="pct"/>
            <w:tcBorders>
              <w:top w:val="nil"/>
              <w:left w:val="nil"/>
              <w:bottom w:val="single" w:sz="4" w:space="0" w:color="auto"/>
              <w:right w:val="single" w:sz="8" w:space="0" w:color="auto"/>
            </w:tcBorders>
            <w:shd w:val="clear" w:color="auto" w:fill="auto"/>
            <w:vAlign w:val="center"/>
            <w:hideMark/>
          </w:tcPr>
          <w:p w:rsidR="00934C90" w:rsidRPr="00934C90" w:rsidRDefault="00934C90" w:rsidP="00934C90">
            <w:pPr>
              <w:spacing w:before="0"/>
              <w:jc w:val="center"/>
              <w:rPr>
                <w:color w:val="000000"/>
                <w:sz w:val="20"/>
                <w:szCs w:val="20"/>
              </w:rPr>
            </w:pPr>
            <w:r w:rsidRPr="00934C90">
              <w:rPr>
                <w:color w:val="000000"/>
                <w:sz w:val="20"/>
                <w:szCs w:val="20"/>
              </w:rPr>
              <w:t>36,84</w:t>
            </w:r>
          </w:p>
        </w:tc>
      </w:tr>
      <w:tr w:rsidR="00934C90" w:rsidRPr="00934C90" w:rsidTr="00934C90">
        <w:trPr>
          <w:trHeight w:val="255"/>
        </w:trPr>
        <w:tc>
          <w:tcPr>
            <w:tcW w:w="2732" w:type="pct"/>
            <w:tcBorders>
              <w:top w:val="nil"/>
              <w:left w:val="single" w:sz="8" w:space="0" w:color="auto"/>
              <w:bottom w:val="single" w:sz="4" w:space="0" w:color="auto"/>
              <w:right w:val="single" w:sz="4" w:space="0" w:color="auto"/>
            </w:tcBorders>
            <w:shd w:val="clear" w:color="auto" w:fill="auto"/>
            <w:vAlign w:val="center"/>
            <w:hideMark/>
          </w:tcPr>
          <w:p w:rsidR="00934C90" w:rsidRPr="00934C90" w:rsidRDefault="00934C90" w:rsidP="00934C90">
            <w:pPr>
              <w:spacing w:before="0"/>
              <w:jc w:val="left"/>
              <w:rPr>
                <w:color w:val="000000"/>
                <w:sz w:val="20"/>
                <w:szCs w:val="20"/>
              </w:rPr>
            </w:pPr>
            <w:r w:rsidRPr="00934C90">
              <w:rPr>
                <w:color w:val="000000"/>
                <w:sz w:val="20"/>
                <w:szCs w:val="20"/>
              </w:rPr>
              <w:t>Příjmy ze zápůjček dluhopisů</w:t>
            </w:r>
          </w:p>
        </w:tc>
        <w:tc>
          <w:tcPr>
            <w:tcW w:w="756" w:type="pct"/>
            <w:tcBorders>
              <w:top w:val="nil"/>
              <w:left w:val="nil"/>
              <w:bottom w:val="single" w:sz="4" w:space="0" w:color="auto"/>
              <w:right w:val="single" w:sz="4" w:space="0" w:color="auto"/>
            </w:tcBorders>
            <w:shd w:val="clear" w:color="auto" w:fill="auto"/>
            <w:vAlign w:val="center"/>
            <w:hideMark/>
          </w:tcPr>
          <w:p w:rsidR="00934C90" w:rsidRPr="00934C90" w:rsidRDefault="00934C90" w:rsidP="00934C90">
            <w:pPr>
              <w:spacing w:before="0"/>
              <w:jc w:val="center"/>
              <w:rPr>
                <w:color w:val="000000"/>
                <w:sz w:val="20"/>
                <w:szCs w:val="20"/>
              </w:rPr>
            </w:pPr>
            <w:r w:rsidRPr="00934C90">
              <w:rPr>
                <w:color w:val="000000"/>
                <w:sz w:val="20"/>
                <w:szCs w:val="20"/>
              </w:rPr>
              <w:t>3,82</w:t>
            </w:r>
          </w:p>
        </w:tc>
        <w:tc>
          <w:tcPr>
            <w:tcW w:w="756" w:type="pct"/>
            <w:tcBorders>
              <w:top w:val="nil"/>
              <w:left w:val="nil"/>
              <w:bottom w:val="single" w:sz="4" w:space="0" w:color="auto"/>
              <w:right w:val="single" w:sz="4" w:space="0" w:color="auto"/>
            </w:tcBorders>
            <w:shd w:val="clear" w:color="auto" w:fill="auto"/>
            <w:vAlign w:val="center"/>
            <w:hideMark/>
          </w:tcPr>
          <w:p w:rsidR="00934C90" w:rsidRPr="00934C90" w:rsidRDefault="00934C90" w:rsidP="00934C90">
            <w:pPr>
              <w:spacing w:before="0"/>
              <w:jc w:val="center"/>
              <w:rPr>
                <w:color w:val="000000"/>
                <w:sz w:val="20"/>
                <w:szCs w:val="20"/>
              </w:rPr>
            </w:pPr>
            <w:r w:rsidRPr="00934C90">
              <w:rPr>
                <w:color w:val="000000"/>
                <w:sz w:val="20"/>
                <w:szCs w:val="20"/>
              </w:rPr>
              <w:t>21,52</w:t>
            </w:r>
          </w:p>
        </w:tc>
        <w:tc>
          <w:tcPr>
            <w:tcW w:w="756" w:type="pct"/>
            <w:tcBorders>
              <w:top w:val="nil"/>
              <w:left w:val="nil"/>
              <w:bottom w:val="single" w:sz="4" w:space="0" w:color="auto"/>
              <w:right w:val="single" w:sz="8" w:space="0" w:color="auto"/>
            </w:tcBorders>
            <w:shd w:val="clear" w:color="auto" w:fill="auto"/>
            <w:vAlign w:val="center"/>
            <w:hideMark/>
          </w:tcPr>
          <w:p w:rsidR="00934C90" w:rsidRPr="00934C90" w:rsidRDefault="00934C90" w:rsidP="00934C90">
            <w:pPr>
              <w:spacing w:before="0"/>
              <w:jc w:val="center"/>
              <w:rPr>
                <w:sz w:val="20"/>
                <w:szCs w:val="20"/>
              </w:rPr>
            </w:pPr>
            <w:r w:rsidRPr="00934C90">
              <w:rPr>
                <w:sz w:val="20"/>
                <w:szCs w:val="20"/>
              </w:rPr>
              <w:t>562,93</w:t>
            </w:r>
          </w:p>
        </w:tc>
      </w:tr>
      <w:tr w:rsidR="00934C90" w:rsidRPr="00934C90" w:rsidTr="00934C90">
        <w:trPr>
          <w:trHeight w:val="549"/>
        </w:trPr>
        <w:tc>
          <w:tcPr>
            <w:tcW w:w="2732" w:type="pct"/>
            <w:tcBorders>
              <w:top w:val="nil"/>
              <w:left w:val="single" w:sz="8" w:space="0" w:color="auto"/>
              <w:bottom w:val="single" w:sz="8" w:space="0" w:color="auto"/>
              <w:right w:val="single" w:sz="4" w:space="0" w:color="auto"/>
            </w:tcBorders>
            <w:shd w:val="clear" w:color="auto" w:fill="auto"/>
            <w:vAlign w:val="center"/>
            <w:hideMark/>
          </w:tcPr>
          <w:p w:rsidR="00934C90" w:rsidRPr="00934C90" w:rsidRDefault="00934C90" w:rsidP="00934C90">
            <w:pPr>
              <w:spacing w:before="0"/>
              <w:jc w:val="left"/>
              <w:rPr>
                <w:b/>
                <w:bCs/>
                <w:color w:val="000000"/>
                <w:sz w:val="20"/>
                <w:szCs w:val="20"/>
              </w:rPr>
            </w:pPr>
            <w:r w:rsidRPr="00934C90">
              <w:rPr>
                <w:b/>
                <w:bCs/>
                <w:color w:val="000000"/>
                <w:sz w:val="20"/>
                <w:szCs w:val="20"/>
              </w:rPr>
              <w:t>Celkem čisté příjmy dosažené při řízení likvidity státní pokladny a státního dluhu</w:t>
            </w:r>
          </w:p>
        </w:tc>
        <w:tc>
          <w:tcPr>
            <w:tcW w:w="756" w:type="pct"/>
            <w:tcBorders>
              <w:top w:val="single" w:sz="4" w:space="0" w:color="auto"/>
              <w:left w:val="single" w:sz="4" w:space="0" w:color="auto"/>
              <w:bottom w:val="single" w:sz="8" w:space="0" w:color="auto"/>
              <w:right w:val="single" w:sz="4" w:space="0" w:color="auto"/>
            </w:tcBorders>
            <w:shd w:val="clear" w:color="auto" w:fill="auto"/>
            <w:vAlign w:val="center"/>
            <w:hideMark/>
          </w:tcPr>
          <w:p w:rsidR="00934C90" w:rsidRPr="00934C90" w:rsidRDefault="00934C90" w:rsidP="00934C90">
            <w:pPr>
              <w:spacing w:before="0"/>
              <w:jc w:val="center"/>
              <w:rPr>
                <w:b/>
                <w:bCs/>
                <w:color w:val="000000"/>
                <w:sz w:val="20"/>
                <w:szCs w:val="20"/>
              </w:rPr>
            </w:pPr>
            <w:r w:rsidRPr="00934C90">
              <w:rPr>
                <w:b/>
                <w:bCs/>
                <w:color w:val="000000"/>
                <w:sz w:val="20"/>
                <w:szCs w:val="20"/>
              </w:rPr>
              <w:t>132,17</w:t>
            </w:r>
          </w:p>
        </w:tc>
        <w:tc>
          <w:tcPr>
            <w:tcW w:w="756" w:type="pct"/>
            <w:tcBorders>
              <w:top w:val="single" w:sz="4" w:space="0" w:color="auto"/>
              <w:left w:val="nil"/>
              <w:bottom w:val="single" w:sz="8" w:space="0" w:color="auto"/>
              <w:right w:val="single" w:sz="4" w:space="0" w:color="auto"/>
            </w:tcBorders>
            <w:shd w:val="clear" w:color="auto" w:fill="auto"/>
            <w:vAlign w:val="center"/>
            <w:hideMark/>
          </w:tcPr>
          <w:p w:rsidR="00934C90" w:rsidRPr="00934C90" w:rsidRDefault="00934C90" w:rsidP="00934C90">
            <w:pPr>
              <w:spacing w:before="0"/>
              <w:jc w:val="center"/>
              <w:rPr>
                <w:b/>
                <w:bCs/>
                <w:color w:val="000000"/>
                <w:sz w:val="20"/>
                <w:szCs w:val="20"/>
              </w:rPr>
            </w:pPr>
            <w:r w:rsidRPr="00934C90">
              <w:rPr>
                <w:b/>
                <w:bCs/>
                <w:color w:val="000000"/>
                <w:sz w:val="20"/>
                <w:szCs w:val="20"/>
              </w:rPr>
              <w:t>336,67</w:t>
            </w:r>
          </w:p>
        </w:tc>
        <w:tc>
          <w:tcPr>
            <w:tcW w:w="756" w:type="pct"/>
            <w:tcBorders>
              <w:top w:val="nil"/>
              <w:left w:val="single" w:sz="4" w:space="0" w:color="auto"/>
              <w:bottom w:val="single" w:sz="8" w:space="0" w:color="auto"/>
              <w:right w:val="single" w:sz="8" w:space="0" w:color="auto"/>
            </w:tcBorders>
            <w:shd w:val="clear" w:color="auto" w:fill="auto"/>
            <w:vAlign w:val="center"/>
            <w:hideMark/>
          </w:tcPr>
          <w:p w:rsidR="00934C90" w:rsidRPr="00934C90" w:rsidRDefault="00934C90" w:rsidP="00934C90">
            <w:pPr>
              <w:spacing w:before="0"/>
              <w:jc w:val="center"/>
              <w:rPr>
                <w:b/>
                <w:bCs/>
                <w:color w:val="000000"/>
                <w:sz w:val="20"/>
                <w:szCs w:val="20"/>
              </w:rPr>
            </w:pPr>
            <w:r w:rsidRPr="00934C90">
              <w:rPr>
                <w:b/>
                <w:bCs/>
                <w:color w:val="000000"/>
                <w:sz w:val="20"/>
                <w:szCs w:val="20"/>
              </w:rPr>
              <w:t>254,72</w:t>
            </w:r>
          </w:p>
        </w:tc>
      </w:tr>
      <w:tr w:rsidR="00934C90" w:rsidRPr="00934C90" w:rsidTr="00934C90">
        <w:trPr>
          <w:trHeight w:val="315"/>
        </w:trPr>
        <w:tc>
          <w:tcPr>
            <w:tcW w:w="2732" w:type="pct"/>
            <w:tcBorders>
              <w:top w:val="single" w:sz="4" w:space="0" w:color="auto"/>
              <w:left w:val="single" w:sz="8" w:space="0" w:color="auto"/>
              <w:bottom w:val="nil"/>
              <w:right w:val="single" w:sz="4" w:space="0" w:color="auto"/>
            </w:tcBorders>
            <w:shd w:val="clear" w:color="auto" w:fill="auto"/>
            <w:vAlign w:val="center"/>
            <w:hideMark/>
          </w:tcPr>
          <w:p w:rsidR="00934C90" w:rsidRPr="00934C90" w:rsidRDefault="00934C90" w:rsidP="00934C90">
            <w:pPr>
              <w:spacing w:before="0"/>
              <w:jc w:val="left"/>
              <w:rPr>
                <w:color w:val="000000"/>
                <w:sz w:val="20"/>
                <w:szCs w:val="20"/>
              </w:rPr>
            </w:pPr>
            <w:r w:rsidRPr="00934C90">
              <w:rPr>
                <w:color w:val="000000"/>
                <w:sz w:val="20"/>
                <w:szCs w:val="20"/>
              </w:rPr>
              <w:t>Emisní činnost se záporným výnosem</w:t>
            </w:r>
            <w:r w:rsidRPr="00934C90">
              <w:rPr>
                <w:color w:val="000000"/>
                <w:sz w:val="20"/>
                <w:szCs w:val="20"/>
                <w:vertAlign w:val="superscript"/>
              </w:rPr>
              <w:t>1</w:t>
            </w:r>
          </w:p>
        </w:tc>
        <w:tc>
          <w:tcPr>
            <w:tcW w:w="756" w:type="pct"/>
            <w:tcBorders>
              <w:top w:val="single" w:sz="4" w:space="0" w:color="auto"/>
              <w:left w:val="nil"/>
              <w:bottom w:val="nil"/>
              <w:right w:val="single" w:sz="4" w:space="0" w:color="auto"/>
            </w:tcBorders>
            <w:shd w:val="clear" w:color="auto" w:fill="auto"/>
            <w:vAlign w:val="center"/>
            <w:hideMark/>
          </w:tcPr>
          <w:p w:rsidR="00934C90" w:rsidRPr="00934C90" w:rsidRDefault="00934C90" w:rsidP="00934C90">
            <w:pPr>
              <w:spacing w:before="0"/>
              <w:jc w:val="center"/>
              <w:rPr>
                <w:color w:val="000000"/>
                <w:sz w:val="20"/>
                <w:szCs w:val="20"/>
              </w:rPr>
            </w:pPr>
            <w:r w:rsidRPr="00934C90">
              <w:rPr>
                <w:color w:val="000000"/>
                <w:sz w:val="20"/>
                <w:szCs w:val="20"/>
              </w:rPr>
              <w:t>803,15</w:t>
            </w:r>
          </w:p>
        </w:tc>
        <w:tc>
          <w:tcPr>
            <w:tcW w:w="756" w:type="pct"/>
            <w:tcBorders>
              <w:top w:val="single" w:sz="4" w:space="0" w:color="auto"/>
              <w:left w:val="nil"/>
              <w:bottom w:val="nil"/>
              <w:right w:val="single" w:sz="4" w:space="0" w:color="auto"/>
            </w:tcBorders>
            <w:shd w:val="clear" w:color="000000" w:fill="FFFFFF"/>
            <w:vAlign w:val="center"/>
            <w:hideMark/>
          </w:tcPr>
          <w:p w:rsidR="00934C90" w:rsidRPr="00934C90" w:rsidRDefault="00934C90" w:rsidP="00934C90">
            <w:pPr>
              <w:spacing w:before="0"/>
              <w:jc w:val="center"/>
              <w:rPr>
                <w:color w:val="000000"/>
                <w:sz w:val="20"/>
                <w:szCs w:val="20"/>
              </w:rPr>
            </w:pPr>
            <w:r w:rsidRPr="00934C90">
              <w:rPr>
                <w:color w:val="000000"/>
                <w:sz w:val="20"/>
                <w:szCs w:val="20"/>
              </w:rPr>
              <w:t>1204,66</w:t>
            </w:r>
          </w:p>
        </w:tc>
        <w:tc>
          <w:tcPr>
            <w:tcW w:w="756" w:type="pct"/>
            <w:tcBorders>
              <w:top w:val="single" w:sz="4" w:space="0" w:color="auto"/>
              <w:left w:val="nil"/>
              <w:bottom w:val="single" w:sz="4" w:space="0" w:color="auto"/>
              <w:right w:val="single" w:sz="8" w:space="0" w:color="auto"/>
            </w:tcBorders>
            <w:shd w:val="clear" w:color="000000" w:fill="FFFFFF"/>
            <w:vAlign w:val="center"/>
            <w:hideMark/>
          </w:tcPr>
          <w:p w:rsidR="00934C90" w:rsidRPr="00934C90" w:rsidRDefault="00934C90" w:rsidP="00934C90">
            <w:pPr>
              <w:spacing w:before="0"/>
              <w:jc w:val="center"/>
              <w:rPr>
                <w:color w:val="000000"/>
                <w:sz w:val="20"/>
                <w:szCs w:val="20"/>
              </w:rPr>
            </w:pPr>
            <w:r w:rsidRPr="00934C90">
              <w:rPr>
                <w:color w:val="000000"/>
                <w:sz w:val="20"/>
                <w:szCs w:val="20"/>
              </w:rPr>
              <w:t>149,99</w:t>
            </w:r>
          </w:p>
        </w:tc>
      </w:tr>
      <w:tr w:rsidR="00934C90" w:rsidRPr="00934C90" w:rsidTr="00934C90">
        <w:trPr>
          <w:trHeight w:val="780"/>
        </w:trPr>
        <w:tc>
          <w:tcPr>
            <w:tcW w:w="2732" w:type="pct"/>
            <w:tcBorders>
              <w:top w:val="single" w:sz="4" w:space="0" w:color="auto"/>
              <w:left w:val="single" w:sz="8" w:space="0" w:color="auto"/>
              <w:bottom w:val="single" w:sz="8" w:space="0" w:color="auto"/>
              <w:right w:val="single" w:sz="4" w:space="0" w:color="auto"/>
            </w:tcBorders>
            <w:shd w:val="clear" w:color="auto" w:fill="auto"/>
            <w:vAlign w:val="center"/>
            <w:hideMark/>
          </w:tcPr>
          <w:p w:rsidR="00934C90" w:rsidRPr="00934C90" w:rsidRDefault="00934C90" w:rsidP="00934C90">
            <w:pPr>
              <w:spacing w:before="0"/>
              <w:jc w:val="left"/>
              <w:rPr>
                <w:b/>
                <w:bCs/>
                <w:color w:val="000000"/>
                <w:sz w:val="20"/>
                <w:szCs w:val="20"/>
              </w:rPr>
            </w:pPr>
            <w:r w:rsidRPr="00934C90">
              <w:rPr>
                <w:b/>
                <w:bCs/>
                <w:color w:val="000000"/>
                <w:sz w:val="20"/>
                <w:szCs w:val="20"/>
              </w:rPr>
              <w:t>Celkem čisté příjmy státního rozpočtu z operací v rámci řízení likvidity státní pokladny a emisí se záporným výnosem</w:t>
            </w:r>
          </w:p>
        </w:tc>
        <w:tc>
          <w:tcPr>
            <w:tcW w:w="756" w:type="pct"/>
            <w:tcBorders>
              <w:top w:val="single" w:sz="4" w:space="0" w:color="auto"/>
              <w:left w:val="single" w:sz="4" w:space="0" w:color="auto"/>
              <w:bottom w:val="single" w:sz="8" w:space="0" w:color="auto"/>
              <w:right w:val="single" w:sz="4" w:space="0" w:color="auto"/>
            </w:tcBorders>
            <w:shd w:val="clear" w:color="auto" w:fill="auto"/>
            <w:vAlign w:val="center"/>
            <w:hideMark/>
          </w:tcPr>
          <w:p w:rsidR="00934C90" w:rsidRPr="00934C90" w:rsidRDefault="00934C90" w:rsidP="00934C90">
            <w:pPr>
              <w:spacing w:before="0"/>
              <w:jc w:val="center"/>
              <w:rPr>
                <w:b/>
                <w:bCs/>
                <w:color w:val="000000"/>
                <w:sz w:val="20"/>
                <w:szCs w:val="20"/>
              </w:rPr>
            </w:pPr>
            <w:r w:rsidRPr="00934C90">
              <w:rPr>
                <w:b/>
                <w:bCs/>
                <w:color w:val="000000"/>
                <w:sz w:val="20"/>
                <w:szCs w:val="20"/>
              </w:rPr>
              <w:t>935,33</w:t>
            </w:r>
          </w:p>
        </w:tc>
        <w:tc>
          <w:tcPr>
            <w:tcW w:w="756" w:type="pct"/>
            <w:tcBorders>
              <w:top w:val="single" w:sz="4" w:space="0" w:color="auto"/>
              <w:left w:val="nil"/>
              <w:bottom w:val="single" w:sz="8" w:space="0" w:color="auto"/>
              <w:right w:val="single" w:sz="4" w:space="0" w:color="auto"/>
            </w:tcBorders>
            <w:shd w:val="clear" w:color="000000" w:fill="FFFFFF"/>
            <w:vAlign w:val="center"/>
            <w:hideMark/>
          </w:tcPr>
          <w:p w:rsidR="00934C90" w:rsidRPr="00934C90" w:rsidRDefault="00934C90" w:rsidP="00934C90">
            <w:pPr>
              <w:spacing w:before="0"/>
              <w:jc w:val="center"/>
              <w:rPr>
                <w:b/>
                <w:bCs/>
                <w:color w:val="000000"/>
                <w:sz w:val="20"/>
                <w:szCs w:val="20"/>
              </w:rPr>
            </w:pPr>
            <w:r w:rsidRPr="00934C90">
              <w:rPr>
                <w:b/>
                <w:bCs/>
                <w:color w:val="000000"/>
                <w:sz w:val="20"/>
                <w:szCs w:val="20"/>
              </w:rPr>
              <w:t>1541,33</w:t>
            </w:r>
          </w:p>
        </w:tc>
        <w:tc>
          <w:tcPr>
            <w:tcW w:w="756" w:type="pct"/>
            <w:tcBorders>
              <w:top w:val="nil"/>
              <w:left w:val="single" w:sz="4" w:space="0" w:color="auto"/>
              <w:bottom w:val="single" w:sz="8" w:space="0" w:color="auto"/>
              <w:right w:val="single" w:sz="8" w:space="0" w:color="auto"/>
            </w:tcBorders>
            <w:shd w:val="clear" w:color="000000" w:fill="FFFFFF"/>
            <w:vAlign w:val="center"/>
            <w:hideMark/>
          </w:tcPr>
          <w:p w:rsidR="00934C90" w:rsidRPr="00934C90" w:rsidRDefault="00934C90" w:rsidP="00934C90">
            <w:pPr>
              <w:spacing w:before="0"/>
              <w:jc w:val="center"/>
              <w:rPr>
                <w:b/>
                <w:bCs/>
                <w:color w:val="000000"/>
                <w:sz w:val="20"/>
                <w:szCs w:val="20"/>
              </w:rPr>
            </w:pPr>
            <w:r w:rsidRPr="00934C90">
              <w:rPr>
                <w:b/>
                <w:bCs/>
                <w:color w:val="000000"/>
                <w:sz w:val="20"/>
                <w:szCs w:val="20"/>
              </w:rPr>
              <w:t>164,79</w:t>
            </w:r>
          </w:p>
        </w:tc>
      </w:tr>
    </w:tbl>
    <w:p w:rsidR="004704B8" w:rsidRPr="00A11061" w:rsidRDefault="008E3F81" w:rsidP="004704B8">
      <w:pPr>
        <w:spacing w:before="0"/>
        <w:rPr>
          <w:rFonts w:eastAsia="MS Mincho"/>
          <w:i/>
          <w:sz w:val="20"/>
          <w:szCs w:val="20"/>
        </w:rPr>
      </w:pPr>
      <w:r w:rsidRPr="00934C90">
        <w:rPr>
          <w:color w:val="000000"/>
          <w:sz w:val="20"/>
          <w:szCs w:val="20"/>
          <w:vertAlign w:val="superscript"/>
        </w:rPr>
        <w:t>1</w:t>
      </w:r>
      <w:r w:rsidR="004704B8" w:rsidRPr="00A11061">
        <w:rPr>
          <w:rFonts w:eastAsia="MS Mincho"/>
          <w:i/>
          <w:sz w:val="20"/>
          <w:szCs w:val="20"/>
        </w:rPr>
        <w:t>Se zohledněním budoucích výdajů v podobě výplat kupónů do splatnosti těchto dluhopisů, pokud nebyly bez výnosu.</w:t>
      </w:r>
    </w:p>
    <w:p w:rsidR="004704B8" w:rsidRPr="00934C90" w:rsidRDefault="004704B8" w:rsidP="008117EF">
      <w:pPr>
        <w:spacing w:before="0"/>
        <w:rPr>
          <w:rFonts w:eastAsia="MS Mincho"/>
          <w:i/>
          <w:sz w:val="20"/>
          <w:szCs w:val="20"/>
        </w:rPr>
      </w:pPr>
      <w:r w:rsidRPr="00934C90">
        <w:rPr>
          <w:rFonts w:eastAsia="MS Mincho"/>
          <w:i/>
          <w:sz w:val="20"/>
          <w:szCs w:val="20"/>
        </w:rPr>
        <w:t>Zdroj: MF</w:t>
      </w:r>
    </w:p>
    <w:p w:rsidR="00934C90" w:rsidRDefault="00934C90" w:rsidP="00934C90">
      <w:r w:rsidRPr="008F504D">
        <w:rPr>
          <w:color w:val="000000"/>
        </w:rPr>
        <w:t xml:space="preserve">Z tabulky je zřejmé, že zatímco </w:t>
      </w:r>
      <w:r w:rsidRPr="00FA0486">
        <w:t>v </w:t>
      </w:r>
      <w:r>
        <w:t xml:space="preserve">roce 2017 </w:t>
      </w:r>
      <w:r>
        <w:rPr>
          <w:color w:val="000000"/>
        </w:rPr>
        <w:t>dosáhly celkové čisté úrokové příjmy</w:t>
      </w:r>
      <w:r w:rsidRPr="008F504D">
        <w:rPr>
          <w:color w:val="000000"/>
        </w:rPr>
        <w:t> </w:t>
      </w:r>
      <w:r>
        <w:rPr>
          <w:color w:val="000000"/>
        </w:rPr>
        <w:t>336,67</w:t>
      </w:r>
      <w:r w:rsidRPr="00DF2669">
        <w:rPr>
          <w:color w:val="000000"/>
        </w:rPr>
        <w:t xml:space="preserve"> mil</w:t>
      </w:r>
      <w:r w:rsidRPr="00D47205">
        <w:rPr>
          <w:color w:val="000000"/>
        </w:rPr>
        <w:t>. Kč, ve stejném období roku 201</w:t>
      </w:r>
      <w:r>
        <w:rPr>
          <w:color w:val="000000"/>
        </w:rPr>
        <w:t>6</w:t>
      </w:r>
      <w:r w:rsidRPr="00D47205">
        <w:rPr>
          <w:color w:val="000000"/>
        </w:rPr>
        <w:t xml:space="preserve"> </w:t>
      </w:r>
      <w:r>
        <w:rPr>
          <w:color w:val="000000"/>
        </w:rPr>
        <w:t>celkové čisté úrokové příjmy</w:t>
      </w:r>
      <w:r w:rsidRPr="00FC26DF">
        <w:rPr>
          <w:color w:val="000000"/>
        </w:rPr>
        <w:t xml:space="preserve"> dosáhly</w:t>
      </w:r>
      <w:r w:rsidRPr="00D47205">
        <w:rPr>
          <w:color w:val="000000"/>
        </w:rPr>
        <w:t xml:space="preserve"> </w:t>
      </w:r>
      <w:r>
        <w:rPr>
          <w:color w:val="000000"/>
        </w:rPr>
        <w:t>132,17 mil. Kč. Investováním peněžních prostředků</w:t>
      </w:r>
      <w:r w:rsidRPr="00D47205">
        <w:rPr>
          <w:color w:val="000000"/>
        </w:rPr>
        <w:t xml:space="preserve"> státní pokladny bylo dosaženo </w:t>
      </w:r>
      <w:r w:rsidRPr="00FA0486">
        <w:t>v </w:t>
      </w:r>
      <w:r>
        <w:t xml:space="preserve">roce 2017 </w:t>
      </w:r>
      <w:r w:rsidRPr="00D47205">
        <w:rPr>
          <w:color w:val="000000"/>
        </w:rPr>
        <w:t xml:space="preserve">o </w:t>
      </w:r>
      <w:r>
        <w:rPr>
          <w:color w:val="000000"/>
        </w:rPr>
        <w:t>204,50 </w:t>
      </w:r>
      <w:r w:rsidRPr="00D47205">
        <w:rPr>
          <w:color w:val="000000"/>
        </w:rPr>
        <w:t xml:space="preserve">mil. Kč </w:t>
      </w:r>
      <w:r>
        <w:rPr>
          <w:color w:val="000000"/>
        </w:rPr>
        <w:t>vyššíc</w:t>
      </w:r>
      <w:r w:rsidRPr="00D47205">
        <w:rPr>
          <w:color w:val="000000"/>
        </w:rPr>
        <w:t xml:space="preserve">h </w:t>
      </w:r>
      <w:r>
        <w:rPr>
          <w:color w:val="000000"/>
        </w:rPr>
        <w:t>čistých příjmů</w:t>
      </w:r>
      <w:r w:rsidRPr="00D47205">
        <w:rPr>
          <w:color w:val="000000"/>
        </w:rPr>
        <w:t xml:space="preserve"> než ve stejném období roku</w:t>
      </w:r>
      <w:r>
        <w:rPr>
          <w:color w:val="000000"/>
        </w:rPr>
        <w:t xml:space="preserve"> </w:t>
      </w:r>
      <w:r w:rsidRPr="002208D1">
        <w:rPr>
          <w:color w:val="000000"/>
        </w:rPr>
        <w:t>201</w:t>
      </w:r>
      <w:r>
        <w:rPr>
          <w:color w:val="000000"/>
        </w:rPr>
        <w:t>6</w:t>
      </w:r>
      <w:r w:rsidRPr="008C0D61">
        <w:rPr>
          <w:color w:val="000000"/>
        </w:rPr>
        <w:t>.</w:t>
      </w:r>
      <w:r>
        <w:rPr>
          <w:color w:val="000000"/>
        </w:rPr>
        <w:t xml:space="preserve"> Vyšš</w:t>
      </w:r>
      <w:r>
        <w:t>í</w:t>
      </w:r>
      <w:r w:rsidRPr="00D47205">
        <w:t xml:space="preserve"> </w:t>
      </w:r>
      <w:r>
        <w:t>čistý příjem</w:t>
      </w:r>
      <w:r w:rsidRPr="00D47205">
        <w:t xml:space="preserve"> z investování </w:t>
      </w:r>
      <w:r>
        <w:rPr>
          <w:color w:val="000000"/>
        </w:rPr>
        <w:t>peněžních prostředků</w:t>
      </w:r>
      <w:r w:rsidRPr="00D47205">
        <w:rPr>
          <w:color w:val="000000"/>
        </w:rPr>
        <w:t xml:space="preserve"> </w:t>
      </w:r>
      <w:r w:rsidRPr="00D47205">
        <w:t xml:space="preserve">státní pokladny </w:t>
      </w:r>
      <w:r w:rsidRPr="00FA0486">
        <w:t>v </w:t>
      </w:r>
      <w:r>
        <w:t xml:space="preserve">roce 2017 </w:t>
      </w:r>
      <w:r w:rsidRPr="00D47205">
        <w:t xml:space="preserve">ve srovnání se stejným obdobím předchozího roku byl způsoben </w:t>
      </w:r>
      <w:r>
        <w:t>především vyšším výnosem z korunových REPO operací.</w:t>
      </w:r>
      <w:r w:rsidRPr="00D47205">
        <w:t xml:space="preserve"> </w:t>
      </w:r>
    </w:p>
    <w:p w:rsidR="00934C90" w:rsidRDefault="00934C90" w:rsidP="00934C90">
      <w:r>
        <w:t xml:space="preserve">Vzhledem k příjmům z emisí se záporným výnosem v </w:t>
      </w:r>
      <w:proofErr w:type="spellStart"/>
      <w:r w:rsidRPr="00FA0486">
        <w:t>v</w:t>
      </w:r>
      <w:proofErr w:type="spellEnd"/>
      <w:r w:rsidRPr="00FA0486">
        <w:t> </w:t>
      </w:r>
      <w:r>
        <w:t xml:space="preserve">roce 2017 bylo dosaženo při řízení likvidity státní pokladny a řízení státního dluhu celkových čistých příjmů státního rozpočtu ve výši 1 541,33 mil. Kč, což je o 606,00 mil. Kč více než </w:t>
      </w:r>
      <w:r w:rsidRPr="00FA0486">
        <w:t>v</w:t>
      </w:r>
      <w:r>
        <w:t xml:space="preserve"> roce </w:t>
      </w:r>
      <w:r w:rsidRPr="00FA0486">
        <w:t>201</w:t>
      </w:r>
      <w:r>
        <w:t>6.</w:t>
      </w:r>
    </w:p>
    <w:p w:rsidR="00C76C93" w:rsidRPr="00934C90" w:rsidRDefault="00C76C93" w:rsidP="00C76C93">
      <w:pPr>
        <w:pStyle w:val="Nadpis3"/>
      </w:pPr>
      <w:bookmarkStart w:id="224" w:name="_Toc508286958"/>
      <w:r w:rsidRPr="00934C90">
        <w:t>Vývoj státní pokladny v roce 201</w:t>
      </w:r>
      <w:r w:rsidR="00AC5E30">
        <w:t>6</w:t>
      </w:r>
      <w:r w:rsidRPr="00934C90">
        <w:t xml:space="preserve"> a 201</w:t>
      </w:r>
      <w:r w:rsidR="00AC5E30">
        <w:t>7</w:t>
      </w:r>
      <w:bookmarkEnd w:id="224"/>
    </w:p>
    <w:p w:rsidR="00AC5E30" w:rsidRPr="00420D29" w:rsidRDefault="00AC5E30" w:rsidP="00AC5E30">
      <w:r>
        <w:t>Po opuštění režimu devizových intervencí České ná</w:t>
      </w:r>
      <w:r w:rsidR="006833EF">
        <w:t>rodní banky dne 6. dubna 2017 a </w:t>
      </w:r>
      <w:r>
        <w:t xml:space="preserve">v podmínkách postupného růstu úrokových sazeb </w:t>
      </w:r>
      <w:r w:rsidRPr="00420D29">
        <w:t xml:space="preserve">Ministerstvo </w:t>
      </w:r>
      <w:r>
        <w:t xml:space="preserve">i nadále pokračovalo </w:t>
      </w:r>
      <w:r w:rsidRPr="00420D29">
        <w:t xml:space="preserve">v racionalizaci volné likvidity státní pokladny v souladu s nejmodernějšími principy řízení vládních financí. </w:t>
      </w:r>
    </w:p>
    <w:p w:rsidR="00AC5E30" w:rsidRDefault="00AC5E30" w:rsidP="00AC5E30">
      <w:r w:rsidRPr="00420D29">
        <w:t xml:space="preserve">Navýšení disponibilních peněžních prostředků státní pokladny </w:t>
      </w:r>
      <w:r w:rsidRPr="00FA0486">
        <w:t>v </w:t>
      </w:r>
      <w:r>
        <w:t xml:space="preserve">roce 2017 </w:t>
      </w:r>
      <w:r w:rsidRPr="00420D29">
        <w:t xml:space="preserve">bylo způsobeno především </w:t>
      </w:r>
      <w:r>
        <w:t xml:space="preserve">vydáváním SDD na domácím trhu za účelem </w:t>
      </w:r>
      <w:r w:rsidR="006833EF">
        <w:rPr>
          <w:color w:val="000000"/>
        </w:rPr>
        <w:t>získání peněžních prostředků na </w:t>
      </w:r>
      <w:r>
        <w:rPr>
          <w:color w:val="000000"/>
        </w:rPr>
        <w:t>pokrytí splátek SDD vydaných na domácím trhu, splátek SSD a úvěrů EIB, a dále zvýšením stavu SPP splatných převážně v roce 2017 realizovaným pouze z důvodu využití záporných výnosů do splatnosti generujících dodatečné příjmy státního rozpočtu v podobě aukčních prémií.</w:t>
      </w:r>
      <w:r>
        <w:t xml:space="preserve"> Peněžní prostředky získané z těchto operací byly dále investovány v rámci řízení likvidity státní pokladny s pozitivním dopadem na státní rozpočet.</w:t>
      </w:r>
    </w:p>
    <w:p w:rsidR="00AC5E30" w:rsidRDefault="00AC5E30" w:rsidP="00AC5E30">
      <w:r w:rsidRPr="00420D29">
        <w:t>Novelou zákona č. 218/2000 Sb., o rozpočtových pravidlech a o změně některých souvisejících zákonů (rozpočtová pravidla), ve znění pozdějších předpisů došlo k</w:t>
      </w:r>
      <w:r>
        <w:rPr>
          <w:color w:val="000000"/>
        </w:rPr>
        <w:t xml:space="preserve"> rozšíření souhrnných účtů o nové povinné klienty, u kterých došlo k </w:t>
      </w:r>
      <w:r w:rsidRPr="00420D29">
        <w:t xml:space="preserve">navýšení </w:t>
      </w:r>
      <w:r>
        <w:t>zůstatku na účtech v </w:t>
      </w:r>
      <w:r w:rsidRPr="00420D29">
        <w:t>průměrn</w:t>
      </w:r>
      <w:r>
        <w:t>é výši</w:t>
      </w:r>
      <w:r w:rsidRPr="00420D29">
        <w:t xml:space="preserve"> 4</w:t>
      </w:r>
      <w:r>
        <w:t>9,3</w:t>
      </w:r>
      <w:r w:rsidRPr="00420D29">
        <w:t xml:space="preserve"> mld. Kč</w:t>
      </w:r>
      <w:r w:rsidRPr="00B45BF4">
        <w:t xml:space="preserve"> </w:t>
      </w:r>
      <w:r w:rsidRPr="00FA0486">
        <w:t>v </w:t>
      </w:r>
      <w:r>
        <w:t>roce 2017 oproti roku 2016.</w:t>
      </w:r>
    </w:p>
    <w:p w:rsidR="00AC5E30" w:rsidRDefault="00AC5E30" w:rsidP="00AC5E30">
      <w:r>
        <w:lastRenderedPageBreak/>
        <w:t xml:space="preserve">Tak jako v každém roce je stav státní pokladny nejvíce ovlivněn vývojem salda státního rozpočtu, emisní činností, splátkami státních dluhopisů a příjmy Národního fondu z Evropské komise. </w:t>
      </w:r>
    </w:p>
    <w:p w:rsidR="004704B8" w:rsidRPr="00934C90" w:rsidRDefault="004704B8" w:rsidP="004704B8">
      <w:pPr>
        <w:rPr>
          <w:b/>
          <w:sz w:val="22"/>
          <w:szCs w:val="20"/>
        </w:rPr>
      </w:pPr>
      <w:r w:rsidRPr="00934C90">
        <w:rPr>
          <w:b/>
          <w:sz w:val="22"/>
          <w:szCs w:val="20"/>
        </w:rPr>
        <w:t>Graf</w:t>
      </w:r>
      <w:r w:rsidRPr="00934C90">
        <w:rPr>
          <w:b/>
        </w:rPr>
        <w:t xml:space="preserve"> </w:t>
      </w:r>
      <w:r w:rsidR="00D8683E">
        <w:rPr>
          <w:b/>
        </w:rPr>
        <w:t xml:space="preserve">č. </w:t>
      </w:r>
      <w:r w:rsidR="00BE72C8">
        <w:rPr>
          <w:b/>
        </w:rPr>
        <w:t>2</w:t>
      </w:r>
      <w:r w:rsidRPr="00934C90">
        <w:rPr>
          <w:b/>
          <w:sz w:val="22"/>
          <w:szCs w:val="20"/>
        </w:rPr>
        <w:t>: Státní pokladna za rok 201</w:t>
      </w:r>
      <w:r w:rsidR="00AC5E30">
        <w:rPr>
          <w:b/>
          <w:sz w:val="22"/>
          <w:szCs w:val="20"/>
        </w:rPr>
        <w:t>6</w:t>
      </w:r>
      <w:r w:rsidRPr="00934C90">
        <w:rPr>
          <w:b/>
          <w:sz w:val="22"/>
          <w:szCs w:val="20"/>
        </w:rPr>
        <w:t xml:space="preserve"> a 201</w:t>
      </w:r>
      <w:r w:rsidR="00AC5E30">
        <w:rPr>
          <w:b/>
          <w:sz w:val="22"/>
          <w:szCs w:val="20"/>
        </w:rPr>
        <w:t>7</w:t>
      </w:r>
      <w:r w:rsidRPr="00934C90">
        <w:rPr>
          <w:b/>
          <w:sz w:val="22"/>
          <w:szCs w:val="20"/>
        </w:rPr>
        <w:t xml:space="preserve"> (mld. Kč)</w:t>
      </w:r>
    </w:p>
    <w:p w:rsidR="004704B8" w:rsidRPr="00934C90" w:rsidRDefault="00AC5E30" w:rsidP="004704B8">
      <w:r>
        <w:rPr>
          <w:noProof/>
        </w:rPr>
        <w:drawing>
          <wp:inline distT="0" distB="0" distL="0" distR="0" wp14:anchorId="5B6F6FF9" wp14:editId="5D278456">
            <wp:extent cx="5756745" cy="3442915"/>
            <wp:effectExtent l="0" t="0" r="0" b="5715"/>
            <wp:docPr id="2" name="Graf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r w:rsidR="004704B8" w:rsidRPr="00934C90">
        <w:rPr>
          <w:i/>
          <w:sz w:val="20"/>
          <w:szCs w:val="20"/>
        </w:rPr>
        <w:t>Zdroj: ČNB a MF</w:t>
      </w:r>
    </w:p>
    <w:p w:rsidR="00E77FD3" w:rsidRPr="00934C90" w:rsidRDefault="00C76C93" w:rsidP="00C76C93">
      <w:pPr>
        <w:pStyle w:val="Nadpis3"/>
        <w:rPr>
          <w:color w:val="17365D"/>
        </w:rPr>
      </w:pPr>
      <w:bookmarkStart w:id="225" w:name="_Toc508286959"/>
      <w:r w:rsidRPr="00934C90">
        <w:t>Vývoj státního rozpočtu v roce 201</w:t>
      </w:r>
      <w:r w:rsidR="00AC5E30">
        <w:t>6</w:t>
      </w:r>
      <w:r w:rsidRPr="00934C90">
        <w:t xml:space="preserve"> a 201</w:t>
      </w:r>
      <w:r w:rsidR="00AC5E30">
        <w:t>7</w:t>
      </w:r>
      <w:bookmarkEnd w:id="225"/>
    </w:p>
    <w:p w:rsidR="00A11061" w:rsidRDefault="00AC5E30" w:rsidP="0075364F">
      <w:r>
        <w:t>Hospodaření státního rozpočtu za rok 2017 skončilo sch</w:t>
      </w:r>
      <w:r w:rsidR="006833EF">
        <w:t>odkem ve výši 6,15 mld. Kč a ve </w:t>
      </w:r>
      <w:r>
        <w:t>srovnání s rokem 2016 se vyvíjelo negativněji z důvodu nižších prostředků přijatýc</w:t>
      </w:r>
      <w:r w:rsidR="006833EF">
        <w:t>h z </w:t>
      </w:r>
      <w:r>
        <w:t>EU a finančních mechanismů. Rozdíly ve výkyvech salda státního rozpočtu v obou letech způsobuje především časový nesoulad ve dnech splatnosti DPH a splatných vratek DPH, přičemž velkou roli hraje rovněž časové rozvržení převodu prostředků z Národního f</w:t>
      </w:r>
      <w:r w:rsidR="006833EF">
        <w:t>ondu do </w:t>
      </w:r>
      <w:r>
        <w:t>státního rozpočtu, jakož i další změny v rozložení někte</w:t>
      </w:r>
      <w:r w:rsidR="006833EF">
        <w:t>rých výdajů státního rozpočtu v </w:t>
      </w:r>
      <w:bookmarkStart w:id="226" w:name="_GoBack"/>
      <w:bookmarkEnd w:id="226"/>
      <w:r>
        <w:t>čase.</w:t>
      </w:r>
    </w:p>
    <w:p w:rsidR="00AC5E30" w:rsidRDefault="00A11061" w:rsidP="0075364F">
      <w:r>
        <w:br w:type="page"/>
      </w:r>
    </w:p>
    <w:p w:rsidR="0075364F" w:rsidRPr="00934C90" w:rsidRDefault="0075364F" w:rsidP="0075364F">
      <w:pPr>
        <w:rPr>
          <w:b/>
        </w:rPr>
      </w:pPr>
      <w:r w:rsidRPr="00934C90">
        <w:rPr>
          <w:b/>
          <w:sz w:val="22"/>
          <w:szCs w:val="20"/>
        </w:rPr>
        <w:t>Graf</w:t>
      </w:r>
      <w:r w:rsidRPr="00934C90">
        <w:rPr>
          <w:b/>
        </w:rPr>
        <w:t xml:space="preserve"> </w:t>
      </w:r>
      <w:r w:rsidR="00090FAC" w:rsidRPr="005875D9">
        <w:rPr>
          <w:b/>
          <w:sz w:val="22"/>
          <w:szCs w:val="22"/>
        </w:rPr>
        <w:t xml:space="preserve">č. </w:t>
      </w:r>
      <w:r w:rsidR="00D8683E">
        <w:rPr>
          <w:b/>
          <w:sz w:val="22"/>
          <w:szCs w:val="22"/>
        </w:rPr>
        <w:t>3</w:t>
      </w:r>
      <w:r w:rsidRPr="00934C90">
        <w:rPr>
          <w:b/>
          <w:sz w:val="22"/>
          <w:szCs w:val="20"/>
        </w:rPr>
        <w:t xml:space="preserve">: </w:t>
      </w:r>
      <w:r w:rsidRPr="00934C90">
        <w:rPr>
          <w:b/>
        </w:rPr>
        <w:t>Vývoj státního rozpočtu za rok 201</w:t>
      </w:r>
      <w:r w:rsidR="00AC5E30">
        <w:rPr>
          <w:b/>
        </w:rPr>
        <w:t>6</w:t>
      </w:r>
      <w:r w:rsidRPr="00934C90">
        <w:rPr>
          <w:b/>
        </w:rPr>
        <w:t xml:space="preserve"> a 201</w:t>
      </w:r>
      <w:r w:rsidR="00AC5E30">
        <w:rPr>
          <w:b/>
        </w:rPr>
        <w:t>7</w:t>
      </w:r>
      <w:r w:rsidRPr="00934C90">
        <w:rPr>
          <w:b/>
        </w:rPr>
        <w:t xml:space="preserve"> (mld. Kč)</w:t>
      </w:r>
    </w:p>
    <w:p w:rsidR="00AC5E30" w:rsidRPr="00537067" w:rsidRDefault="00AC5E30" w:rsidP="00AC5E30">
      <w:pPr>
        <w:rPr>
          <w:i/>
          <w:sz w:val="20"/>
          <w:szCs w:val="20"/>
        </w:rPr>
      </w:pPr>
      <w:r>
        <w:rPr>
          <w:noProof/>
        </w:rPr>
        <w:drawing>
          <wp:inline distT="0" distB="0" distL="0" distR="0" wp14:anchorId="500CD220" wp14:editId="16E5EB45">
            <wp:extent cx="5760085" cy="3763010"/>
            <wp:effectExtent l="0" t="0" r="0" b="8890"/>
            <wp:docPr id="6" name="Graf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r w:rsidRPr="00537067">
        <w:rPr>
          <w:i/>
          <w:sz w:val="20"/>
          <w:szCs w:val="20"/>
        </w:rPr>
        <w:t xml:space="preserve"> </w:t>
      </w:r>
      <w:r w:rsidRPr="002601BC">
        <w:rPr>
          <w:i/>
          <w:sz w:val="20"/>
          <w:szCs w:val="20"/>
        </w:rPr>
        <w:t xml:space="preserve">Zdroj: </w:t>
      </w:r>
      <w:r>
        <w:rPr>
          <w:i/>
          <w:sz w:val="20"/>
          <w:szCs w:val="20"/>
        </w:rPr>
        <w:t xml:space="preserve">ČNB a </w:t>
      </w:r>
      <w:r w:rsidRPr="002601BC">
        <w:rPr>
          <w:i/>
          <w:sz w:val="20"/>
          <w:szCs w:val="20"/>
        </w:rPr>
        <w:t>MF</w:t>
      </w:r>
    </w:p>
    <w:p w:rsidR="0075364F" w:rsidRPr="0075364F" w:rsidRDefault="00E8377E" w:rsidP="0075364F">
      <w:r>
        <w:br w:type="page"/>
      </w:r>
    </w:p>
    <w:p w:rsidR="001E666C" w:rsidRDefault="001E666C" w:rsidP="00F54BA1">
      <w:pPr>
        <w:pStyle w:val="Nadpis1"/>
        <w:numPr>
          <w:ilvl w:val="0"/>
          <w:numId w:val="30"/>
        </w:numPr>
        <w:ind w:left="587"/>
      </w:pPr>
      <w:bookmarkStart w:id="227" w:name="_Toc508286960"/>
      <w:r>
        <w:t>Tabulková příloha</w:t>
      </w:r>
      <w:bookmarkEnd w:id="227"/>
    </w:p>
    <w:p w:rsidR="001E666C" w:rsidRPr="006F5EA6" w:rsidRDefault="001E666C" w:rsidP="006F5EA6">
      <w:r>
        <w:rPr>
          <w:b/>
        </w:rPr>
        <w:t xml:space="preserve">Příloha </w:t>
      </w:r>
      <w:r w:rsidR="009D0941">
        <w:rPr>
          <w:b/>
        </w:rPr>
        <w:t xml:space="preserve">č. </w:t>
      </w:r>
      <w:r w:rsidRPr="00FA243D">
        <w:rPr>
          <w:b/>
        </w:rPr>
        <w:t>1</w:t>
      </w:r>
      <w:r w:rsidR="009D0941">
        <w:rPr>
          <w:b/>
        </w:rPr>
        <w:t>:</w:t>
      </w:r>
      <w:r>
        <w:t xml:space="preserve"> </w:t>
      </w:r>
      <w:r w:rsidRPr="006F5EA6">
        <w:t>Vývoj státního dluhu České republiky v</w:t>
      </w:r>
      <w:r>
        <w:t> </w:t>
      </w:r>
      <w:r w:rsidR="00142273">
        <w:t>roce</w:t>
      </w:r>
      <w:r w:rsidRPr="006F5EA6">
        <w:t xml:space="preserve"> 20</w:t>
      </w:r>
      <w:r w:rsidR="00CA0548">
        <w:t>1</w:t>
      </w:r>
      <w:r w:rsidR="00726CA7">
        <w:t>7</w:t>
      </w:r>
    </w:p>
    <w:p w:rsidR="001E666C" w:rsidRDefault="001E666C" w:rsidP="006F5EA6">
      <w:r>
        <w:rPr>
          <w:b/>
        </w:rPr>
        <w:t xml:space="preserve">Příloha </w:t>
      </w:r>
      <w:r w:rsidR="009D0941">
        <w:rPr>
          <w:b/>
        </w:rPr>
        <w:t xml:space="preserve">č. </w:t>
      </w:r>
      <w:r w:rsidR="00B06E76">
        <w:rPr>
          <w:b/>
        </w:rPr>
        <w:t>2</w:t>
      </w:r>
      <w:r w:rsidR="009D0941">
        <w:rPr>
          <w:b/>
        </w:rPr>
        <w:t>:</w:t>
      </w:r>
      <w:r>
        <w:t xml:space="preserve"> </w:t>
      </w:r>
      <w:r w:rsidR="009C6095" w:rsidRPr="00E635EF">
        <w:t xml:space="preserve">Příjmy </w:t>
      </w:r>
      <w:r w:rsidR="009C6095">
        <w:t>státního dluhu České republiky v roce 2017</w:t>
      </w:r>
    </w:p>
    <w:p w:rsidR="003B14C7" w:rsidRPr="006F5EA6" w:rsidRDefault="003B14C7" w:rsidP="006F5EA6">
      <w:r>
        <w:rPr>
          <w:b/>
        </w:rPr>
        <w:t>Příloha č. 3:</w:t>
      </w:r>
      <w:r>
        <w:t xml:space="preserve"> </w:t>
      </w:r>
      <w:r w:rsidR="009C6095" w:rsidRPr="00440823">
        <w:t>Výdaje na státní dluh</w:t>
      </w:r>
      <w:r w:rsidR="009C6095" w:rsidRPr="000C6F7E">
        <w:t xml:space="preserve"> České republiky</w:t>
      </w:r>
      <w:r w:rsidR="009C6095">
        <w:t xml:space="preserve"> v roce 2017</w:t>
      </w:r>
    </w:p>
    <w:p w:rsidR="001E666C" w:rsidRPr="008F77A9" w:rsidRDefault="001E666C" w:rsidP="00E93003">
      <w:pPr>
        <w:ind w:left="1503" w:hanging="1503"/>
        <w:rPr>
          <w:i/>
          <w:sz w:val="20"/>
          <w:szCs w:val="20"/>
        </w:rPr>
      </w:pPr>
      <w:r>
        <w:rPr>
          <w:i/>
          <w:sz w:val="20"/>
          <w:szCs w:val="20"/>
        </w:rPr>
        <w:t xml:space="preserve">Zdroj Příloh 1 až </w:t>
      </w:r>
      <w:r w:rsidR="00FA6BB8">
        <w:rPr>
          <w:i/>
          <w:sz w:val="20"/>
          <w:szCs w:val="20"/>
        </w:rPr>
        <w:t>3</w:t>
      </w:r>
      <w:r>
        <w:rPr>
          <w:i/>
          <w:sz w:val="20"/>
          <w:szCs w:val="20"/>
        </w:rPr>
        <w:t>: MF</w:t>
      </w:r>
    </w:p>
    <w:p w:rsidR="001E666C" w:rsidRDefault="001E666C" w:rsidP="00A33AE7">
      <w:pPr>
        <w:spacing w:line="360" w:lineRule="atLeast"/>
      </w:pPr>
    </w:p>
    <w:p w:rsidR="001E666C" w:rsidRPr="005B3D4C" w:rsidRDefault="001E666C" w:rsidP="00A33AE7">
      <w:pPr>
        <w:spacing w:line="360" w:lineRule="atLeast"/>
        <w:sectPr w:rsidR="001E666C" w:rsidRPr="005B3D4C" w:rsidSect="00F952F1">
          <w:pgSz w:w="11907" w:h="16840" w:code="9"/>
          <w:pgMar w:top="1418" w:right="1418" w:bottom="1418" w:left="1418" w:header="397" w:footer="397" w:gutter="0"/>
          <w:pgNumType w:start="1"/>
          <w:cols w:space="708"/>
          <w:noEndnote/>
          <w:titlePg/>
        </w:sectPr>
      </w:pPr>
    </w:p>
    <w:p w:rsidR="001E666C" w:rsidRDefault="00074743" w:rsidP="003E5D6B">
      <w:pPr>
        <w:pStyle w:val="Titulek"/>
        <w:framePr w:w="0" w:hSpace="0" w:wrap="auto" w:vAnchor="margin" w:hAnchor="text" w:xAlign="left" w:yAlign="inline"/>
      </w:pPr>
      <w:bookmarkStart w:id="228" w:name="_Ref445883099"/>
      <w:r>
        <w:lastRenderedPageBreak/>
        <w:t xml:space="preserve">Příloha č. </w:t>
      </w:r>
      <w:fldSimple w:instr=" SEQ Příloha_č. \* ARABIC ">
        <w:r w:rsidR="00E3034F">
          <w:rPr>
            <w:noProof/>
          </w:rPr>
          <w:t>1</w:t>
        </w:r>
      </w:fldSimple>
      <w:bookmarkEnd w:id="228"/>
      <w:r w:rsidR="001E666C">
        <w:t>: Vývoj státního dluhu České republiky v </w:t>
      </w:r>
      <w:r w:rsidR="00E4281F">
        <w:t>roce</w:t>
      </w:r>
      <w:r w:rsidR="001E666C">
        <w:t xml:space="preserve"> 201</w:t>
      </w:r>
      <w:r w:rsidR="00A65BAE">
        <w:t>7</w:t>
      </w:r>
      <w:r w:rsidR="003E5D6B">
        <w:t xml:space="preserve"> (mld. Kč)</w:t>
      </w:r>
    </w:p>
    <w:p w:rsidR="00B558AD" w:rsidRDefault="00A65BAE" w:rsidP="00446D25">
      <w:pPr>
        <w:jc w:val="left"/>
        <w:rPr>
          <w:noProof/>
        </w:rPr>
      </w:pPr>
      <w:r w:rsidRPr="00A65BAE">
        <w:rPr>
          <w:noProof/>
        </w:rPr>
        <w:drawing>
          <wp:inline distT="0" distB="0" distL="0" distR="0" wp14:anchorId="4E4ED04E" wp14:editId="409A1322">
            <wp:extent cx="5759450" cy="6340121"/>
            <wp:effectExtent l="0" t="0" r="0" b="381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59450" cy="6340121"/>
                    </a:xfrm>
                    <a:prstGeom prst="rect">
                      <a:avLst/>
                    </a:prstGeom>
                    <a:noFill/>
                    <a:ln>
                      <a:noFill/>
                    </a:ln>
                  </pic:spPr>
                </pic:pic>
              </a:graphicData>
            </a:graphic>
          </wp:inline>
        </w:drawing>
      </w:r>
    </w:p>
    <w:p w:rsidR="00FA6BB8" w:rsidRPr="005F0456" w:rsidRDefault="00FA6BB8" w:rsidP="00446D25">
      <w:pPr>
        <w:jc w:val="left"/>
        <w:rPr>
          <w:noProof/>
        </w:rPr>
        <w:sectPr w:rsidR="00FA6BB8" w:rsidRPr="005F0456" w:rsidSect="000E053A">
          <w:headerReference w:type="default" r:id="rId32"/>
          <w:footerReference w:type="default" r:id="rId33"/>
          <w:pgSz w:w="11906" w:h="16838" w:code="9"/>
          <w:pgMar w:top="1418" w:right="1418" w:bottom="1418" w:left="1418" w:header="397" w:footer="397" w:gutter="0"/>
          <w:cols w:space="708"/>
          <w:docGrid w:linePitch="360"/>
        </w:sectPr>
      </w:pPr>
    </w:p>
    <w:p w:rsidR="00E635EF" w:rsidRDefault="00E635EF" w:rsidP="001C38EF">
      <w:pPr>
        <w:pStyle w:val="Titulek"/>
        <w:framePr w:w="0" w:hSpace="0" w:wrap="auto" w:vAnchor="margin" w:hAnchor="text" w:xAlign="left" w:yAlign="inline"/>
        <w:jc w:val="left"/>
        <w:rPr>
          <w:b w:val="0"/>
        </w:rPr>
        <w:sectPr w:rsidR="00E635EF" w:rsidSect="000E053A">
          <w:headerReference w:type="default" r:id="rId34"/>
          <w:footerReference w:type="default" r:id="rId35"/>
          <w:type w:val="continuous"/>
          <w:pgSz w:w="11907" w:h="16840" w:code="9"/>
          <w:pgMar w:top="1418" w:right="1418" w:bottom="1418" w:left="1418" w:header="0" w:footer="567" w:gutter="0"/>
          <w:cols w:space="708"/>
          <w:noEndnote/>
          <w:titlePg/>
        </w:sectPr>
      </w:pPr>
      <w:r>
        <w:lastRenderedPageBreak/>
        <w:t xml:space="preserve">Příloha č. 2: </w:t>
      </w:r>
      <w:r w:rsidRPr="00E635EF">
        <w:t xml:space="preserve">Příjmy </w:t>
      </w:r>
      <w:r w:rsidR="003B14C7">
        <w:t>státního dluhu České republiky</w:t>
      </w:r>
      <w:r>
        <w:t xml:space="preserve"> v roce 2017 (</w:t>
      </w:r>
      <w:r w:rsidRPr="00E635EF">
        <w:t>mil. Kč)</w:t>
      </w:r>
      <w:r w:rsidRPr="00E635EF">
        <w:rPr>
          <w:b w:val="0"/>
        </w:rPr>
        <w:t xml:space="preserve"> </w:t>
      </w:r>
      <w:r w:rsidRPr="00E635EF">
        <w:rPr>
          <w:noProof/>
        </w:rPr>
        <w:drawing>
          <wp:inline distT="0" distB="0" distL="0" distR="0" wp14:anchorId="28A1F9CA" wp14:editId="68F872BA">
            <wp:extent cx="5760085" cy="5218295"/>
            <wp:effectExtent l="0" t="0" r="0" b="1905"/>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760085" cy="5218295"/>
                    </a:xfrm>
                    <a:prstGeom prst="rect">
                      <a:avLst/>
                    </a:prstGeom>
                    <a:noFill/>
                    <a:ln>
                      <a:noFill/>
                    </a:ln>
                  </pic:spPr>
                </pic:pic>
              </a:graphicData>
            </a:graphic>
          </wp:inline>
        </w:drawing>
      </w:r>
    </w:p>
    <w:p w:rsidR="001E666C" w:rsidRPr="00F90AF7" w:rsidRDefault="00E635EF" w:rsidP="009C6095">
      <w:pPr>
        <w:pStyle w:val="Titulek"/>
        <w:framePr w:w="0" w:hSpace="0" w:wrap="auto" w:vAnchor="margin" w:hAnchor="text" w:xAlign="left" w:yAlign="inline"/>
        <w:jc w:val="left"/>
      </w:pPr>
      <w:r>
        <w:lastRenderedPageBreak/>
        <w:t xml:space="preserve">Příloha č. 3: </w:t>
      </w:r>
      <w:r w:rsidR="009C6095" w:rsidRPr="00440823">
        <w:t>Výdaje na státní dluh</w:t>
      </w:r>
      <w:r w:rsidR="009C6095" w:rsidRPr="000C6F7E">
        <w:t xml:space="preserve"> České republiky</w:t>
      </w:r>
      <w:r>
        <w:t xml:space="preserve"> v roce 2017 (</w:t>
      </w:r>
      <w:r w:rsidRPr="00E635EF">
        <w:t>mil. Kč)</w:t>
      </w:r>
      <w:r w:rsidR="003B14C7" w:rsidRPr="003B14C7">
        <w:rPr>
          <w:b w:val="0"/>
        </w:rPr>
        <w:t xml:space="preserve"> </w:t>
      </w:r>
      <w:r w:rsidR="00FD4AF5" w:rsidRPr="00FD4AF5">
        <w:rPr>
          <w:noProof/>
        </w:rPr>
        <w:drawing>
          <wp:inline distT="0" distB="0" distL="0" distR="0" wp14:anchorId="70220870" wp14:editId="64AA9A42">
            <wp:extent cx="5760085" cy="734201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60085" cy="7342015"/>
                    </a:xfrm>
                    <a:prstGeom prst="rect">
                      <a:avLst/>
                    </a:prstGeom>
                    <a:noFill/>
                    <a:ln>
                      <a:noFill/>
                    </a:ln>
                  </pic:spPr>
                </pic:pic>
              </a:graphicData>
            </a:graphic>
          </wp:inline>
        </w:drawing>
      </w:r>
    </w:p>
    <w:sectPr w:rsidR="001E666C" w:rsidRPr="00F90AF7" w:rsidSect="00E635EF">
      <w:pgSz w:w="11907" w:h="16840" w:code="9"/>
      <w:pgMar w:top="1418" w:right="1418" w:bottom="1418" w:left="1418" w:header="0" w:footer="567"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18DE" w:rsidRDefault="004C18DE">
      <w:r>
        <w:separator/>
      </w:r>
    </w:p>
  </w:endnote>
  <w:endnote w:type="continuationSeparator" w:id="0">
    <w:p w:rsidR="004C18DE" w:rsidRDefault="004C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143" w:rsidRDefault="000C014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143" w:rsidRDefault="000C0143">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143" w:rsidRPr="00105E36" w:rsidRDefault="000C0143" w:rsidP="00105E36">
    <w:pPr>
      <w:pStyle w:val="Zpat"/>
      <w:jc w:val="center"/>
      <w:rPr>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143" w:rsidRPr="00E3006C" w:rsidRDefault="000C0143">
    <w:pPr>
      <w:pStyle w:val="Zpat"/>
      <w:jc w:val="center"/>
      <w:rPr>
        <w:sz w:val="20"/>
      </w:rPr>
    </w:pPr>
    <w:r w:rsidRPr="00E3006C">
      <w:rPr>
        <w:sz w:val="20"/>
      </w:rPr>
      <w:fldChar w:fldCharType="begin"/>
    </w:r>
    <w:r w:rsidRPr="00E3006C">
      <w:rPr>
        <w:sz w:val="20"/>
      </w:rPr>
      <w:instrText>PAGE   \* MERGEFORMAT</w:instrText>
    </w:r>
    <w:r w:rsidRPr="00E3006C">
      <w:rPr>
        <w:sz w:val="20"/>
      </w:rPr>
      <w:fldChar w:fldCharType="separate"/>
    </w:r>
    <w:r w:rsidR="006833EF">
      <w:rPr>
        <w:noProof/>
        <w:sz w:val="20"/>
      </w:rPr>
      <w:t>13</w:t>
    </w:r>
    <w:r w:rsidRPr="00E3006C">
      <w:rPr>
        <w:sz w:val="20"/>
      </w:rPr>
      <w:fldChar w:fldCharType="end"/>
    </w:r>
  </w:p>
  <w:p w:rsidR="000C0143" w:rsidRDefault="000C014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143" w:rsidRPr="003D0CA9" w:rsidRDefault="000C0143">
    <w:pPr>
      <w:pStyle w:val="Zpat"/>
      <w:jc w:val="center"/>
      <w:rPr>
        <w:sz w:val="20"/>
      </w:rPr>
    </w:pPr>
  </w:p>
  <w:p w:rsidR="000C0143" w:rsidRDefault="000C0143">
    <w:pPr>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143" w:rsidRDefault="000C0143">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18DE" w:rsidRDefault="004C18DE">
      <w:r>
        <w:separator/>
      </w:r>
    </w:p>
  </w:footnote>
  <w:footnote w:type="continuationSeparator" w:id="0">
    <w:p w:rsidR="004C18DE" w:rsidRDefault="004C18DE">
      <w:r>
        <w:continuationSeparator/>
      </w:r>
    </w:p>
  </w:footnote>
  <w:footnote w:id="1">
    <w:p w:rsidR="000C0143" w:rsidRPr="008677D6" w:rsidRDefault="000C0143">
      <w:pPr>
        <w:pStyle w:val="Textpoznpodarou"/>
        <w:rPr>
          <w:sz w:val="18"/>
          <w:szCs w:val="18"/>
        </w:rPr>
      </w:pPr>
      <w:r w:rsidRPr="008677D6">
        <w:rPr>
          <w:rStyle w:val="Znakapoznpodarou"/>
          <w:sz w:val="18"/>
          <w:szCs w:val="18"/>
        </w:rPr>
        <w:footnoteRef/>
      </w:r>
      <w:r w:rsidRPr="008677D6">
        <w:rPr>
          <w:sz w:val="18"/>
          <w:szCs w:val="18"/>
        </w:rPr>
        <w:t xml:space="preserve"> Skupiny držitelů jsou klasifikovány podle systému národních účtů.</w:t>
      </w:r>
    </w:p>
  </w:footnote>
  <w:footnote w:id="2">
    <w:p w:rsidR="000C0143" w:rsidRPr="008677D6" w:rsidRDefault="000C0143">
      <w:pPr>
        <w:pStyle w:val="Textpoznpodarou"/>
        <w:rPr>
          <w:sz w:val="18"/>
          <w:szCs w:val="18"/>
        </w:rPr>
      </w:pPr>
      <w:r w:rsidRPr="008677D6">
        <w:rPr>
          <w:rStyle w:val="Znakapoznpodarou"/>
          <w:sz w:val="18"/>
          <w:szCs w:val="18"/>
        </w:rPr>
        <w:footnoteRef/>
      </w:r>
      <w:r w:rsidRPr="008677D6">
        <w:rPr>
          <w:sz w:val="18"/>
          <w:szCs w:val="18"/>
        </w:rPr>
        <w:t xml:space="preserve"> Státní dluh denominovaný v cizích měnách je oceněn kurzem devizového trhu vyhla</w:t>
      </w:r>
      <w:r>
        <w:rPr>
          <w:sz w:val="18"/>
          <w:szCs w:val="18"/>
        </w:rPr>
        <w:t>šovaným Českou národní bankou k </w:t>
      </w:r>
      <w:r w:rsidRPr="008677D6">
        <w:rPr>
          <w:sz w:val="18"/>
          <w:szCs w:val="18"/>
        </w:rPr>
        <w:t>danému výkaznímu dni, avšak s výjimkou státního dluhu zajištěného prostřednictvím finančních derivátů, kdy korunová hodnota tohoto dluhu zohledňuje měnový kurz použitý v těchto zajišťujících operacích.</w:t>
      </w:r>
    </w:p>
  </w:footnote>
  <w:footnote w:id="3">
    <w:p w:rsidR="000C0143" w:rsidRPr="00A11061" w:rsidRDefault="000C0143">
      <w:pPr>
        <w:pStyle w:val="Textpoznpodarou"/>
        <w:rPr>
          <w:sz w:val="18"/>
          <w:szCs w:val="18"/>
        </w:rPr>
      </w:pPr>
      <w:r w:rsidRPr="00A11061">
        <w:rPr>
          <w:rStyle w:val="Znakapoznpodarou"/>
          <w:sz w:val="18"/>
          <w:szCs w:val="18"/>
        </w:rPr>
        <w:footnoteRef/>
      </w:r>
      <w:r w:rsidRPr="00A11061">
        <w:rPr>
          <w:sz w:val="18"/>
          <w:szCs w:val="18"/>
        </w:rPr>
        <w:t xml:space="preserve"> včetně </w:t>
      </w:r>
      <w:proofErr w:type="spellStart"/>
      <w:r w:rsidRPr="00A11061">
        <w:rPr>
          <w:sz w:val="18"/>
          <w:szCs w:val="18"/>
        </w:rPr>
        <w:t>revolvingu</w:t>
      </w:r>
      <w:proofErr w:type="spellEnd"/>
      <w:r w:rsidRPr="00A11061">
        <w:rPr>
          <w:sz w:val="18"/>
          <w:szCs w:val="18"/>
        </w:rPr>
        <w:t xml:space="preserve"> zápůjčních </w:t>
      </w:r>
      <w:proofErr w:type="spellStart"/>
      <w:r w:rsidRPr="00A11061">
        <w:rPr>
          <w:sz w:val="18"/>
          <w:szCs w:val="18"/>
        </w:rPr>
        <w:t>facilit</w:t>
      </w:r>
      <w:proofErr w:type="spellEnd"/>
      <w:r w:rsidRPr="00A11061">
        <w:rPr>
          <w:sz w:val="18"/>
          <w:szCs w:val="18"/>
        </w:rPr>
        <w:t xml:space="preserve"> ve formě </w:t>
      </w:r>
      <w:proofErr w:type="spellStart"/>
      <w:r w:rsidRPr="00A11061">
        <w:rPr>
          <w:sz w:val="18"/>
          <w:szCs w:val="18"/>
        </w:rPr>
        <w:t>repo</w:t>
      </w:r>
      <w:proofErr w:type="spellEnd"/>
      <w:r w:rsidRPr="00A11061">
        <w:rPr>
          <w:sz w:val="18"/>
          <w:szCs w:val="18"/>
        </w:rPr>
        <w:t xml:space="preserve"> operací v roce 2017</w:t>
      </w:r>
    </w:p>
  </w:footnote>
  <w:footnote w:id="4">
    <w:p w:rsidR="000C0143" w:rsidRDefault="000C0143">
      <w:pPr>
        <w:pStyle w:val="Textpoznpodarou"/>
      </w:pPr>
      <w:r w:rsidRPr="00A11061">
        <w:rPr>
          <w:rStyle w:val="Znakapoznpodarou"/>
          <w:sz w:val="18"/>
          <w:szCs w:val="18"/>
        </w:rPr>
        <w:footnoteRef/>
      </w:r>
      <w:r w:rsidRPr="00A11061">
        <w:rPr>
          <w:sz w:val="18"/>
          <w:szCs w:val="18"/>
        </w:rPr>
        <w:t xml:space="preserve"> V případě, že by na konci roku 2017 byl vykázán nenulový stav zápůjček formou </w:t>
      </w:r>
      <w:proofErr w:type="spellStart"/>
      <w:r w:rsidRPr="00A11061">
        <w:rPr>
          <w:sz w:val="18"/>
          <w:szCs w:val="18"/>
        </w:rPr>
        <w:t>repo</w:t>
      </w:r>
      <w:proofErr w:type="spellEnd"/>
      <w:r w:rsidRPr="00A11061">
        <w:rPr>
          <w:sz w:val="18"/>
          <w:szCs w:val="18"/>
        </w:rPr>
        <w:t xml:space="preserve"> operací s kolaterálem SDD, nebyl by tento poskytnutý kolaterál součástí státního dluhu, a to v souladu s upřednostněním principu ekonomického vlastnictví před principem právního vlastnictví. Tento přístup zamezuje duplicitnímu vykázání závazků spojených s </w:t>
      </w:r>
      <w:proofErr w:type="spellStart"/>
      <w:r w:rsidRPr="00A11061">
        <w:rPr>
          <w:sz w:val="18"/>
          <w:szCs w:val="18"/>
        </w:rPr>
        <w:t>repo</w:t>
      </w:r>
      <w:proofErr w:type="spellEnd"/>
      <w:r w:rsidRPr="00A11061">
        <w:rPr>
          <w:sz w:val="18"/>
          <w:szCs w:val="18"/>
        </w:rPr>
        <w:t xml:space="preserve"> operacemi.</w:t>
      </w:r>
    </w:p>
  </w:footnote>
  <w:footnote w:id="5">
    <w:p w:rsidR="000C0143" w:rsidRPr="00A11061" w:rsidRDefault="000C0143" w:rsidP="00315BB5">
      <w:pPr>
        <w:pStyle w:val="Textpoznpodarou"/>
        <w:rPr>
          <w:sz w:val="18"/>
          <w:szCs w:val="18"/>
        </w:rPr>
      </w:pPr>
      <w:r w:rsidRPr="00A11061">
        <w:rPr>
          <w:rStyle w:val="Znakapoznpodarou"/>
          <w:sz w:val="18"/>
          <w:szCs w:val="18"/>
        </w:rPr>
        <w:footnoteRef/>
      </w:r>
      <w:r w:rsidRPr="00A11061">
        <w:rPr>
          <w:sz w:val="18"/>
          <w:szCs w:val="18"/>
        </w:rPr>
        <w:t xml:space="preserve"> V průběhu roku 2017 byl realizován vzájemný zápočet úrokových příjmů a výdajů kapitoly. V rámci poplatků k vzájemnému zápočtu nedochází.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143" w:rsidRDefault="000C0143">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143" w:rsidRDefault="000C0143">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143" w:rsidRDefault="000C0143">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143" w:rsidRDefault="000C014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143" w:rsidRDefault="000C0143"/>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143" w:rsidRDefault="000C014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A0E519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92FC35C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C74582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FC26DBC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D54A246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0F6604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BD8DC8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3EA230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9C42EC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A08D38A"/>
    <w:lvl w:ilvl="0">
      <w:start w:val="1"/>
      <w:numFmt w:val="bullet"/>
      <w:lvlText w:val=""/>
      <w:lvlJc w:val="left"/>
      <w:pPr>
        <w:tabs>
          <w:tab w:val="num" w:pos="360"/>
        </w:tabs>
        <w:ind w:left="360" w:hanging="360"/>
      </w:pPr>
      <w:rPr>
        <w:rFonts w:ascii="Symbol" w:hAnsi="Symbol" w:hint="default"/>
      </w:rPr>
    </w:lvl>
  </w:abstractNum>
  <w:abstractNum w:abstractNumId="10">
    <w:nsid w:val="0CB9479E"/>
    <w:multiLevelType w:val="hybridMultilevel"/>
    <w:tmpl w:val="241E0CD0"/>
    <w:lvl w:ilvl="0" w:tplc="FE5EF38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F5B1E53"/>
    <w:multiLevelType w:val="multilevel"/>
    <w:tmpl w:val="CF84B9AA"/>
    <w:lvl w:ilvl="0">
      <w:start w:val="1"/>
      <w:numFmt w:val="bullet"/>
      <w:lvlText w:val=""/>
      <w:lvlJc w:val="left"/>
      <w:pPr>
        <w:tabs>
          <w:tab w:val="num" w:pos="1287"/>
        </w:tabs>
        <w:ind w:left="1287" w:hanging="360"/>
      </w:pPr>
      <w:rPr>
        <w:rFonts w:ascii="Symbol" w:hAnsi="Symbol" w:hint="default"/>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2">
    <w:nsid w:val="2E9078D5"/>
    <w:multiLevelType w:val="hybridMultilevel"/>
    <w:tmpl w:val="9F6A3DCA"/>
    <w:lvl w:ilvl="0" w:tplc="E5EAEF9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795170E"/>
    <w:multiLevelType w:val="hybridMultilevel"/>
    <w:tmpl w:val="6C9E7F3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450751CB"/>
    <w:multiLevelType w:val="hybridMultilevel"/>
    <w:tmpl w:val="BE4A9E2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D5E61CF"/>
    <w:multiLevelType w:val="hybridMultilevel"/>
    <w:tmpl w:val="A442079A"/>
    <w:lvl w:ilvl="0" w:tplc="DB9A320A">
      <w:start w:val="1"/>
      <w:numFmt w:val="decimal"/>
      <w:pStyle w:val="Nadpis2"/>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nsid w:val="53257206"/>
    <w:multiLevelType w:val="hybridMultilevel"/>
    <w:tmpl w:val="2B7C8996"/>
    <w:lvl w:ilvl="0" w:tplc="DE528400">
      <w:start w:val="1"/>
      <w:numFmt w:val="decimal"/>
      <w:lvlText w:val="%1."/>
      <w:lvlJc w:val="left"/>
      <w:pPr>
        <w:ind w:left="1298" w:hanging="360"/>
      </w:pPr>
    </w:lvl>
    <w:lvl w:ilvl="1" w:tplc="04050019" w:tentative="1">
      <w:start w:val="1"/>
      <w:numFmt w:val="lowerLetter"/>
      <w:lvlText w:val="%2."/>
      <w:lvlJc w:val="left"/>
      <w:pPr>
        <w:ind w:left="2018" w:hanging="360"/>
      </w:pPr>
    </w:lvl>
    <w:lvl w:ilvl="2" w:tplc="0405001B" w:tentative="1">
      <w:start w:val="1"/>
      <w:numFmt w:val="lowerRoman"/>
      <w:lvlText w:val="%3."/>
      <w:lvlJc w:val="right"/>
      <w:pPr>
        <w:ind w:left="2738" w:hanging="180"/>
      </w:pPr>
    </w:lvl>
    <w:lvl w:ilvl="3" w:tplc="0405000F" w:tentative="1">
      <w:start w:val="1"/>
      <w:numFmt w:val="decimal"/>
      <w:lvlText w:val="%4."/>
      <w:lvlJc w:val="left"/>
      <w:pPr>
        <w:ind w:left="3458" w:hanging="360"/>
      </w:pPr>
    </w:lvl>
    <w:lvl w:ilvl="4" w:tplc="04050019" w:tentative="1">
      <w:start w:val="1"/>
      <w:numFmt w:val="lowerLetter"/>
      <w:lvlText w:val="%5."/>
      <w:lvlJc w:val="left"/>
      <w:pPr>
        <w:ind w:left="4178" w:hanging="360"/>
      </w:pPr>
    </w:lvl>
    <w:lvl w:ilvl="5" w:tplc="0405001B" w:tentative="1">
      <w:start w:val="1"/>
      <w:numFmt w:val="lowerRoman"/>
      <w:lvlText w:val="%6."/>
      <w:lvlJc w:val="right"/>
      <w:pPr>
        <w:ind w:left="4898" w:hanging="180"/>
      </w:pPr>
    </w:lvl>
    <w:lvl w:ilvl="6" w:tplc="0405000F" w:tentative="1">
      <w:start w:val="1"/>
      <w:numFmt w:val="decimal"/>
      <w:lvlText w:val="%7."/>
      <w:lvlJc w:val="left"/>
      <w:pPr>
        <w:ind w:left="5618" w:hanging="360"/>
      </w:pPr>
    </w:lvl>
    <w:lvl w:ilvl="7" w:tplc="04050019" w:tentative="1">
      <w:start w:val="1"/>
      <w:numFmt w:val="lowerLetter"/>
      <w:lvlText w:val="%8."/>
      <w:lvlJc w:val="left"/>
      <w:pPr>
        <w:ind w:left="6338" w:hanging="360"/>
      </w:pPr>
    </w:lvl>
    <w:lvl w:ilvl="8" w:tplc="0405001B" w:tentative="1">
      <w:start w:val="1"/>
      <w:numFmt w:val="lowerRoman"/>
      <w:lvlText w:val="%9."/>
      <w:lvlJc w:val="right"/>
      <w:pPr>
        <w:ind w:left="7058" w:hanging="180"/>
      </w:pPr>
    </w:lvl>
  </w:abstractNum>
  <w:abstractNum w:abstractNumId="17">
    <w:nsid w:val="60E15C90"/>
    <w:multiLevelType w:val="multilevel"/>
    <w:tmpl w:val="6A32932A"/>
    <w:lvl w:ilvl="0">
      <w:start w:val="1"/>
      <w:numFmt w:val="upperRoman"/>
      <w:pStyle w:val="Nadpis1"/>
      <w:lvlText w:val="%1."/>
      <w:lvlJc w:val="left"/>
      <w:pPr>
        <w:tabs>
          <w:tab w:val="num" w:pos="3693"/>
        </w:tabs>
        <w:ind w:left="3693" w:hanging="432"/>
      </w:pPr>
      <w:rPr>
        <w:rFonts w:cs="Times New Roman" w:hint="default"/>
      </w:rPr>
    </w:lvl>
    <w:lvl w:ilvl="1">
      <w:start w:val="1"/>
      <w:numFmt w:val="decimal"/>
      <w:lvlText w:val="%2."/>
      <w:lvlJc w:val="left"/>
      <w:pPr>
        <w:tabs>
          <w:tab w:val="num" w:pos="4546"/>
        </w:tabs>
        <w:ind w:left="4546" w:hanging="576"/>
      </w:pPr>
      <w:rPr>
        <w:rFonts w:cs="Times New Roman" w:hint="default"/>
      </w:rPr>
    </w:lvl>
    <w:lvl w:ilvl="2">
      <w:start w:val="1"/>
      <w:numFmt w:val="decimal"/>
      <w:pStyle w:val="Nadpis3"/>
      <w:lvlText w:val="%2.%3."/>
      <w:lvlJc w:val="left"/>
      <w:pPr>
        <w:tabs>
          <w:tab w:val="num" w:pos="720"/>
        </w:tabs>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2.%3.%4."/>
      <w:lvlJc w:val="left"/>
      <w:pPr>
        <w:tabs>
          <w:tab w:val="num" w:pos="5117"/>
        </w:tabs>
        <w:ind w:left="5117" w:hanging="864"/>
      </w:pPr>
      <w:rPr>
        <w:rFonts w:cs="Times New Roman" w:hint="default"/>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18">
    <w:nsid w:val="6620377E"/>
    <w:multiLevelType w:val="hybridMultilevel"/>
    <w:tmpl w:val="53EE3DCE"/>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9">
    <w:nsid w:val="67D51F74"/>
    <w:multiLevelType w:val="hybridMultilevel"/>
    <w:tmpl w:val="CF84B9AA"/>
    <w:lvl w:ilvl="0" w:tplc="04050001">
      <w:start w:val="1"/>
      <w:numFmt w:val="bullet"/>
      <w:lvlText w:val=""/>
      <w:lvlJc w:val="left"/>
      <w:pPr>
        <w:tabs>
          <w:tab w:val="num" w:pos="1287"/>
        </w:tabs>
        <w:ind w:left="1287" w:hanging="360"/>
      </w:pPr>
      <w:rPr>
        <w:rFonts w:ascii="Symbol" w:hAnsi="Symbol" w:hint="default"/>
      </w:rPr>
    </w:lvl>
    <w:lvl w:ilvl="1" w:tplc="04050003" w:tentative="1">
      <w:start w:val="1"/>
      <w:numFmt w:val="bullet"/>
      <w:lvlText w:val="o"/>
      <w:lvlJc w:val="left"/>
      <w:pPr>
        <w:tabs>
          <w:tab w:val="num" w:pos="2007"/>
        </w:tabs>
        <w:ind w:left="2007" w:hanging="360"/>
      </w:pPr>
      <w:rPr>
        <w:rFonts w:ascii="Courier New" w:hAnsi="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0">
    <w:nsid w:val="6B4A4511"/>
    <w:multiLevelType w:val="hybridMultilevel"/>
    <w:tmpl w:val="6ED2F48C"/>
    <w:lvl w:ilvl="0" w:tplc="5CBC1192">
      <w:start w:val="1"/>
      <w:numFmt w:val="decimal"/>
      <w:lvlText w:val="%1."/>
      <w:lvlJc w:val="left"/>
      <w:pPr>
        <w:ind w:left="945" w:hanging="58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B584C5C"/>
    <w:multiLevelType w:val="hybridMultilevel"/>
    <w:tmpl w:val="41605586"/>
    <w:lvl w:ilvl="0" w:tplc="709EC314">
      <w:start w:val="1"/>
      <w:numFmt w:val="decimal"/>
      <w:lvlText w:val="%1."/>
      <w:lvlJc w:val="left"/>
      <w:pPr>
        <w:ind w:left="1298" w:hanging="360"/>
      </w:pPr>
    </w:lvl>
    <w:lvl w:ilvl="1" w:tplc="04050019" w:tentative="1">
      <w:start w:val="1"/>
      <w:numFmt w:val="lowerLetter"/>
      <w:lvlText w:val="%2."/>
      <w:lvlJc w:val="left"/>
      <w:pPr>
        <w:ind w:left="2018" w:hanging="360"/>
      </w:pPr>
    </w:lvl>
    <w:lvl w:ilvl="2" w:tplc="0405001B" w:tentative="1">
      <w:start w:val="1"/>
      <w:numFmt w:val="lowerRoman"/>
      <w:lvlText w:val="%3."/>
      <w:lvlJc w:val="right"/>
      <w:pPr>
        <w:ind w:left="2738" w:hanging="180"/>
      </w:pPr>
    </w:lvl>
    <w:lvl w:ilvl="3" w:tplc="0405000F" w:tentative="1">
      <w:start w:val="1"/>
      <w:numFmt w:val="decimal"/>
      <w:lvlText w:val="%4."/>
      <w:lvlJc w:val="left"/>
      <w:pPr>
        <w:ind w:left="3458" w:hanging="360"/>
      </w:pPr>
    </w:lvl>
    <w:lvl w:ilvl="4" w:tplc="04050019" w:tentative="1">
      <w:start w:val="1"/>
      <w:numFmt w:val="lowerLetter"/>
      <w:lvlText w:val="%5."/>
      <w:lvlJc w:val="left"/>
      <w:pPr>
        <w:ind w:left="4178" w:hanging="360"/>
      </w:pPr>
    </w:lvl>
    <w:lvl w:ilvl="5" w:tplc="0405001B" w:tentative="1">
      <w:start w:val="1"/>
      <w:numFmt w:val="lowerRoman"/>
      <w:lvlText w:val="%6."/>
      <w:lvlJc w:val="right"/>
      <w:pPr>
        <w:ind w:left="4898" w:hanging="180"/>
      </w:pPr>
    </w:lvl>
    <w:lvl w:ilvl="6" w:tplc="0405000F" w:tentative="1">
      <w:start w:val="1"/>
      <w:numFmt w:val="decimal"/>
      <w:lvlText w:val="%7."/>
      <w:lvlJc w:val="left"/>
      <w:pPr>
        <w:ind w:left="5618" w:hanging="360"/>
      </w:pPr>
    </w:lvl>
    <w:lvl w:ilvl="7" w:tplc="04050019" w:tentative="1">
      <w:start w:val="1"/>
      <w:numFmt w:val="lowerLetter"/>
      <w:lvlText w:val="%8."/>
      <w:lvlJc w:val="left"/>
      <w:pPr>
        <w:ind w:left="6338" w:hanging="360"/>
      </w:pPr>
    </w:lvl>
    <w:lvl w:ilvl="8" w:tplc="0405001B" w:tentative="1">
      <w:start w:val="1"/>
      <w:numFmt w:val="lowerRoman"/>
      <w:lvlText w:val="%9."/>
      <w:lvlJc w:val="right"/>
      <w:pPr>
        <w:ind w:left="7058" w:hanging="180"/>
      </w:pPr>
    </w:lvl>
  </w:abstractNum>
  <w:abstractNum w:abstractNumId="22">
    <w:nsid w:val="70107771"/>
    <w:multiLevelType w:val="hybridMultilevel"/>
    <w:tmpl w:val="D5584E7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70331971"/>
    <w:multiLevelType w:val="hybridMultilevel"/>
    <w:tmpl w:val="4EA0B758"/>
    <w:lvl w:ilvl="0" w:tplc="2912ED22">
      <w:start w:val="1"/>
      <w:numFmt w:val="decimal"/>
      <w:lvlText w:val="%1."/>
      <w:lvlJc w:val="left"/>
      <w:pPr>
        <w:ind w:left="777" w:hanging="360"/>
      </w:pPr>
      <w:rPr>
        <w:rFonts w:hint="default"/>
      </w:rPr>
    </w:lvl>
    <w:lvl w:ilvl="1" w:tplc="04050019" w:tentative="1">
      <w:start w:val="1"/>
      <w:numFmt w:val="lowerLetter"/>
      <w:lvlText w:val="%2."/>
      <w:lvlJc w:val="left"/>
      <w:pPr>
        <w:ind w:left="1497" w:hanging="360"/>
      </w:pPr>
    </w:lvl>
    <w:lvl w:ilvl="2" w:tplc="0405001B" w:tentative="1">
      <w:start w:val="1"/>
      <w:numFmt w:val="lowerRoman"/>
      <w:lvlText w:val="%3."/>
      <w:lvlJc w:val="right"/>
      <w:pPr>
        <w:ind w:left="2217" w:hanging="180"/>
      </w:pPr>
    </w:lvl>
    <w:lvl w:ilvl="3" w:tplc="0405000F" w:tentative="1">
      <w:start w:val="1"/>
      <w:numFmt w:val="decimal"/>
      <w:lvlText w:val="%4."/>
      <w:lvlJc w:val="left"/>
      <w:pPr>
        <w:ind w:left="2937" w:hanging="360"/>
      </w:pPr>
    </w:lvl>
    <w:lvl w:ilvl="4" w:tplc="04050019" w:tentative="1">
      <w:start w:val="1"/>
      <w:numFmt w:val="lowerLetter"/>
      <w:lvlText w:val="%5."/>
      <w:lvlJc w:val="left"/>
      <w:pPr>
        <w:ind w:left="3657" w:hanging="360"/>
      </w:pPr>
    </w:lvl>
    <w:lvl w:ilvl="5" w:tplc="0405001B" w:tentative="1">
      <w:start w:val="1"/>
      <w:numFmt w:val="lowerRoman"/>
      <w:lvlText w:val="%6."/>
      <w:lvlJc w:val="right"/>
      <w:pPr>
        <w:ind w:left="4377" w:hanging="180"/>
      </w:pPr>
    </w:lvl>
    <w:lvl w:ilvl="6" w:tplc="0405000F" w:tentative="1">
      <w:start w:val="1"/>
      <w:numFmt w:val="decimal"/>
      <w:lvlText w:val="%7."/>
      <w:lvlJc w:val="left"/>
      <w:pPr>
        <w:ind w:left="5097" w:hanging="360"/>
      </w:pPr>
    </w:lvl>
    <w:lvl w:ilvl="7" w:tplc="04050019" w:tentative="1">
      <w:start w:val="1"/>
      <w:numFmt w:val="lowerLetter"/>
      <w:lvlText w:val="%8."/>
      <w:lvlJc w:val="left"/>
      <w:pPr>
        <w:ind w:left="5817" w:hanging="360"/>
      </w:pPr>
    </w:lvl>
    <w:lvl w:ilvl="8" w:tplc="0405001B" w:tentative="1">
      <w:start w:val="1"/>
      <w:numFmt w:val="lowerRoman"/>
      <w:lvlText w:val="%9."/>
      <w:lvlJc w:val="right"/>
      <w:pPr>
        <w:ind w:left="6537" w:hanging="180"/>
      </w:pPr>
    </w:lvl>
  </w:abstractNum>
  <w:abstractNum w:abstractNumId="24">
    <w:nsid w:val="792C70B3"/>
    <w:multiLevelType w:val="hybridMultilevel"/>
    <w:tmpl w:val="81064D9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BF54667"/>
    <w:multiLevelType w:val="singleLevel"/>
    <w:tmpl w:val="2C9250AC"/>
    <w:lvl w:ilvl="0">
      <w:start w:val="1"/>
      <w:numFmt w:val="lowerRoman"/>
      <w:lvlText w:val="%1) "/>
      <w:legacy w:legacy="1" w:legacySpace="0" w:legacyIndent="283"/>
      <w:lvlJc w:val="left"/>
      <w:pPr>
        <w:ind w:left="283" w:hanging="283"/>
      </w:pPr>
      <w:rPr>
        <w:rFonts w:cs="Times New Roman"/>
        <w:b w:val="0"/>
        <w:i w:val="0"/>
        <w:sz w:val="24"/>
      </w:rPr>
    </w:lvl>
  </w:abstractNum>
  <w:abstractNum w:abstractNumId="26">
    <w:nsid w:val="7CC31E0D"/>
    <w:multiLevelType w:val="hybridMultilevel"/>
    <w:tmpl w:val="01C8D1EE"/>
    <w:lvl w:ilvl="0" w:tplc="B6C8A05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7"/>
  </w:num>
  <w:num w:numId="2">
    <w:abstractNumId w:val="19"/>
  </w:num>
  <w:num w:numId="3">
    <w:abstractNumId w:val="22"/>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5"/>
  </w:num>
  <w:num w:numId="15">
    <w:abstractNumId w:val="11"/>
  </w:num>
  <w:num w:numId="16">
    <w:abstractNumId w:val="18"/>
  </w:num>
  <w:num w:numId="17">
    <w:abstractNumId w:val="13"/>
  </w:num>
  <w:num w:numId="18">
    <w:abstractNumId w:val="17"/>
    <w:lvlOverride w:ilvl="0">
      <w:startOverride w:val="1"/>
    </w:lvlOverride>
    <w:lvlOverride w:ilvl="1">
      <w:startOverride w:val="3"/>
    </w:lvlOverride>
  </w:num>
  <w:num w:numId="19">
    <w:abstractNumId w:val="17"/>
  </w:num>
  <w:num w:numId="20">
    <w:abstractNumId w:val="17"/>
  </w:num>
  <w:num w:numId="21">
    <w:abstractNumId w:val="17"/>
  </w:num>
  <w:num w:numId="22">
    <w:abstractNumId w:val="17"/>
  </w:num>
  <w:num w:numId="23">
    <w:abstractNumId w:val="17"/>
  </w:num>
  <w:num w:numId="24">
    <w:abstractNumId w:val="17"/>
    <w:lvlOverride w:ilvl="0">
      <w:startOverride w:val="3"/>
    </w:lvlOverride>
  </w:num>
  <w:num w:numId="25">
    <w:abstractNumId w:val="17"/>
  </w:num>
  <w:num w:numId="26">
    <w:abstractNumId w:val="17"/>
  </w:num>
  <w:num w:numId="27">
    <w:abstractNumId w:val="17"/>
  </w:num>
  <w:num w:numId="28">
    <w:abstractNumId w:val="24"/>
  </w:num>
  <w:num w:numId="29">
    <w:abstractNumId w:val="26"/>
  </w:num>
  <w:num w:numId="30">
    <w:abstractNumId w:val="14"/>
  </w:num>
  <w:num w:numId="31">
    <w:abstractNumId w:val="12"/>
  </w:num>
  <w:num w:numId="32">
    <w:abstractNumId w:val="20"/>
  </w:num>
  <w:num w:numId="33">
    <w:abstractNumId w:val="21"/>
  </w:num>
  <w:num w:numId="34">
    <w:abstractNumId w:val="16"/>
  </w:num>
  <w:num w:numId="35">
    <w:abstractNumId w:val="23"/>
  </w:num>
  <w:num w:numId="36">
    <w:abstractNumId w:val="23"/>
    <w:lvlOverride w:ilvl="0">
      <w:startOverride w:val="1"/>
    </w:lvlOverride>
  </w:num>
  <w:num w:numId="37">
    <w:abstractNumId w:val="10"/>
  </w:num>
  <w:num w:numId="38">
    <w:abstractNumId w:val="10"/>
    <w:lvlOverride w:ilvl="0">
      <w:startOverride w:val="1"/>
    </w:lvlOverride>
  </w:num>
  <w:num w:numId="39">
    <w:abstractNumId w:val="10"/>
    <w:lvlOverride w:ilvl="0">
      <w:startOverride w:val="1"/>
    </w:lvlOverride>
  </w:num>
  <w:num w:numId="40">
    <w:abstractNumId w:val="17"/>
  </w:num>
  <w:num w:numId="41">
    <w:abstractNumId w:val="17"/>
  </w:num>
  <w:num w:numId="42">
    <w:abstractNumId w:val="17"/>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 w:numId="44">
    <w:abstractNumId w:val="15"/>
  </w:num>
  <w:num w:numId="45">
    <w:abstractNumId w:val="15"/>
    <w:lvlOverride w:ilvl="0">
      <w:startOverride w:val="1"/>
    </w:lvlOverride>
  </w:num>
  <w:num w:numId="46">
    <w:abstractNumId w:val="15"/>
    <w:lvlOverride w:ilvl="0">
      <w:startOverride w:val="1"/>
    </w:lvlOverride>
  </w:num>
  <w:num w:numId="47">
    <w:abstractNumId w:val="17"/>
  </w:num>
  <w:num w:numId="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5D23D7"/>
    <w:rsid w:val="00002E32"/>
    <w:rsid w:val="00003443"/>
    <w:rsid w:val="00004F8D"/>
    <w:rsid w:val="0000636A"/>
    <w:rsid w:val="00006AA0"/>
    <w:rsid w:val="00017221"/>
    <w:rsid w:val="000216DB"/>
    <w:rsid w:val="000242A3"/>
    <w:rsid w:val="00026EBF"/>
    <w:rsid w:val="00030CEB"/>
    <w:rsid w:val="00031A5B"/>
    <w:rsid w:val="00032BCA"/>
    <w:rsid w:val="00033692"/>
    <w:rsid w:val="0003578F"/>
    <w:rsid w:val="000357A2"/>
    <w:rsid w:val="00037AC7"/>
    <w:rsid w:val="00037D3F"/>
    <w:rsid w:val="00042391"/>
    <w:rsid w:val="000433C4"/>
    <w:rsid w:val="000465F9"/>
    <w:rsid w:val="00047607"/>
    <w:rsid w:val="000477B2"/>
    <w:rsid w:val="00047D84"/>
    <w:rsid w:val="00051A07"/>
    <w:rsid w:val="00052600"/>
    <w:rsid w:val="00052737"/>
    <w:rsid w:val="0005797B"/>
    <w:rsid w:val="000602CE"/>
    <w:rsid w:val="000619F1"/>
    <w:rsid w:val="00062FA9"/>
    <w:rsid w:val="00065360"/>
    <w:rsid w:val="000659DC"/>
    <w:rsid w:val="0006656C"/>
    <w:rsid w:val="00070025"/>
    <w:rsid w:val="00070666"/>
    <w:rsid w:val="00071066"/>
    <w:rsid w:val="000717A7"/>
    <w:rsid w:val="00074743"/>
    <w:rsid w:val="00075013"/>
    <w:rsid w:val="000758DD"/>
    <w:rsid w:val="00075AD4"/>
    <w:rsid w:val="00076924"/>
    <w:rsid w:val="00080155"/>
    <w:rsid w:val="000809EA"/>
    <w:rsid w:val="000819CD"/>
    <w:rsid w:val="000823C5"/>
    <w:rsid w:val="000832CF"/>
    <w:rsid w:val="0008427C"/>
    <w:rsid w:val="00084342"/>
    <w:rsid w:val="00084662"/>
    <w:rsid w:val="00085854"/>
    <w:rsid w:val="00086BE7"/>
    <w:rsid w:val="0008785C"/>
    <w:rsid w:val="00090405"/>
    <w:rsid w:val="000904FE"/>
    <w:rsid w:val="00090FAC"/>
    <w:rsid w:val="000943B7"/>
    <w:rsid w:val="00094496"/>
    <w:rsid w:val="00094AD5"/>
    <w:rsid w:val="00094B33"/>
    <w:rsid w:val="00096E9E"/>
    <w:rsid w:val="00097CEC"/>
    <w:rsid w:val="00097D7E"/>
    <w:rsid w:val="000A17A9"/>
    <w:rsid w:val="000A26B9"/>
    <w:rsid w:val="000A2E3B"/>
    <w:rsid w:val="000A3ABD"/>
    <w:rsid w:val="000A3D00"/>
    <w:rsid w:val="000A6407"/>
    <w:rsid w:val="000A764D"/>
    <w:rsid w:val="000B09E8"/>
    <w:rsid w:val="000B1E18"/>
    <w:rsid w:val="000B39C3"/>
    <w:rsid w:val="000B4B7D"/>
    <w:rsid w:val="000B5801"/>
    <w:rsid w:val="000B64DF"/>
    <w:rsid w:val="000B6CAB"/>
    <w:rsid w:val="000B71FE"/>
    <w:rsid w:val="000B764C"/>
    <w:rsid w:val="000C0014"/>
    <w:rsid w:val="000C0143"/>
    <w:rsid w:val="000C3366"/>
    <w:rsid w:val="000C37FC"/>
    <w:rsid w:val="000C46E3"/>
    <w:rsid w:val="000C65AA"/>
    <w:rsid w:val="000C68CF"/>
    <w:rsid w:val="000C7B08"/>
    <w:rsid w:val="000C7D07"/>
    <w:rsid w:val="000D0036"/>
    <w:rsid w:val="000D00D8"/>
    <w:rsid w:val="000D13DB"/>
    <w:rsid w:val="000D25A0"/>
    <w:rsid w:val="000D3162"/>
    <w:rsid w:val="000D34F6"/>
    <w:rsid w:val="000D4B11"/>
    <w:rsid w:val="000D7F73"/>
    <w:rsid w:val="000D7F98"/>
    <w:rsid w:val="000E053A"/>
    <w:rsid w:val="000E190E"/>
    <w:rsid w:val="000E1FA4"/>
    <w:rsid w:val="000E2147"/>
    <w:rsid w:val="000E254A"/>
    <w:rsid w:val="000E32C3"/>
    <w:rsid w:val="000E3864"/>
    <w:rsid w:val="000E4F27"/>
    <w:rsid w:val="000E6A55"/>
    <w:rsid w:val="000E75EE"/>
    <w:rsid w:val="000E7D18"/>
    <w:rsid w:val="000F12A0"/>
    <w:rsid w:val="000F1549"/>
    <w:rsid w:val="000F1DD1"/>
    <w:rsid w:val="000F3854"/>
    <w:rsid w:val="000F3CC6"/>
    <w:rsid w:val="000F4262"/>
    <w:rsid w:val="000F4459"/>
    <w:rsid w:val="000F4678"/>
    <w:rsid w:val="000F5522"/>
    <w:rsid w:val="000F5B70"/>
    <w:rsid w:val="000F7D77"/>
    <w:rsid w:val="001003FB"/>
    <w:rsid w:val="00102888"/>
    <w:rsid w:val="001043BD"/>
    <w:rsid w:val="00105E36"/>
    <w:rsid w:val="00106EBE"/>
    <w:rsid w:val="00113083"/>
    <w:rsid w:val="00113216"/>
    <w:rsid w:val="00115D69"/>
    <w:rsid w:val="001165A1"/>
    <w:rsid w:val="0012067C"/>
    <w:rsid w:val="00121371"/>
    <w:rsid w:val="001249CD"/>
    <w:rsid w:val="00125B20"/>
    <w:rsid w:val="001263E4"/>
    <w:rsid w:val="001266A8"/>
    <w:rsid w:val="00126AB6"/>
    <w:rsid w:val="00130103"/>
    <w:rsid w:val="00130DA8"/>
    <w:rsid w:val="001312D4"/>
    <w:rsid w:val="001333FE"/>
    <w:rsid w:val="00135B46"/>
    <w:rsid w:val="0013721C"/>
    <w:rsid w:val="00137BC9"/>
    <w:rsid w:val="001400A6"/>
    <w:rsid w:val="0014075D"/>
    <w:rsid w:val="001410DB"/>
    <w:rsid w:val="001411B9"/>
    <w:rsid w:val="00142273"/>
    <w:rsid w:val="001436FD"/>
    <w:rsid w:val="00143861"/>
    <w:rsid w:val="0014429C"/>
    <w:rsid w:val="0014470A"/>
    <w:rsid w:val="00144A83"/>
    <w:rsid w:val="00144B24"/>
    <w:rsid w:val="00144FEE"/>
    <w:rsid w:val="001465CE"/>
    <w:rsid w:val="00147C68"/>
    <w:rsid w:val="001500EC"/>
    <w:rsid w:val="00151C00"/>
    <w:rsid w:val="0015376F"/>
    <w:rsid w:val="00153B31"/>
    <w:rsid w:val="00155C01"/>
    <w:rsid w:val="0015760D"/>
    <w:rsid w:val="00157ADF"/>
    <w:rsid w:val="00160147"/>
    <w:rsid w:val="00160899"/>
    <w:rsid w:val="0016094F"/>
    <w:rsid w:val="00160DEA"/>
    <w:rsid w:val="00160E2E"/>
    <w:rsid w:val="00161080"/>
    <w:rsid w:val="00162006"/>
    <w:rsid w:val="001633CE"/>
    <w:rsid w:val="0016731C"/>
    <w:rsid w:val="00171CE7"/>
    <w:rsid w:val="001725CB"/>
    <w:rsid w:val="00173E05"/>
    <w:rsid w:val="0017679D"/>
    <w:rsid w:val="001767C2"/>
    <w:rsid w:val="00177EC7"/>
    <w:rsid w:val="00180989"/>
    <w:rsid w:val="001814D2"/>
    <w:rsid w:val="00181D16"/>
    <w:rsid w:val="001833AB"/>
    <w:rsid w:val="001841FE"/>
    <w:rsid w:val="00184A31"/>
    <w:rsid w:val="00185160"/>
    <w:rsid w:val="00186A87"/>
    <w:rsid w:val="001878FD"/>
    <w:rsid w:val="00187A11"/>
    <w:rsid w:val="00190A59"/>
    <w:rsid w:val="001921AB"/>
    <w:rsid w:val="00192447"/>
    <w:rsid w:val="001925B8"/>
    <w:rsid w:val="00193015"/>
    <w:rsid w:val="00193C17"/>
    <w:rsid w:val="001942B7"/>
    <w:rsid w:val="0019491A"/>
    <w:rsid w:val="00194E70"/>
    <w:rsid w:val="00197017"/>
    <w:rsid w:val="00197692"/>
    <w:rsid w:val="001976C0"/>
    <w:rsid w:val="001978C9"/>
    <w:rsid w:val="001A11E2"/>
    <w:rsid w:val="001A15DB"/>
    <w:rsid w:val="001A30EE"/>
    <w:rsid w:val="001A3A16"/>
    <w:rsid w:val="001A4271"/>
    <w:rsid w:val="001A548A"/>
    <w:rsid w:val="001A5A2F"/>
    <w:rsid w:val="001A66A4"/>
    <w:rsid w:val="001A7094"/>
    <w:rsid w:val="001B0EA2"/>
    <w:rsid w:val="001B1B70"/>
    <w:rsid w:val="001B2377"/>
    <w:rsid w:val="001B4472"/>
    <w:rsid w:val="001B6AA7"/>
    <w:rsid w:val="001B7133"/>
    <w:rsid w:val="001C2014"/>
    <w:rsid w:val="001C38EF"/>
    <w:rsid w:val="001C3E0C"/>
    <w:rsid w:val="001C6704"/>
    <w:rsid w:val="001C6D9E"/>
    <w:rsid w:val="001C70DA"/>
    <w:rsid w:val="001C7DA2"/>
    <w:rsid w:val="001D35ED"/>
    <w:rsid w:val="001D6490"/>
    <w:rsid w:val="001D6B60"/>
    <w:rsid w:val="001D6BDD"/>
    <w:rsid w:val="001D7AC5"/>
    <w:rsid w:val="001E1D0B"/>
    <w:rsid w:val="001E392F"/>
    <w:rsid w:val="001E666C"/>
    <w:rsid w:val="001E7804"/>
    <w:rsid w:val="001F56AD"/>
    <w:rsid w:val="002016A3"/>
    <w:rsid w:val="00201B30"/>
    <w:rsid w:val="0020391E"/>
    <w:rsid w:val="00203D20"/>
    <w:rsid w:val="00205233"/>
    <w:rsid w:val="0020592D"/>
    <w:rsid w:val="00206261"/>
    <w:rsid w:val="002062CC"/>
    <w:rsid w:val="00206F91"/>
    <w:rsid w:val="00210363"/>
    <w:rsid w:val="00211976"/>
    <w:rsid w:val="00211BF2"/>
    <w:rsid w:val="002136D3"/>
    <w:rsid w:val="00213B32"/>
    <w:rsid w:val="00214E7E"/>
    <w:rsid w:val="00220215"/>
    <w:rsid w:val="002202D5"/>
    <w:rsid w:val="00226B17"/>
    <w:rsid w:val="0022712D"/>
    <w:rsid w:val="00227296"/>
    <w:rsid w:val="0022745A"/>
    <w:rsid w:val="002277B1"/>
    <w:rsid w:val="00227D2C"/>
    <w:rsid w:val="002311DC"/>
    <w:rsid w:val="00231972"/>
    <w:rsid w:val="00231DFC"/>
    <w:rsid w:val="00232E92"/>
    <w:rsid w:val="0023328F"/>
    <w:rsid w:val="002346BE"/>
    <w:rsid w:val="00234DE4"/>
    <w:rsid w:val="0023588A"/>
    <w:rsid w:val="002359A9"/>
    <w:rsid w:val="0023661F"/>
    <w:rsid w:val="00236F50"/>
    <w:rsid w:val="002372F4"/>
    <w:rsid w:val="002373AA"/>
    <w:rsid w:val="00242EC5"/>
    <w:rsid w:val="00242FB1"/>
    <w:rsid w:val="00242FBD"/>
    <w:rsid w:val="00243FF2"/>
    <w:rsid w:val="00245BE0"/>
    <w:rsid w:val="00245D0E"/>
    <w:rsid w:val="0024663A"/>
    <w:rsid w:val="00247D21"/>
    <w:rsid w:val="0025116D"/>
    <w:rsid w:val="00251D94"/>
    <w:rsid w:val="00252AE7"/>
    <w:rsid w:val="00253147"/>
    <w:rsid w:val="002535D9"/>
    <w:rsid w:val="00254D7B"/>
    <w:rsid w:val="00256AB3"/>
    <w:rsid w:val="002601BC"/>
    <w:rsid w:val="00261A2E"/>
    <w:rsid w:val="00263551"/>
    <w:rsid w:val="002635FB"/>
    <w:rsid w:val="00264FEF"/>
    <w:rsid w:val="002665C7"/>
    <w:rsid w:val="00267797"/>
    <w:rsid w:val="00267E7B"/>
    <w:rsid w:val="002714E9"/>
    <w:rsid w:val="002725C4"/>
    <w:rsid w:val="00272D70"/>
    <w:rsid w:val="00273503"/>
    <w:rsid w:val="00275507"/>
    <w:rsid w:val="0027691E"/>
    <w:rsid w:val="00280988"/>
    <w:rsid w:val="00281C94"/>
    <w:rsid w:val="0028270F"/>
    <w:rsid w:val="00282AF8"/>
    <w:rsid w:val="0028715B"/>
    <w:rsid w:val="00287A99"/>
    <w:rsid w:val="00294546"/>
    <w:rsid w:val="0029683A"/>
    <w:rsid w:val="002A061D"/>
    <w:rsid w:val="002A0DCB"/>
    <w:rsid w:val="002A1759"/>
    <w:rsid w:val="002A183F"/>
    <w:rsid w:val="002A4A29"/>
    <w:rsid w:val="002A63EC"/>
    <w:rsid w:val="002A66CD"/>
    <w:rsid w:val="002A7577"/>
    <w:rsid w:val="002B0106"/>
    <w:rsid w:val="002B1820"/>
    <w:rsid w:val="002B3DC3"/>
    <w:rsid w:val="002B5DA3"/>
    <w:rsid w:val="002B7BD8"/>
    <w:rsid w:val="002C1A73"/>
    <w:rsid w:val="002C29EC"/>
    <w:rsid w:val="002C4241"/>
    <w:rsid w:val="002C4FEB"/>
    <w:rsid w:val="002C5E10"/>
    <w:rsid w:val="002C5F5B"/>
    <w:rsid w:val="002C6B33"/>
    <w:rsid w:val="002C73A5"/>
    <w:rsid w:val="002C740D"/>
    <w:rsid w:val="002C7E7D"/>
    <w:rsid w:val="002D0802"/>
    <w:rsid w:val="002D1993"/>
    <w:rsid w:val="002D1C45"/>
    <w:rsid w:val="002D2499"/>
    <w:rsid w:val="002D3FA0"/>
    <w:rsid w:val="002D4AB6"/>
    <w:rsid w:val="002D4EDF"/>
    <w:rsid w:val="002D4F63"/>
    <w:rsid w:val="002D551A"/>
    <w:rsid w:val="002D6E0C"/>
    <w:rsid w:val="002E0C9C"/>
    <w:rsid w:val="002E0F72"/>
    <w:rsid w:val="002E18E1"/>
    <w:rsid w:val="002E18FE"/>
    <w:rsid w:val="002E263C"/>
    <w:rsid w:val="002E4B30"/>
    <w:rsid w:val="002E530C"/>
    <w:rsid w:val="002E7728"/>
    <w:rsid w:val="002F1968"/>
    <w:rsid w:val="002F1EF3"/>
    <w:rsid w:val="002F2070"/>
    <w:rsid w:val="002F2AFC"/>
    <w:rsid w:val="002F3674"/>
    <w:rsid w:val="002F409C"/>
    <w:rsid w:val="002F51C7"/>
    <w:rsid w:val="002F6562"/>
    <w:rsid w:val="002F6C93"/>
    <w:rsid w:val="002F7149"/>
    <w:rsid w:val="002F76F7"/>
    <w:rsid w:val="003004C8"/>
    <w:rsid w:val="00301760"/>
    <w:rsid w:val="0030419A"/>
    <w:rsid w:val="0031097D"/>
    <w:rsid w:val="00311D3C"/>
    <w:rsid w:val="00312B45"/>
    <w:rsid w:val="00314FDC"/>
    <w:rsid w:val="003156E4"/>
    <w:rsid w:val="00315BB5"/>
    <w:rsid w:val="00317CBE"/>
    <w:rsid w:val="0032049F"/>
    <w:rsid w:val="0032111C"/>
    <w:rsid w:val="003230B8"/>
    <w:rsid w:val="0032350B"/>
    <w:rsid w:val="00323912"/>
    <w:rsid w:val="00323A37"/>
    <w:rsid w:val="00326B86"/>
    <w:rsid w:val="00327E97"/>
    <w:rsid w:val="00330918"/>
    <w:rsid w:val="0033149F"/>
    <w:rsid w:val="00332D66"/>
    <w:rsid w:val="003353FD"/>
    <w:rsid w:val="00337153"/>
    <w:rsid w:val="0033727C"/>
    <w:rsid w:val="00340641"/>
    <w:rsid w:val="003441C9"/>
    <w:rsid w:val="00344E8F"/>
    <w:rsid w:val="00344FE5"/>
    <w:rsid w:val="0034516A"/>
    <w:rsid w:val="00345851"/>
    <w:rsid w:val="00345935"/>
    <w:rsid w:val="003459D2"/>
    <w:rsid w:val="003466C0"/>
    <w:rsid w:val="00347C67"/>
    <w:rsid w:val="00350A59"/>
    <w:rsid w:val="003519A0"/>
    <w:rsid w:val="00351F1B"/>
    <w:rsid w:val="00352C8A"/>
    <w:rsid w:val="00353699"/>
    <w:rsid w:val="00353D52"/>
    <w:rsid w:val="00355A1C"/>
    <w:rsid w:val="00356173"/>
    <w:rsid w:val="0035761C"/>
    <w:rsid w:val="003602A4"/>
    <w:rsid w:val="00360F89"/>
    <w:rsid w:val="00361440"/>
    <w:rsid w:val="0036669E"/>
    <w:rsid w:val="00366EFC"/>
    <w:rsid w:val="00367B4E"/>
    <w:rsid w:val="00367E15"/>
    <w:rsid w:val="00372983"/>
    <w:rsid w:val="00373885"/>
    <w:rsid w:val="00373903"/>
    <w:rsid w:val="00373C89"/>
    <w:rsid w:val="00373DF2"/>
    <w:rsid w:val="003746C8"/>
    <w:rsid w:val="00375123"/>
    <w:rsid w:val="00376C46"/>
    <w:rsid w:val="00376C63"/>
    <w:rsid w:val="003772E0"/>
    <w:rsid w:val="003807EC"/>
    <w:rsid w:val="0038231E"/>
    <w:rsid w:val="00382B7A"/>
    <w:rsid w:val="00384C87"/>
    <w:rsid w:val="003857F4"/>
    <w:rsid w:val="00385D98"/>
    <w:rsid w:val="00386AAB"/>
    <w:rsid w:val="0038787C"/>
    <w:rsid w:val="0039034D"/>
    <w:rsid w:val="003908EE"/>
    <w:rsid w:val="00391114"/>
    <w:rsid w:val="00391464"/>
    <w:rsid w:val="00392756"/>
    <w:rsid w:val="003933BF"/>
    <w:rsid w:val="00393413"/>
    <w:rsid w:val="00393AEC"/>
    <w:rsid w:val="00393BCD"/>
    <w:rsid w:val="0039464D"/>
    <w:rsid w:val="00394778"/>
    <w:rsid w:val="003965BE"/>
    <w:rsid w:val="0039702C"/>
    <w:rsid w:val="003971C3"/>
    <w:rsid w:val="003A01B6"/>
    <w:rsid w:val="003A1AF7"/>
    <w:rsid w:val="003A1F10"/>
    <w:rsid w:val="003A373C"/>
    <w:rsid w:val="003A3B11"/>
    <w:rsid w:val="003A3C7A"/>
    <w:rsid w:val="003A3CE7"/>
    <w:rsid w:val="003A74DE"/>
    <w:rsid w:val="003A7BC8"/>
    <w:rsid w:val="003B14C7"/>
    <w:rsid w:val="003B1AE9"/>
    <w:rsid w:val="003B1F5F"/>
    <w:rsid w:val="003B29D6"/>
    <w:rsid w:val="003B2ECF"/>
    <w:rsid w:val="003B3553"/>
    <w:rsid w:val="003B495C"/>
    <w:rsid w:val="003B56F5"/>
    <w:rsid w:val="003B5716"/>
    <w:rsid w:val="003B716A"/>
    <w:rsid w:val="003B721F"/>
    <w:rsid w:val="003C22A3"/>
    <w:rsid w:val="003C2638"/>
    <w:rsid w:val="003C2EEA"/>
    <w:rsid w:val="003C32DA"/>
    <w:rsid w:val="003C3DF7"/>
    <w:rsid w:val="003C51F4"/>
    <w:rsid w:val="003C5740"/>
    <w:rsid w:val="003C5A6C"/>
    <w:rsid w:val="003C71BD"/>
    <w:rsid w:val="003C7493"/>
    <w:rsid w:val="003D0CA9"/>
    <w:rsid w:val="003D0D9C"/>
    <w:rsid w:val="003D39F2"/>
    <w:rsid w:val="003D7A8D"/>
    <w:rsid w:val="003E0D22"/>
    <w:rsid w:val="003E0F31"/>
    <w:rsid w:val="003E27C5"/>
    <w:rsid w:val="003E2B1D"/>
    <w:rsid w:val="003E3381"/>
    <w:rsid w:val="003E34E5"/>
    <w:rsid w:val="003E5C96"/>
    <w:rsid w:val="003E5D6B"/>
    <w:rsid w:val="003F0EDF"/>
    <w:rsid w:val="003F394E"/>
    <w:rsid w:val="003F4478"/>
    <w:rsid w:val="003F6173"/>
    <w:rsid w:val="003F6698"/>
    <w:rsid w:val="00400F59"/>
    <w:rsid w:val="00401506"/>
    <w:rsid w:val="0040162E"/>
    <w:rsid w:val="00401A64"/>
    <w:rsid w:val="00402702"/>
    <w:rsid w:val="00402A35"/>
    <w:rsid w:val="00407184"/>
    <w:rsid w:val="00411736"/>
    <w:rsid w:val="0041185D"/>
    <w:rsid w:val="00412CB9"/>
    <w:rsid w:val="00415854"/>
    <w:rsid w:val="0041611F"/>
    <w:rsid w:val="004205D8"/>
    <w:rsid w:val="004207BD"/>
    <w:rsid w:val="00421608"/>
    <w:rsid w:val="0042212A"/>
    <w:rsid w:val="004221BE"/>
    <w:rsid w:val="0042242A"/>
    <w:rsid w:val="0042393F"/>
    <w:rsid w:val="0042485A"/>
    <w:rsid w:val="004264A2"/>
    <w:rsid w:val="00426C62"/>
    <w:rsid w:val="00426C73"/>
    <w:rsid w:val="004279CC"/>
    <w:rsid w:val="00427D50"/>
    <w:rsid w:val="00427ECE"/>
    <w:rsid w:val="00430363"/>
    <w:rsid w:val="00431D6A"/>
    <w:rsid w:val="004327C8"/>
    <w:rsid w:val="00435FB3"/>
    <w:rsid w:val="00437757"/>
    <w:rsid w:val="0043778D"/>
    <w:rsid w:val="00437A01"/>
    <w:rsid w:val="00437A22"/>
    <w:rsid w:val="00437BAF"/>
    <w:rsid w:val="004404D6"/>
    <w:rsid w:val="004425DB"/>
    <w:rsid w:val="00442979"/>
    <w:rsid w:val="00443015"/>
    <w:rsid w:val="00443C66"/>
    <w:rsid w:val="00444213"/>
    <w:rsid w:val="00446818"/>
    <w:rsid w:val="00446D25"/>
    <w:rsid w:val="00447843"/>
    <w:rsid w:val="004479B7"/>
    <w:rsid w:val="00447D56"/>
    <w:rsid w:val="00450F8E"/>
    <w:rsid w:val="004523E0"/>
    <w:rsid w:val="00453243"/>
    <w:rsid w:val="00453963"/>
    <w:rsid w:val="0045597C"/>
    <w:rsid w:val="00455B84"/>
    <w:rsid w:val="00460BB2"/>
    <w:rsid w:val="004612EB"/>
    <w:rsid w:val="00463A8B"/>
    <w:rsid w:val="004644EC"/>
    <w:rsid w:val="00466DF0"/>
    <w:rsid w:val="00466F8B"/>
    <w:rsid w:val="0046723E"/>
    <w:rsid w:val="00467501"/>
    <w:rsid w:val="004675CD"/>
    <w:rsid w:val="004704B8"/>
    <w:rsid w:val="00470C76"/>
    <w:rsid w:val="00471890"/>
    <w:rsid w:val="00471EDA"/>
    <w:rsid w:val="0047228A"/>
    <w:rsid w:val="004725B3"/>
    <w:rsid w:val="00472737"/>
    <w:rsid w:val="0047314B"/>
    <w:rsid w:val="00473766"/>
    <w:rsid w:val="00474156"/>
    <w:rsid w:val="00475195"/>
    <w:rsid w:val="00476EBE"/>
    <w:rsid w:val="004771B9"/>
    <w:rsid w:val="004779A8"/>
    <w:rsid w:val="00477CA3"/>
    <w:rsid w:val="004809BE"/>
    <w:rsid w:val="00480AB0"/>
    <w:rsid w:val="00481437"/>
    <w:rsid w:val="00483F96"/>
    <w:rsid w:val="00486C3A"/>
    <w:rsid w:val="0049280F"/>
    <w:rsid w:val="004965EC"/>
    <w:rsid w:val="00497940"/>
    <w:rsid w:val="004A0E25"/>
    <w:rsid w:val="004A0E62"/>
    <w:rsid w:val="004A2D58"/>
    <w:rsid w:val="004A3B79"/>
    <w:rsid w:val="004B134C"/>
    <w:rsid w:val="004B1455"/>
    <w:rsid w:val="004B28A5"/>
    <w:rsid w:val="004B35E7"/>
    <w:rsid w:val="004B37B2"/>
    <w:rsid w:val="004B469D"/>
    <w:rsid w:val="004B5612"/>
    <w:rsid w:val="004B6CA3"/>
    <w:rsid w:val="004B713C"/>
    <w:rsid w:val="004C0561"/>
    <w:rsid w:val="004C077C"/>
    <w:rsid w:val="004C18DE"/>
    <w:rsid w:val="004C2800"/>
    <w:rsid w:val="004C2C61"/>
    <w:rsid w:val="004C32DF"/>
    <w:rsid w:val="004C3A6E"/>
    <w:rsid w:val="004C4375"/>
    <w:rsid w:val="004C4E31"/>
    <w:rsid w:val="004C4FCC"/>
    <w:rsid w:val="004C6663"/>
    <w:rsid w:val="004C7F25"/>
    <w:rsid w:val="004D258A"/>
    <w:rsid w:val="004D2644"/>
    <w:rsid w:val="004D28FE"/>
    <w:rsid w:val="004D4B61"/>
    <w:rsid w:val="004D5384"/>
    <w:rsid w:val="004D5B6E"/>
    <w:rsid w:val="004D6873"/>
    <w:rsid w:val="004D78D3"/>
    <w:rsid w:val="004E14AC"/>
    <w:rsid w:val="004E30A8"/>
    <w:rsid w:val="004E3D6B"/>
    <w:rsid w:val="004E5146"/>
    <w:rsid w:val="004F2216"/>
    <w:rsid w:val="004F34C3"/>
    <w:rsid w:val="004F48A4"/>
    <w:rsid w:val="004F4FD2"/>
    <w:rsid w:val="004F6F8C"/>
    <w:rsid w:val="004F7A7A"/>
    <w:rsid w:val="00501CB9"/>
    <w:rsid w:val="00502F6E"/>
    <w:rsid w:val="0050304D"/>
    <w:rsid w:val="0050334C"/>
    <w:rsid w:val="00504D02"/>
    <w:rsid w:val="00504E6D"/>
    <w:rsid w:val="00505047"/>
    <w:rsid w:val="00506491"/>
    <w:rsid w:val="00506807"/>
    <w:rsid w:val="00506AFE"/>
    <w:rsid w:val="005072D6"/>
    <w:rsid w:val="005101CC"/>
    <w:rsid w:val="00510278"/>
    <w:rsid w:val="005112BC"/>
    <w:rsid w:val="00513081"/>
    <w:rsid w:val="00513216"/>
    <w:rsid w:val="0051482C"/>
    <w:rsid w:val="0051483B"/>
    <w:rsid w:val="00514C97"/>
    <w:rsid w:val="00516017"/>
    <w:rsid w:val="00522D4B"/>
    <w:rsid w:val="00523486"/>
    <w:rsid w:val="00525484"/>
    <w:rsid w:val="00527791"/>
    <w:rsid w:val="00530A48"/>
    <w:rsid w:val="00530C4C"/>
    <w:rsid w:val="00531C74"/>
    <w:rsid w:val="005342C8"/>
    <w:rsid w:val="00534DFC"/>
    <w:rsid w:val="005354E9"/>
    <w:rsid w:val="005355FA"/>
    <w:rsid w:val="0053574A"/>
    <w:rsid w:val="0053631A"/>
    <w:rsid w:val="00537192"/>
    <w:rsid w:val="00537701"/>
    <w:rsid w:val="00540868"/>
    <w:rsid w:val="005408AB"/>
    <w:rsid w:val="00540927"/>
    <w:rsid w:val="0054275E"/>
    <w:rsid w:val="00543814"/>
    <w:rsid w:val="00543A92"/>
    <w:rsid w:val="005451C4"/>
    <w:rsid w:val="005464F6"/>
    <w:rsid w:val="00546F97"/>
    <w:rsid w:val="00550CDC"/>
    <w:rsid w:val="005511AA"/>
    <w:rsid w:val="00551D80"/>
    <w:rsid w:val="00553351"/>
    <w:rsid w:val="00554202"/>
    <w:rsid w:val="00555A30"/>
    <w:rsid w:val="00555C0D"/>
    <w:rsid w:val="00555D60"/>
    <w:rsid w:val="005563EB"/>
    <w:rsid w:val="0055675B"/>
    <w:rsid w:val="005579C8"/>
    <w:rsid w:val="00561BB6"/>
    <w:rsid w:val="00562470"/>
    <w:rsid w:val="00563319"/>
    <w:rsid w:val="00563E5E"/>
    <w:rsid w:val="00564EA1"/>
    <w:rsid w:val="00565587"/>
    <w:rsid w:val="00565F46"/>
    <w:rsid w:val="00566BAF"/>
    <w:rsid w:val="005702C8"/>
    <w:rsid w:val="005703C6"/>
    <w:rsid w:val="00570677"/>
    <w:rsid w:val="00571D9D"/>
    <w:rsid w:val="00571F95"/>
    <w:rsid w:val="0057202F"/>
    <w:rsid w:val="0057264C"/>
    <w:rsid w:val="00574CF6"/>
    <w:rsid w:val="00575831"/>
    <w:rsid w:val="00577889"/>
    <w:rsid w:val="005778C8"/>
    <w:rsid w:val="00580518"/>
    <w:rsid w:val="00581834"/>
    <w:rsid w:val="00582584"/>
    <w:rsid w:val="005825A1"/>
    <w:rsid w:val="00582E43"/>
    <w:rsid w:val="00583358"/>
    <w:rsid w:val="00584883"/>
    <w:rsid w:val="00585A6A"/>
    <w:rsid w:val="00585F28"/>
    <w:rsid w:val="00586C11"/>
    <w:rsid w:val="00587354"/>
    <w:rsid w:val="00587426"/>
    <w:rsid w:val="005875D9"/>
    <w:rsid w:val="00595BA5"/>
    <w:rsid w:val="00595C9A"/>
    <w:rsid w:val="0059652F"/>
    <w:rsid w:val="00597405"/>
    <w:rsid w:val="005A028D"/>
    <w:rsid w:val="005A070A"/>
    <w:rsid w:val="005A0CF9"/>
    <w:rsid w:val="005A15FF"/>
    <w:rsid w:val="005A5C29"/>
    <w:rsid w:val="005A6EFD"/>
    <w:rsid w:val="005A71AC"/>
    <w:rsid w:val="005B0436"/>
    <w:rsid w:val="005B2247"/>
    <w:rsid w:val="005B30FD"/>
    <w:rsid w:val="005B3B08"/>
    <w:rsid w:val="005B3D4C"/>
    <w:rsid w:val="005B49BB"/>
    <w:rsid w:val="005B51D3"/>
    <w:rsid w:val="005B5939"/>
    <w:rsid w:val="005C2414"/>
    <w:rsid w:val="005C2922"/>
    <w:rsid w:val="005C3F6C"/>
    <w:rsid w:val="005C4380"/>
    <w:rsid w:val="005C5268"/>
    <w:rsid w:val="005C534D"/>
    <w:rsid w:val="005C6655"/>
    <w:rsid w:val="005C6E9E"/>
    <w:rsid w:val="005D23D7"/>
    <w:rsid w:val="005D3CF1"/>
    <w:rsid w:val="005D461F"/>
    <w:rsid w:val="005D4CD6"/>
    <w:rsid w:val="005D57FE"/>
    <w:rsid w:val="005D58F3"/>
    <w:rsid w:val="005D79F3"/>
    <w:rsid w:val="005E002A"/>
    <w:rsid w:val="005E1041"/>
    <w:rsid w:val="005E14D7"/>
    <w:rsid w:val="005E2379"/>
    <w:rsid w:val="005E278D"/>
    <w:rsid w:val="005E3806"/>
    <w:rsid w:val="005E4339"/>
    <w:rsid w:val="005E4345"/>
    <w:rsid w:val="005E4915"/>
    <w:rsid w:val="005E4F2D"/>
    <w:rsid w:val="005E698C"/>
    <w:rsid w:val="005E793B"/>
    <w:rsid w:val="005F0456"/>
    <w:rsid w:val="005F06FB"/>
    <w:rsid w:val="005F0CA0"/>
    <w:rsid w:val="005F1B4C"/>
    <w:rsid w:val="005F1E15"/>
    <w:rsid w:val="005F20AE"/>
    <w:rsid w:val="005F239F"/>
    <w:rsid w:val="005F2734"/>
    <w:rsid w:val="005F29DE"/>
    <w:rsid w:val="005F5924"/>
    <w:rsid w:val="00600770"/>
    <w:rsid w:val="00601706"/>
    <w:rsid w:val="00602712"/>
    <w:rsid w:val="00603101"/>
    <w:rsid w:val="00603971"/>
    <w:rsid w:val="006045A6"/>
    <w:rsid w:val="00606274"/>
    <w:rsid w:val="00610DFE"/>
    <w:rsid w:val="006116D9"/>
    <w:rsid w:val="00613044"/>
    <w:rsid w:val="00613D65"/>
    <w:rsid w:val="0061581F"/>
    <w:rsid w:val="0061590F"/>
    <w:rsid w:val="006173C1"/>
    <w:rsid w:val="00620E3A"/>
    <w:rsid w:val="00620E4F"/>
    <w:rsid w:val="00621652"/>
    <w:rsid w:val="00622DE9"/>
    <w:rsid w:val="00624B1E"/>
    <w:rsid w:val="00625995"/>
    <w:rsid w:val="00625F8D"/>
    <w:rsid w:val="006278AD"/>
    <w:rsid w:val="006279CE"/>
    <w:rsid w:val="00630033"/>
    <w:rsid w:val="00630CAB"/>
    <w:rsid w:val="006311B6"/>
    <w:rsid w:val="00631A25"/>
    <w:rsid w:val="006337D5"/>
    <w:rsid w:val="00635147"/>
    <w:rsid w:val="00636171"/>
    <w:rsid w:val="00636CDC"/>
    <w:rsid w:val="00636F46"/>
    <w:rsid w:val="0064133C"/>
    <w:rsid w:val="0064286B"/>
    <w:rsid w:val="00643792"/>
    <w:rsid w:val="00644832"/>
    <w:rsid w:val="006453F4"/>
    <w:rsid w:val="00650226"/>
    <w:rsid w:val="00650B79"/>
    <w:rsid w:val="00652270"/>
    <w:rsid w:val="00652758"/>
    <w:rsid w:val="00653844"/>
    <w:rsid w:val="006539B7"/>
    <w:rsid w:val="006569B9"/>
    <w:rsid w:val="006571B7"/>
    <w:rsid w:val="0066159A"/>
    <w:rsid w:val="00662052"/>
    <w:rsid w:val="00662AB2"/>
    <w:rsid w:val="00662F16"/>
    <w:rsid w:val="006634CB"/>
    <w:rsid w:val="00663FA8"/>
    <w:rsid w:val="00666D89"/>
    <w:rsid w:val="00667773"/>
    <w:rsid w:val="0066779A"/>
    <w:rsid w:val="00667CFA"/>
    <w:rsid w:val="00667EAF"/>
    <w:rsid w:val="006707AE"/>
    <w:rsid w:val="00672D4D"/>
    <w:rsid w:val="00673AE5"/>
    <w:rsid w:val="00675F1F"/>
    <w:rsid w:val="0067632E"/>
    <w:rsid w:val="00680792"/>
    <w:rsid w:val="006817B9"/>
    <w:rsid w:val="00681BC2"/>
    <w:rsid w:val="00682863"/>
    <w:rsid w:val="0068337C"/>
    <w:rsid w:val="006833EF"/>
    <w:rsid w:val="00684251"/>
    <w:rsid w:val="00685069"/>
    <w:rsid w:val="00692173"/>
    <w:rsid w:val="006A0BE6"/>
    <w:rsid w:val="006A1108"/>
    <w:rsid w:val="006A440D"/>
    <w:rsid w:val="006A4F56"/>
    <w:rsid w:val="006A52B4"/>
    <w:rsid w:val="006A73FD"/>
    <w:rsid w:val="006B00D2"/>
    <w:rsid w:val="006B0BC5"/>
    <w:rsid w:val="006B108C"/>
    <w:rsid w:val="006B1B0B"/>
    <w:rsid w:val="006B2A3A"/>
    <w:rsid w:val="006B35EA"/>
    <w:rsid w:val="006B43FC"/>
    <w:rsid w:val="006B542E"/>
    <w:rsid w:val="006B598E"/>
    <w:rsid w:val="006B69BA"/>
    <w:rsid w:val="006B7732"/>
    <w:rsid w:val="006C06FC"/>
    <w:rsid w:val="006C1DEE"/>
    <w:rsid w:val="006C2066"/>
    <w:rsid w:val="006C32AF"/>
    <w:rsid w:val="006C3D80"/>
    <w:rsid w:val="006C3F64"/>
    <w:rsid w:val="006C486B"/>
    <w:rsid w:val="006C5971"/>
    <w:rsid w:val="006C6794"/>
    <w:rsid w:val="006C7838"/>
    <w:rsid w:val="006C7C99"/>
    <w:rsid w:val="006D07CC"/>
    <w:rsid w:val="006D1B3F"/>
    <w:rsid w:val="006D2B7E"/>
    <w:rsid w:val="006D2FD5"/>
    <w:rsid w:val="006D38F0"/>
    <w:rsid w:val="006D3A20"/>
    <w:rsid w:val="006D56B3"/>
    <w:rsid w:val="006D5935"/>
    <w:rsid w:val="006D696A"/>
    <w:rsid w:val="006D72B3"/>
    <w:rsid w:val="006D7D3F"/>
    <w:rsid w:val="006E18C7"/>
    <w:rsid w:val="006E207E"/>
    <w:rsid w:val="006E222A"/>
    <w:rsid w:val="006E2B92"/>
    <w:rsid w:val="006E5614"/>
    <w:rsid w:val="006E7A02"/>
    <w:rsid w:val="006F0EEF"/>
    <w:rsid w:val="006F10A0"/>
    <w:rsid w:val="006F1221"/>
    <w:rsid w:val="006F332D"/>
    <w:rsid w:val="006F485D"/>
    <w:rsid w:val="006F5559"/>
    <w:rsid w:val="006F5D19"/>
    <w:rsid w:val="006F5DFB"/>
    <w:rsid w:val="006F5EA6"/>
    <w:rsid w:val="006F7F11"/>
    <w:rsid w:val="00701302"/>
    <w:rsid w:val="0070393D"/>
    <w:rsid w:val="007102CA"/>
    <w:rsid w:val="00710DE7"/>
    <w:rsid w:val="00710FCC"/>
    <w:rsid w:val="0071100D"/>
    <w:rsid w:val="007120CB"/>
    <w:rsid w:val="00712852"/>
    <w:rsid w:val="007139EB"/>
    <w:rsid w:val="007148E4"/>
    <w:rsid w:val="00716263"/>
    <w:rsid w:val="0072040C"/>
    <w:rsid w:val="00720917"/>
    <w:rsid w:val="0072153A"/>
    <w:rsid w:val="00722D36"/>
    <w:rsid w:val="0072306D"/>
    <w:rsid w:val="007230B8"/>
    <w:rsid w:val="00723A09"/>
    <w:rsid w:val="00725452"/>
    <w:rsid w:val="00726BD3"/>
    <w:rsid w:val="00726CA7"/>
    <w:rsid w:val="007308E0"/>
    <w:rsid w:val="00734228"/>
    <w:rsid w:val="0073504D"/>
    <w:rsid w:val="007355DD"/>
    <w:rsid w:val="00741BA8"/>
    <w:rsid w:val="00741DDE"/>
    <w:rsid w:val="007424FC"/>
    <w:rsid w:val="00742A2A"/>
    <w:rsid w:val="007440B6"/>
    <w:rsid w:val="00744BB2"/>
    <w:rsid w:val="00746F9C"/>
    <w:rsid w:val="007479D9"/>
    <w:rsid w:val="007506A3"/>
    <w:rsid w:val="007509D5"/>
    <w:rsid w:val="007509E6"/>
    <w:rsid w:val="00751550"/>
    <w:rsid w:val="0075215C"/>
    <w:rsid w:val="00752AC7"/>
    <w:rsid w:val="007531C1"/>
    <w:rsid w:val="0075364F"/>
    <w:rsid w:val="007576FB"/>
    <w:rsid w:val="0076166E"/>
    <w:rsid w:val="00761700"/>
    <w:rsid w:val="00761F3D"/>
    <w:rsid w:val="0076436A"/>
    <w:rsid w:val="0076545B"/>
    <w:rsid w:val="00765E3C"/>
    <w:rsid w:val="00766819"/>
    <w:rsid w:val="00770F27"/>
    <w:rsid w:val="00772156"/>
    <w:rsid w:val="007736E7"/>
    <w:rsid w:val="00774E91"/>
    <w:rsid w:val="0077559C"/>
    <w:rsid w:val="00777468"/>
    <w:rsid w:val="007775DB"/>
    <w:rsid w:val="007812C8"/>
    <w:rsid w:val="007814CE"/>
    <w:rsid w:val="00781E20"/>
    <w:rsid w:val="007821F7"/>
    <w:rsid w:val="0078244F"/>
    <w:rsid w:val="00784394"/>
    <w:rsid w:val="007851DE"/>
    <w:rsid w:val="007870B1"/>
    <w:rsid w:val="00791FF3"/>
    <w:rsid w:val="00792A5F"/>
    <w:rsid w:val="0079366D"/>
    <w:rsid w:val="00793F2E"/>
    <w:rsid w:val="00794358"/>
    <w:rsid w:val="00795C9B"/>
    <w:rsid w:val="007961A7"/>
    <w:rsid w:val="00797873"/>
    <w:rsid w:val="007A2AC9"/>
    <w:rsid w:val="007A2F94"/>
    <w:rsid w:val="007A45CF"/>
    <w:rsid w:val="007A4898"/>
    <w:rsid w:val="007A5E1C"/>
    <w:rsid w:val="007A64D4"/>
    <w:rsid w:val="007A685F"/>
    <w:rsid w:val="007A6976"/>
    <w:rsid w:val="007A7917"/>
    <w:rsid w:val="007B1F41"/>
    <w:rsid w:val="007B2DC9"/>
    <w:rsid w:val="007B4E08"/>
    <w:rsid w:val="007B5725"/>
    <w:rsid w:val="007B77A3"/>
    <w:rsid w:val="007B79AE"/>
    <w:rsid w:val="007C3A90"/>
    <w:rsid w:val="007C63CA"/>
    <w:rsid w:val="007C64D3"/>
    <w:rsid w:val="007C69AA"/>
    <w:rsid w:val="007C7792"/>
    <w:rsid w:val="007C7D88"/>
    <w:rsid w:val="007D1376"/>
    <w:rsid w:val="007D2923"/>
    <w:rsid w:val="007D2A99"/>
    <w:rsid w:val="007D30A6"/>
    <w:rsid w:val="007D502F"/>
    <w:rsid w:val="007D7914"/>
    <w:rsid w:val="007E3768"/>
    <w:rsid w:val="007E484D"/>
    <w:rsid w:val="007F05C1"/>
    <w:rsid w:val="007F11A9"/>
    <w:rsid w:val="007F1970"/>
    <w:rsid w:val="007F1A16"/>
    <w:rsid w:val="007F2433"/>
    <w:rsid w:val="007F7276"/>
    <w:rsid w:val="00800246"/>
    <w:rsid w:val="0080055C"/>
    <w:rsid w:val="008007F6"/>
    <w:rsid w:val="008010D8"/>
    <w:rsid w:val="0080198F"/>
    <w:rsid w:val="00801994"/>
    <w:rsid w:val="00802CE4"/>
    <w:rsid w:val="0080438F"/>
    <w:rsid w:val="00804CE8"/>
    <w:rsid w:val="008052E3"/>
    <w:rsid w:val="00805A59"/>
    <w:rsid w:val="00807722"/>
    <w:rsid w:val="00807923"/>
    <w:rsid w:val="008108C0"/>
    <w:rsid w:val="008117EF"/>
    <w:rsid w:val="00814BA7"/>
    <w:rsid w:val="00821BB4"/>
    <w:rsid w:val="00822090"/>
    <w:rsid w:val="0082318F"/>
    <w:rsid w:val="00824046"/>
    <w:rsid w:val="00824687"/>
    <w:rsid w:val="00830164"/>
    <w:rsid w:val="0083068D"/>
    <w:rsid w:val="00830DC9"/>
    <w:rsid w:val="008334AD"/>
    <w:rsid w:val="00840546"/>
    <w:rsid w:val="00841110"/>
    <w:rsid w:val="00841FA6"/>
    <w:rsid w:val="00842872"/>
    <w:rsid w:val="0084294C"/>
    <w:rsid w:val="00845F09"/>
    <w:rsid w:val="008462BF"/>
    <w:rsid w:val="008476CB"/>
    <w:rsid w:val="008501C5"/>
    <w:rsid w:val="00852D7E"/>
    <w:rsid w:val="008533DF"/>
    <w:rsid w:val="00854144"/>
    <w:rsid w:val="00854715"/>
    <w:rsid w:val="00854B4E"/>
    <w:rsid w:val="00855ECC"/>
    <w:rsid w:val="00855EDA"/>
    <w:rsid w:val="008560B9"/>
    <w:rsid w:val="00857B3C"/>
    <w:rsid w:val="00857D57"/>
    <w:rsid w:val="0086175F"/>
    <w:rsid w:val="00862A32"/>
    <w:rsid w:val="00864AC8"/>
    <w:rsid w:val="008677D6"/>
    <w:rsid w:val="00870F85"/>
    <w:rsid w:val="0087106A"/>
    <w:rsid w:val="00871549"/>
    <w:rsid w:val="008740E3"/>
    <w:rsid w:val="00874BC0"/>
    <w:rsid w:val="00876900"/>
    <w:rsid w:val="008779E2"/>
    <w:rsid w:val="00881995"/>
    <w:rsid w:val="0088286A"/>
    <w:rsid w:val="00882CAB"/>
    <w:rsid w:val="00883E75"/>
    <w:rsid w:val="008840A7"/>
    <w:rsid w:val="0089085A"/>
    <w:rsid w:val="00891296"/>
    <w:rsid w:val="0089180B"/>
    <w:rsid w:val="00891A27"/>
    <w:rsid w:val="00892444"/>
    <w:rsid w:val="00894F6F"/>
    <w:rsid w:val="008964FE"/>
    <w:rsid w:val="0089764A"/>
    <w:rsid w:val="008976BC"/>
    <w:rsid w:val="008A058D"/>
    <w:rsid w:val="008A0FB2"/>
    <w:rsid w:val="008A266F"/>
    <w:rsid w:val="008A3034"/>
    <w:rsid w:val="008A3381"/>
    <w:rsid w:val="008A3946"/>
    <w:rsid w:val="008A50AB"/>
    <w:rsid w:val="008A6635"/>
    <w:rsid w:val="008B02D6"/>
    <w:rsid w:val="008B109A"/>
    <w:rsid w:val="008B2C37"/>
    <w:rsid w:val="008B5E4C"/>
    <w:rsid w:val="008B6D98"/>
    <w:rsid w:val="008C00FF"/>
    <w:rsid w:val="008C08CA"/>
    <w:rsid w:val="008C0C1E"/>
    <w:rsid w:val="008C0D61"/>
    <w:rsid w:val="008C27CE"/>
    <w:rsid w:val="008C452E"/>
    <w:rsid w:val="008C49F6"/>
    <w:rsid w:val="008C4AB6"/>
    <w:rsid w:val="008C5278"/>
    <w:rsid w:val="008C64E9"/>
    <w:rsid w:val="008C6AE2"/>
    <w:rsid w:val="008C7DBE"/>
    <w:rsid w:val="008C7E6B"/>
    <w:rsid w:val="008D2866"/>
    <w:rsid w:val="008D2B7B"/>
    <w:rsid w:val="008D524C"/>
    <w:rsid w:val="008D5B2D"/>
    <w:rsid w:val="008D60CD"/>
    <w:rsid w:val="008D73C8"/>
    <w:rsid w:val="008E0BD1"/>
    <w:rsid w:val="008E1F03"/>
    <w:rsid w:val="008E2462"/>
    <w:rsid w:val="008E3F81"/>
    <w:rsid w:val="008E7479"/>
    <w:rsid w:val="008E76CD"/>
    <w:rsid w:val="008E7EFD"/>
    <w:rsid w:val="008F05C9"/>
    <w:rsid w:val="008F0F16"/>
    <w:rsid w:val="008F0F89"/>
    <w:rsid w:val="008F3B43"/>
    <w:rsid w:val="008F4046"/>
    <w:rsid w:val="008F4457"/>
    <w:rsid w:val="008F504D"/>
    <w:rsid w:val="008F5E6A"/>
    <w:rsid w:val="008F6B6C"/>
    <w:rsid w:val="008F6E01"/>
    <w:rsid w:val="008F77A9"/>
    <w:rsid w:val="009006C4"/>
    <w:rsid w:val="0090110D"/>
    <w:rsid w:val="0090131A"/>
    <w:rsid w:val="009015DF"/>
    <w:rsid w:val="00902FC2"/>
    <w:rsid w:val="00904513"/>
    <w:rsid w:val="00904DFF"/>
    <w:rsid w:val="00905272"/>
    <w:rsid w:val="00905AE4"/>
    <w:rsid w:val="009063DD"/>
    <w:rsid w:val="00906FAE"/>
    <w:rsid w:val="0091052A"/>
    <w:rsid w:val="00911CC2"/>
    <w:rsid w:val="00913066"/>
    <w:rsid w:val="00913F7F"/>
    <w:rsid w:val="009142B4"/>
    <w:rsid w:val="009161D1"/>
    <w:rsid w:val="00923B27"/>
    <w:rsid w:val="009260FF"/>
    <w:rsid w:val="009265F7"/>
    <w:rsid w:val="00930EFA"/>
    <w:rsid w:val="00931CC2"/>
    <w:rsid w:val="00932443"/>
    <w:rsid w:val="00932487"/>
    <w:rsid w:val="00934267"/>
    <w:rsid w:val="00934817"/>
    <w:rsid w:val="00934889"/>
    <w:rsid w:val="00934C90"/>
    <w:rsid w:val="00935310"/>
    <w:rsid w:val="00935F99"/>
    <w:rsid w:val="00936AC0"/>
    <w:rsid w:val="00940FA6"/>
    <w:rsid w:val="00941EE6"/>
    <w:rsid w:val="00942629"/>
    <w:rsid w:val="009428F4"/>
    <w:rsid w:val="00942987"/>
    <w:rsid w:val="0094406A"/>
    <w:rsid w:val="00944084"/>
    <w:rsid w:val="00944FFA"/>
    <w:rsid w:val="0094637F"/>
    <w:rsid w:val="00946FE2"/>
    <w:rsid w:val="00947E7B"/>
    <w:rsid w:val="00950A3F"/>
    <w:rsid w:val="00952B35"/>
    <w:rsid w:val="00952BAC"/>
    <w:rsid w:val="00953A17"/>
    <w:rsid w:val="00956314"/>
    <w:rsid w:val="00956CF7"/>
    <w:rsid w:val="00961143"/>
    <w:rsid w:val="009622CC"/>
    <w:rsid w:val="00962B69"/>
    <w:rsid w:val="00963194"/>
    <w:rsid w:val="00963468"/>
    <w:rsid w:val="00964848"/>
    <w:rsid w:val="00966682"/>
    <w:rsid w:val="00970A9D"/>
    <w:rsid w:val="00971E61"/>
    <w:rsid w:val="009731F3"/>
    <w:rsid w:val="009743FD"/>
    <w:rsid w:val="00974D07"/>
    <w:rsid w:val="00976177"/>
    <w:rsid w:val="00977C74"/>
    <w:rsid w:val="0098104E"/>
    <w:rsid w:val="00981EC0"/>
    <w:rsid w:val="00982069"/>
    <w:rsid w:val="0098248F"/>
    <w:rsid w:val="0098465A"/>
    <w:rsid w:val="00984B7B"/>
    <w:rsid w:val="00986B2B"/>
    <w:rsid w:val="009920D6"/>
    <w:rsid w:val="0099249F"/>
    <w:rsid w:val="00992669"/>
    <w:rsid w:val="009935F2"/>
    <w:rsid w:val="00997523"/>
    <w:rsid w:val="00997A31"/>
    <w:rsid w:val="009A4782"/>
    <w:rsid w:val="009A4D81"/>
    <w:rsid w:val="009A71F3"/>
    <w:rsid w:val="009B0CBA"/>
    <w:rsid w:val="009B4034"/>
    <w:rsid w:val="009B5077"/>
    <w:rsid w:val="009B5092"/>
    <w:rsid w:val="009B52D3"/>
    <w:rsid w:val="009B6B42"/>
    <w:rsid w:val="009B711B"/>
    <w:rsid w:val="009B7157"/>
    <w:rsid w:val="009B7353"/>
    <w:rsid w:val="009B7411"/>
    <w:rsid w:val="009B7A6B"/>
    <w:rsid w:val="009B7FE9"/>
    <w:rsid w:val="009C0693"/>
    <w:rsid w:val="009C0AB3"/>
    <w:rsid w:val="009C23B3"/>
    <w:rsid w:val="009C3414"/>
    <w:rsid w:val="009C6095"/>
    <w:rsid w:val="009C67D5"/>
    <w:rsid w:val="009C7D13"/>
    <w:rsid w:val="009D06B6"/>
    <w:rsid w:val="009D0941"/>
    <w:rsid w:val="009D13F3"/>
    <w:rsid w:val="009D3573"/>
    <w:rsid w:val="009D3BCC"/>
    <w:rsid w:val="009D3F1D"/>
    <w:rsid w:val="009D47EF"/>
    <w:rsid w:val="009D546A"/>
    <w:rsid w:val="009D79C7"/>
    <w:rsid w:val="009E1817"/>
    <w:rsid w:val="009E1B36"/>
    <w:rsid w:val="009E27A6"/>
    <w:rsid w:val="009E294B"/>
    <w:rsid w:val="009E37EA"/>
    <w:rsid w:val="009E439B"/>
    <w:rsid w:val="009E68F1"/>
    <w:rsid w:val="009E776B"/>
    <w:rsid w:val="009F1C17"/>
    <w:rsid w:val="009F1CDA"/>
    <w:rsid w:val="009F29E9"/>
    <w:rsid w:val="009F2A18"/>
    <w:rsid w:val="009F4EED"/>
    <w:rsid w:val="009F602B"/>
    <w:rsid w:val="009F675C"/>
    <w:rsid w:val="009F6AD0"/>
    <w:rsid w:val="009F71E6"/>
    <w:rsid w:val="009F76CC"/>
    <w:rsid w:val="00A00B50"/>
    <w:rsid w:val="00A01F47"/>
    <w:rsid w:val="00A0207D"/>
    <w:rsid w:val="00A032A2"/>
    <w:rsid w:val="00A03F96"/>
    <w:rsid w:val="00A0415D"/>
    <w:rsid w:val="00A051E3"/>
    <w:rsid w:val="00A05854"/>
    <w:rsid w:val="00A07008"/>
    <w:rsid w:val="00A107C7"/>
    <w:rsid w:val="00A11061"/>
    <w:rsid w:val="00A12BF3"/>
    <w:rsid w:val="00A1493F"/>
    <w:rsid w:val="00A15707"/>
    <w:rsid w:val="00A16C17"/>
    <w:rsid w:val="00A17438"/>
    <w:rsid w:val="00A176BB"/>
    <w:rsid w:val="00A179F8"/>
    <w:rsid w:val="00A21797"/>
    <w:rsid w:val="00A21F88"/>
    <w:rsid w:val="00A234BC"/>
    <w:rsid w:val="00A24217"/>
    <w:rsid w:val="00A24A27"/>
    <w:rsid w:val="00A25236"/>
    <w:rsid w:val="00A2584E"/>
    <w:rsid w:val="00A25EB5"/>
    <w:rsid w:val="00A26C28"/>
    <w:rsid w:val="00A31DA7"/>
    <w:rsid w:val="00A32368"/>
    <w:rsid w:val="00A33103"/>
    <w:rsid w:val="00A33105"/>
    <w:rsid w:val="00A331B6"/>
    <w:rsid w:val="00A33AE7"/>
    <w:rsid w:val="00A35245"/>
    <w:rsid w:val="00A357D7"/>
    <w:rsid w:val="00A359C3"/>
    <w:rsid w:val="00A35C2D"/>
    <w:rsid w:val="00A37521"/>
    <w:rsid w:val="00A403CA"/>
    <w:rsid w:val="00A42D82"/>
    <w:rsid w:val="00A4554B"/>
    <w:rsid w:val="00A45E8F"/>
    <w:rsid w:val="00A46928"/>
    <w:rsid w:val="00A475DE"/>
    <w:rsid w:val="00A47E3C"/>
    <w:rsid w:val="00A504DF"/>
    <w:rsid w:val="00A5136F"/>
    <w:rsid w:val="00A5178D"/>
    <w:rsid w:val="00A53303"/>
    <w:rsid w:val="00A553F4"/>
    <w:rsid w:val="00A556DC"/>
    <w:rsid w:val="00A55BEF"/>
    <w:rsid w:val="00A57282"/>
    <w:rsid w:val="00A57792"/>
    <w:rsid w:val="00A611E6"/>
    <w:rsid w:val="00A61BA1"/>
    <w:rsid w:val="00A6309D"/>
    <w:rsid w:val="00A630F2"/>
    <w:rsid w:val="00A64A6A"/>
    <w:rsid w:val="00A64F24"/>
    <w:rsid w:val="00A65BAE"/>
    <w:rsid w:val="00A66B03"/>
    <w:rsid w:val="00A66E17"/>
    <w:rsid w:val="00A67BA8"/>
    <w:rsid w:val="00A703F6"/>
    <w:rsid w:val="00A708C1"/>
    <w:rsid w:val="00A70D7B"/>
    <w:rsid w:val="00A71633"/>
    <w:rsid w:val="00A76865"/>
    <w:rsid w:val="00A76EEF"/>
    <w:rsid w:val="00A804AA"/>
    <w:rsid w:val="00A80981"/>
    <w:rsid w:val="00A82950"/>
    <w:rsid w:val="00A82EDB"/>
    <w:rsid w:val="00A834D9"/>
    <w:rsid w:val="00A83E0B"/>
    <w:rsid w:val="00A86F9A"/>
    <w:rsid w:val="00A91AA8"/>
    <w:rsid w:val="00A91C98"/>
    <w:rsid w:val="00A94209"/>
    <w:rsid w:val="00A95011"/>
    <w:rsid w:val="00A95AA3"/>
    <w:rsid w:val="00A963DC"/>
    <w:rsid w:val="00A96F42"/>
    <w:rsid w:val="00AA028F"/>
    <w:rsid w:val="00AA10E0"/>
    <w:rsid w:val="00AA152B"/>
    <w:rsid w:val="00AA267E"/>
    <w:rsid w:val="00AA3053"/>
    <w:rsid w:val="00AA395D"/>
    <w:rsid w:val="00AA3FD2"/>
    <w:rsid w:val="00AA6741"/>
    <w:rsid w:val="00AB0123"/>
    <w:rsid w:val="00AB04B4"/>
    <w:rsid w:val="00AB2E21"/>
    <w:rsid w:val="00AB38D4"/>
    <w:rsid w:val="00AB62CA"/>
    <w:rsid w:val="00AC0BE4"/>
    <w:rsid w:val="00AC1518"/>
    <w:rsid w:val="00AC26BC"/>
    <w:rsid w:val="00AC469D"/>
    <w:rsid w:val="00AC5E30"/>
    <w:rsid w:val="00AC67B4"/>
    <w:rsid w:val="00AC7BD6"/>
    <w:rsid w:val="00AD4B55"/>
    <w:rsid w:val="00AD65BE"/>
    <w:rsid w:val="00AD6B6E"/>
    <w:rsid w:val="00AD6BC0"/>
    <w:rsid w:val="00AD6F16"/>
    <w:rsid w:val="00AE3DD7"/>
    <w:rsid w:val="00AE5C25"/>
    <w:rsid w:val="00AF06D4"/>
    <w:rsid w:val="00AF50B0"/>
    <w:rsid w:val="00AF5122"/>
    <w:rsid w:val="00AF548D"/>
    <w:rsid w:val="00AF6205"/>
    <w:rsid w:val="00AF648B"/>
    <w:rsid w:val="00AF71E1"/>
    <w:rsid w:val="00AF773E"/>
    <w:rsid w:val="00B01795"/>
    <w:rsid w:val="00B02581"/>
    <w:rsid w:val="00B0291C"/>
    <w:rsid w:val="00B02948"/>
    <w:rsid w:val="00B02F92"/>
    <w:rsid w:val="00B04984"/>
    <w:rsid w:val="00B05E24"/>
    <w:rsid w:val="00B06E76"/>
    <w:rsid w:val="00B07775"/>
    <w:rsid w:val="00B10D96"/>
    <w:rsid w:val="00B135B5"/>
    <w:rsid w:val="00B13885"/>
    <w:rsid w:val="00B14EEC"/>
    <w:rsid w:val="00B15D6F"/>
    <w:rsid w:val="00B161BA"/>
    <w:rsid w:val="00B17D9F"/>
    <w:rsid w:val="00B23B7D"/>
    <w:rsid w:val="00B2621D"/>
    <w:rsid w:val="00B265DD"/>
    <w:rsid w:val="00B26942"/>
    <w:rsid w:val="00B27498"/>
    <w:rsid w:val="00B300ED"/>
    <w:rsid w:val="00B309DB"/>
    <w:rsid w:val="00B31BA7"/>
    <w:rsid w:val="00B34326"/>
    <w:rsid w:val="00B34668"/>
    <w:rsid w:val="00B40A55"/>
    <w:rsid w:val="00B43413"/>
    <w:rsid w:val="00B46873"/>
    <w:rsid w:val="00B47A1B"/>
    <w:rsid w:val="00B50758"/>
    <w:rsid w:val="00B51FB2"/>
    <w:rsid w:val="00B5232A"/>
    <w:rsid w:val="00B52F38"/>
    <w:rsid w:val="00B547F3"/>
    <w:rsid w:val="00B5518F"/>
    <w:rsid w:val="00B5586A"/>
    <w:rsid w:val="00B558AD"/>
    <w:rsid w:val="00B578AE"/>
    <w:rsid w:val="00B57B9D"/>
    <w:rsid w:val="00B57E20"/>
    <w:rsid w:val="00B60122"/>
    <w:rsid w:val="00B60743"/>
    <w:rsid w:val="00B617C9"/>
    <w:rsid w:val="00B62A09"/>
    <w:rsid w:val="00B63670"/>
    <w:rsid w:val="00B63800"/>
    <w:rsid w:val="00B64059"/>
    <w:rsid w:val="00B644E7"/>
    <w:rsid w:val="00B64588"/>
    <w:rsid w:val="00B649B0"/>
    <w:rsid w:val="00B64E7C"/>
    <w:rsid w:val="00B64F64"/>
    <w:rsid w:val="00B661CC"/>
    <w:rsid w:val="00B70C29"/>
    <w:rsid w:val="00B71510"/>
    <w:rsid w:val="00B71F9B"/>
    <w:rsid w:val="00B72071"/>
    <w:rsid w:val="00B73428"/>
    <w:rsid w:val="00B7353F"/>
    <w:rsid w:val="00B7404F"/>
    <w:rsid w:val="00B754B3"/>
    <w:rsid w:val="00B7582F"/>
    <w:rsid w:val="00B76B43"/>
    <w:rsid w:val="00B775A9"/>
    <w:rsid w:val="00B8025C"/>
    <w:rsid w:val="00B802BA"/>
    <w:rsid w:val="00B80327"/>
    <w:rsid w:val="00B82563"/>
    <w:rsid w:val="00B84DCF"/>
    <w:rsid w:val="00B85DE4"/>
    <w:rsid w:val="00B86091"/>
    <w:rsid w:val="00B900A6"/>
    <w:rsid w:val="00B9060C"/>
    <w:rsid w:val="00B91609"/>
    <w:rsid w:val="00B948E4"/>
    <w:rsid w:val="00B94AA4"/>
    <w:rsid w:val="00B95C88"/>
    <w:rsid w:val="00B95E33"/>
    <w:rsid w:val="00B96946"/>
    <w:rsid w:val="00B97A63"/>
    <w:rsid w:val="00BA123E"/>
    <w:rsid w:val="00BA12F1"/>
    <w:rsid w:val="00BA2952"/>
    <w:rsid w:val="00BA31B2"/>
    <w:rsid w:val="00BA5020"/>
    <w:rsid w:val="00BA59B1"/>
    <w:rsid w:val="00BA5C7C"/>
    <w:rsid w:val="00BA6B5D"/>
    <w:rsid w:val="00BA774A"/>
    <w:rsid w:val="00BA7A25"/>
    <w:rsid w:val="00BB005D"/>
    <w:rsid w:val="00BB18D5"/>
    <w:rsid w:val="00BB2F87"/>
    <w:rsid w:val="00BB2FB9"/>
    <w:rsid w:val="00BB3D8F"/>
    <w:rsid w:val="00BB4545"/>
    <w:rsid w:val="00BB485B"/>
    <w:rsid w:val="00BB4C83"/>
    <w:rsid w:val="00BB7279"/>
    <w:rsid w:val="00BC0177"/>
    <w:rsid w:val="00BC1439"/>
    <w:rsid w:val="00BC1948"/>
    <w:rsid w:val="00BC27DB"/>
    <w:rsid w:val="00BC2A19"/>
    <w:rsid w:val="00BC3F50"/>
    <w:rsid w:val="00BC776D"/>
    <w:rsid w:val="00BD07FE"/>
    <w:rsid w:val="00BD1FD2"/>
    <w:rsid w:val="00BD5AB2"/>
    <w:rsid w:val="00BD5B30"/>
    <w:rsid w:val="00BD5E10"/>
    <w:rsid w:val="00BD5EB0"/>
    <w:rsid w:val="00BD6B42"/>
    <w:rsid w:val="00BD7511"/>
    <w:rsid w:val="00BE18F1"/>
    <w:rsid w:val="00BE37EF"/>
    <w:rsid w:val="00BE39D9"/>
    <w:rsid w:val="00BE4136"/>
    <w:rsid w:val="00BE4E2F"/>
    <w:rsid w:val="00BE56AC"/>
    <w:rsid w:val="00BE5D54"/>
    <w:rsid w:val="00BE6C1F"/>
    <w:rsid w:val="00BE72C8"/>
    <w:rsid w:val="00BE732D"/>
    <w:rsid w:val="00BE7519"/>
    <w:rsid w:val="00BF01CC"/>
    <w:rsid w:val="00BF1694"/>
    <w:rsid w:val="00BF190B"/>
    <w:rsid w:val="00BF2448"/>
    <w:rsid w:val="00BF2D5C"/>
    <w:rsid w:val="00BF5246"/>
    <w:rsid w:val="00BF594D"/>
    <w:rsid w:val="00BF685A"/>
    <w:rsid w:val="00C0114D"/>
    <w:rsid w:val="00C0165D"/>
    <w:rsid w:val="00C03871"/>
    <w:rsid w:val="00C04DE5"/>
    <w:rsid w:val="00C05593"/>
    <w:rsid w:val="00C06044"/>
    <w:rsid w:val="00C068A7"/>
    <w:rsid w:val="00C07271"/>
    <w:rsid w:val="00C078F9"/>
    <w:rsid w:val="00C07D5F"/>
    <w:rsid w:val="00C102AA"/>
    <w:rsid w:val="00C10C41"/>
    <w:rsid w:val="00C12698"/>
    <w:rsid w:val="00C1399A"/>
    <w:rsid w:val="00C13B4C"/>
    <w:rsid w:val="00C148D0"/>
    <w:rsid w:val="00C14A28"/>
    <w:rsid w:val="00C14E80"/>
    <w:rsid w:val="00C20043"/>
    <w:rsid w:val="00C2041E"/>
    <w:rsid w:val="00C20778"/>
    <w:rsid w:val="00C21804"/>
    <w:rsid w:val="00C22154"/>
    <w:rsid w:val="00C22A1B"/>
    <w:rsid w:val="00C22C5A"/>
    <w:rsid w:val="00C23FA7"/>
    <w:rsid w:val="00C262C3"/>
    <w:rsid w:val="00C2708B"/>
    <w:rsid w:val="00C30D1C"/>
    <w:rsid w:val="00C3187B"/>
    <w:rsid w:val="00C32E26"/>
    <w:rsid w:val="00C32EA4"/>
    <w:rsid w:val="00C339BB"/>
    <w:rsid w:val="00C35837"/>
    <w:rsid w:val="00C35C56"/>
    <w:rsid w:val="00C36EF7"/>
    <w:rsid w:val="00C37B32"/>
    <w:rsid w:val="00C37D8D"/>
    <w:rsid w:val="00C41A7A"/>
    <w:rsid w:val="00C431E5"/>
    <w:rsid w:val="00C43984"/>
    <w:rsid w:val="00C441BB"/>
    <w:rsid w:val="00C445B1"/>
    <w:rsid w:val="00C448EF"/>
    <w:rsid w:val="00C45295"/>
    <w:rsid w:val="00C45DAF"/>
    <w:rsid w:val="00C4658E"/>
    <w:rsid w:val="00C46A37"/>
    <w:rsid w:val="00C47560"/>
    <w:rsid w:val="00C500DA"/>
    <w:rsid w:val="00C51B57"/>
    <w:rsid w:val="00C51D6B"/>
    <w:rsid w:val="00C521D9"/>
    <w:rsid w:val="00C54BBB"/>
    <w:rsid w:val="00C55F56"/>
    <w:rsid w:val="00C56B2C"/>
    <w:rsid w:val="00C600C0"/>
    <w:rsid w:val="00C60174"/>
    <w:rsid w:val="00C6082D"/>
    <w:rsid w:val="00C60EC9"/>
    <w:rsid w:val="00C61F14"/>
    <w:rsid w:val="00C65285"/>
    <w:rsid w:val="00C67027"/>
    <w:rsid w:val="00C67F6E"/>
    <w:rsid w:val="00C701EE"/>
    <w:rsid w:val="00C7101E"/>
    <w:rsid w:val="00C729FA"/>
    <w:rsid w:val="00C72CA1"/>
    <w:rsid w:val="00C7454C"/>
    <w:rsid w:val="00C74BA6"/>
    <w:rsid w:val="00C74D1B"/>
    <w:rsid w:val="00C76B30"/>
    <w:rsid w:val="00C76C8A"/>
    <w:rsid w:val="00C76C93"/>
    <w:rsid w:val="00C8198E"/>
    <w:rsid w:val="00C82054"/>
    <w:rsid w:val="00C82C25"/>
    <w:rsid w:val="00C83110"/>
    <w:rsid w:val="00C844AB"/>
    <w:rsid w:val="00C84783"/>
    <w:rsid w:val="00C84802"/>
    <w:rsid w:val="00C84FC2"/>
    <w:rsid w:val="00C86267"/>
    <w:rsid w:val="00C8641E"/>
    <w:rsid w:val="00C864BA"/>
    <w:rsid w:val="00C9100A"/>
    <w:rsid w:val="00C91771"/>
    <w:rsid w:val="00C925BF"/>
    <w:rsid w:val="00C92C63"/>
    <w:rsid w:val="00C936F5"/>
    <w:rsid w:val="00C939A2"/>
    <w:rsid w:val="00C95689"/>
    <w:rsid w:val="00C96D73"/>
    <w:rsid w:val="00CA0548"/>
    <w:rsid w:val="00CA1162"/>
    <w:rsid w:val="00CA29C6"/>
    <w:rsid w:val="00CA3702"/>
    <w:rsid w:val="00CA3736"/>
    <w:rsid w:val="00CA46A2"/>
    <w:rsid w:val="00CA5F1E"/>
    <w:rsid w:val="00CA6BA8"/>
    <w:rsid w:val="00CB0122"/>
    <w:rsid w:val="00CB10CF"/>
    <w:rsid w:val="00CB1BBD"/>
    <w:rsid w:val="00CB2634"/>
    <w:rsid w:val="00CB295A"/>
    <w:rsid w:val="00CB3212"/>
    <w:rsid w:val="00CB4686"/>
    <w:rsid w:val="00CB612C"/>
    <w:rsid w:val="00CB7292"/>
    <w:rsid w:val="00CB7512"/>
    <w:rsid w:val="00CB7B61"/>
    <w:rsid w:val="00CC0D9B"/>
    <w:rsid w:val="00CC2463"/>
    <w:rsid w:val="00CC25B2"/>
    <w:rsid w:val="00CC275A"/>
    <w:rsid w:val="00CC27F1"/>
    <w:rsid w:val="00CC2889"/>
    <w:rsid w:val="00CC4C19"/>
    <w:rsid w:val="00CC6921"/>
    <w:rsid w:val="00CC7626"/>
    <w:rsid w:val="00CC7940"/>
    <w:rsid w:val="00CD0512"/>
    <w:rsid w:val="00CD1D54"/>
    <w:rsid w:val="00CD1F1B"/>
    <w:rsid w:val="00CD1FDC"/>
    <w:rsid w:val="00CD37CC"/>
    <w:rsid w:val="00CD3C7C"/>
    <w:rsid w:val="00CD49E1"/>
    <w:rsid w:val="00CD4C72"/>
    <w:rsid w:val="00CD5005"/>
    <w:rsid w:val="00CD775F"/>
    <w:rsid w:val="00CE02F4"/>
    <w:rsid w:val="00CE2BD6"/>
    <w:rsid w:val="00CE4847"/>
    <w:rsid w:val="00CE69E6"/>
    <w:rsid w:val="00CE6C63"/>
    <w:rsid w:val="00CE76D6"/>
    <w:rsid w:val="00CE781D"/>
    <w:rsid w:val="00CF24DB"/>
    <w:rsid w:val="00CF2642"/>
    <w:rsid w:val="00CF2A42"/>
    <w:rsid w:val="00CF43F2"/>
    <w:rsid w:val="00CF4ED5"/>
    <w:rsid w:val="00CF53B6"/>
    <w:rsid w:val="00CF5E3A"/>
    <w:rsid w:val="00CF76A7"/>
    <w:rsid w:val="00D00114"/>
    <w:rsid w:val="00D035CF"/>
    <w:rsid w:val="00D0477A"/>
    <w:rsid w:val="00D0602A"/>
    <w:rsid w:val="00D079AB"/>
    <w:rsid w:val="00D07F1C"/>
    <w:rsid w:val="00D10040"/>
    <w:rsid w:val="00D100FB"/>
    <w:rsid w:val="00D10D5D"/>
    <w:rsid w:val="00D12295"/>
    <w:rsid w:val="00D1328F"/>
    <w:rsid w:val="00D133D8"/>
    <w:rsid w:val="00D1399D"/>
    <w:rsid w:val="00D13FF1"/>
    <w:rsid w:val="00D150B8"/>
    <w:rsid w:val="00D153B7"/>
    <w:rsid w:val="00D155BE"/>
    <w:rsid w:val="00D21FBA"/>
    <w:rsid w:val="00D226E4"/>
    <w:rsid w:val="00D233B0"/>
    <w:rsid w:val="00D23A2D"/>
    <w:rsid w:val="00D23E93"/>
    <w:rsid w:val="00D24F10"/>
    <w:rsid w:val="00D25B1A"/>
    <w:rsid w:val="00D27824"/>
    <w:rsid w:val="00D30906"/>
    <w:rsid w:val="00D31ED2"/>
    <w:rsid w:val="00D349BA"/>
    <w:rsid w:val="00D3679A"/>
    <w:rsid w:val="00D37078"/>
    <w:rsid w:val="00D40064"/>
    <w:rsid w:val="00D408D1"/>
    <w:rsid w:val="00D40BBC"/>
    <w:rsid w:val="00D414C1"/>
    <w:rsid w:val="00D41FB5"/>
    <w:rsid w:val="00D43AB6"/>
    <w:rsid w:val="00D43B3C"/>
    <w:rsid w:val="00D44510"/>
    <w:rsid w:val="00D4552B"/>
    <w:rsid w:val="00D46560"/>
    <w:rsid w:val="00D5263E"/>
    <w:rsid w:val="00D53392"/>
    <w:rsid w:val="00D54009"/>
    <w:rsid w:val="00D5434B"/>
    <w:rsid w:val="00D56957"/>
    <w:rsid w:val="00D62A35"/>
    <w:rsid w:val="00D64357"/>
    <w:rsid w:val="00D65B74"/>
    <w:rsid w:val="00D65D3C"/>
    <w:rsid w:val="00D65EC3"/>
    <w:rsid w:val="00D66197"/>
    <w:rsid w:val="00D67192"/>
    <w:rsid w:val="00D67BAE"/>
    <w:rsid w:val="00D7192F"/>
    <w:rsid w:val="00D71B6F"/>
    <w:rsid w:val="00D72C29"/>
    <w:rsid w:val="00D72FE5"/>
    <w:rsid w:val="00D73752"/>
    <w:rsid w:val="00D7395B"/>
    <w:rsid w:val="00D73ED0"/>
    <w:rsid w:val="00D74170"/>
    <w:rsid w:val="00D7460A"/>
    <w:rsid w:val="00D74AFD"/>
    <w:rsid w:val="00D74C38"/>
    <w:rsid w:val="00D74DEF"/>
    <w:rsid w:val="00D76272"/>
    <w:rsid w:val="00D77805"/>
    <w:rsid w:val="00D81741"/>
    <w:rsid w:val="00D83984"/>
    <w:rsid w:val="00D84652"/>
    <w:rsid w:val="00D853C0"/>
    <w:rsid w:val="00D8593A"/>
    <w:rsid w:val="00D85D5C"/>
    <w:rsid w:val="00D85E37"/>
    <w:rsid w:val="00D8683E"/>
    <w:rsid w:val="00D86A95"/>
    <w:rsid w:val="00D86DDE"/>
    <w:rsid w:val="00D90210"/>
    <w:rsid w:val="00D90CFE"/>
    <w:rsid w:val="00D91768"/>
    <w:rsid w:val="00D921F0"/>
    <w:rsid w:val="00D9380D"/>
    <w:rsid w:val="00D94489"/>
    <w:rsid w:val="00D94700"/>
    <w:rsid w:val="00D94ABF"/>
    <w:rsid w:val="00D94B1E"/>
    <w:rsid w:val="00D95CD0"/>
    <w:rsid w:val="00D96361"/>
    <w:rsid w:val="00D9658D"/>
    <w:rsid w:val="00D96902"/>
    <w:rsid w:val="00DA05A2"/>
    <w:rsid w:val="00DA0B53"/>
    <w:rsid w:val="00DA28FA"/>
    <w:rsid w:val="00DA2DFD"/>
    <w:rsid w:val="00DA31DA"/>
    <w:rsid w:val="00DA31E6"/>
    <w:rsid w:val="00DA3E76"/>
    <w:rsid w:val="00DA3FD8"/>
    <w:rsid w:val="00DA4385"/>
    <w:rsid w:val="00DA43C8"/>
    <w:rsid w:val="00DA4D53"/>
    <w:rsid w:val="00DA7DC5"/>
    <w:rsid w:val="00DA7FFC"/>
    <w:rsid w:val="00DB10AE"/>
    <w:rsid w:val="00DB21DE"/>
    <w:rsid w:val="00DB4877"/>
    <w:rsid w:val="00DB56E0"/>
    <w:rsid w:val="00DB6159"/>
    <w:rsid w:val="00DB7111"/>
    <w:rsid w:val="00DB7482"/>
    <w:rsid w:val="00DB74FD"/>
    <w:rsid w:val="00DB76CA"/>
    <w:rsid w:val="00DC00C3"/>
    <w:rsid w:val="00DC0360"/>
    <w:rsid w:val="00DC0C5C"/>
    <w:rsid w:val="00DC2406"/>
    <w:rsid w:val="00DC2C29"/>
    <w:rsid w:val="00DC62F1"/>
    <w:rsid w:val="00DC79E7"/>
    <w:rsid w:val="00DD0025"/>
    <w:rsid w:val="00DD06DA"/>
    <w:rsid w:val="00DD0A72"/>
    <w:rsid w:val="00DD1461"/>
    <w:rsid w:val="00DD2210"/>
    <w:rsid w:val="00DD378D"/>
    <w:rsid w:val="00DD4A04"/>
    <w:rsid w:val="00DD4BF1"/>
    <w:rsid w:val="00DD7392"/>
    <w:rsid w:val="00DE1F76"/>
    <w:rsid w:val="00DE248B"/>
    <w:rsid w:val="00DE31E6"/>
    <w:rsid w:val="00DE3239"/>
    <w:rsid w:val="00DE6F65"/>
    <w:rsid w:val="00DE6FFE"/>
    <w:rsid w:val="00DF0069"/>
    <w:rsid w:val="00DF3A83"/>
    <w:rsid w:val="00DF3BA5"/>
    <w:rsid w:val="00DF5AEF"/>
    <w:rsid w:val="00DF624C"/>
    <w:rsid w:val="00E00C21"/>
    <w:rsid w:val="00E01792"/>
    <w:rsid w:val="00E021BA"/>
    <w:rsid w:val="00E02FBF"/>
    <w:rsid w:val="00E04839"/>
    <w:rsid w:val="00E101F1"/>
    <w:rsid w:val="00E1047F"/>
    <w:rsid w:val="00E12347"/>
    <w:rsid w:val="00E13E7D"/>
    <w:rsid w:val="00E21FA3"/>
    <w:rsid w:val="00E23A5D"/>
    <w:rsid w:val="00E23B43"/>
    <w:rsid w:val="00E24CA8"/>
    <w:rsid w:val="00E3006C"/>
    <w:rsid w:val="00E3034F"/>
    <w:rsid w:val="00E32D7C"/>
    <w:rsid w:val="00E35B0E"/>
    <w:rsid w:val="00E3780F"/>
    <w:rsid w:val="00E37E7C"/>
    <w:rsid w:val="00E40AE7"/>
    <w:rsid w:val="00E41632"/>
    <w:rsid w:val="00E4192C"/>
    <w:rsid w:val="00E4281F"/>
    <w:rsid w:val="00E437F3"/>
    <w:rsid w:val="00E43B00"/>
    <w:rsid w:val="00E45164"/>
    <w:rsid w:val="00E50748"/>
    <w:rsid w:val="00E51CD5"/>
    <w:rsid w:val="00E51F85"/>
    <w:rsid w:val="00E5352C"/>
    <w:rsid w:val="00E537FF"/>
    <w:rsid w:val="00E53F48"/>
    <w:rsid w:val="00E55452"/>
    <w:rsid w:val="00E566AC"/>
    <w:rsid w:val="00E61A27"/>
    <w:rsid w:val="00E635EF"/>
    <w:rsid w:val="00E64495"/>
    <w:rsid w:val="00E64DDC"/>
    <w:rsid w:val="00E6539D"/>
    <w:rsid w:val="00E665DF"/>
    <w:rsid w:val="00E67635"/>
    <w:rsid w:val="00E71E87"/>
    <w:rsid w:val="00E72667"/>
    <w:rsid w:val="00E74315"/>
    <w:rsid w:val="00E744AA"/>
    <w:rsid w:val="00E76328"/>
    <w:rsid w:val="00E76FE1"/>
    <w:rsid w:val="00E77081"/>
    <w:rsid w:val="00E7722D"/>
    <w:rsid w:val="00E77FD3"/>
    <w:rsid w:val="00E80A2C"/>
    <w:rsid w:val="00E8196D"/>
    <w:rsid w:val="00E81FD3"/>
    <w:rsid w:val="00E82487"/>
    <w:rsid w:val="00E8377E"/>
    <w:rsid w:val="00E83C7D"/>
    <w:rsid w:val="00E8400B"/>
    <w:rsid w:val="00E87D56"/>
    <w:rsid w:val="00E902B0"/>
    <w:rsid w:val="00E90738"/>
    <w:rsid w:val="00E9133D"/>
    <w:rsid w:val="00E91B17"/>
    <w:rsid w:val="00E91E90"/>
    <w:rsid w:val="00E9258E"/>
    <w:rsid w:val="00E92C4A"/>
    <w:rsid w:val="00E93003"/>
    <w:rsid w:val="00E93B9B"/>
    <w:rsid w:val="00E95B4D"/>
    <w:rsid w:val="00E97887"/>
    <w:rsid w:val="00EA068B"/>
    <w:rsid w:val="00EA0D48"/>
    <w:rsid w:val="00EA7239"/>
    <w:rsid w:val="00EA7E5F"/>
    <w:rsid w:val="00EB0198"/>
    <w:rsid w:val="00EB6280"/>
    <w:rsid w:val="00EB770D"/>
    <w:rsid w:val="00EC0603"/>
    <w:rsid w:val="00EC0DC9"/>
    <w:rsid w:val="00EC0F14"/>
    <w:rsid w:val="00EC0FA4"/>
    <w:rsid w:val="00EC1878"/>
    <w:rsid w:val="00EC342C"/>
    <w:rsid w:val="00EC424B"/>
    <w:rsid w:val="00EC6BA7"/>
    <w:rsid w:val="00ED4741"/>
    <w:rsid w:val="00ED679B"/>
    <w:rsid w:val="00ED7014"/>
    <w:rsid w:val="00EE0888"/>
    <w:rsid w:val="00EE2001"/>
    <w:rsid w:val="00EE2D87"/>
    <w:rsid w:val="00EE3853"/>
    <w:rsid w:val="00EE3FA2"/>
    <w:rsid w:val="00EE5587"/>
    <w:rsid w:val="00EE5E76"/>
    <w:rsid w:val="00EE691B"/>
    <w:rsid w:val="00EF09E7"/>
    <w:rsid w:val="00EF1C45"/>
    <w:rsid w:val="00EF22CD"/>
    <w:rsid w:val="00EF234E"/>
    <w:rsid w:val="00EF24C4"/>
    <w:rsid w:val="00EF5073"/>
    <w:rsid w:val="00EF5E6E"/>
    <w:rsid w:val="00F004F2"/>
    <w:rsid w:val="00F00671"/>
    <w:rsid w:val="00F00927"/>
    <w:rsid w:val="00F01A20"/>
    <w:rsid w:val="00F02617"/>
    <w:rsid w:val="00F0575F"/>
    <w:rsid w:val="00F067EE"/>
    <w:rsid w:val="00F077C3"/>
    <w:rsid w:val="00F07831"/>
    <w:rsid w:val="00F10356"/>
    <w:rsid w:val="00F10EAD"/>
    <w:rsid w:val="00F11433"/>
    <w:rsid w:val="00F12139"/>
    <w:rsid w:val="00F13EB4"/>
    <w:rsid w:val="00F145E5"/>
    <w:rsid w:val="00F16229"/>
    <w:rsid w:val="00F204AB"/>
    <w:rsid w:val="00F20C42"/>
    <w:rsid w:val="00F22BC3"/>
    <w:rsid w:val="00F23540"/>
    <w:rsid w:val="00F23DE4"/>
    <w:rsid w:val="00F27257"/>
    <w:rsid w:val="00F27B1E"/>
    <w:rsid w:val="00F27ED6"/>
    <w:rsid w:val="00F30B59"/>
    <w:rsid w:val="00F3130C"/>
    <w:rsid w:val="00F321C3"/>
    <w:rsid w:val="00F32582"/>
    <w:rsid w:val="00F32CBB"/>
    <w:rsid w:val="00F347AE"/>
    <w:rsid w:val="00F3650F"/>
    <w:rsid w:val="00F40082"/>
    <w:rsid w:val="00F42125"/>
    <w:rsid w:val="00F42818"/>
    <w:rsid w:val="00F4385A"/>
    <w:rsid w:val="00F44FB2"/>
    <w:rsid w:val="00F45188"/>
    <w:rsid w:val="00F4518A"/>
    <w:rsid w:val="00F4558D"/>
    <w:rsid w:val="00F459C1"/>
    <w:rsid w:val="00F47297"/>
    <w:rsid w:val="00F47C43"/>
    <w:rsid w:val="00F5004D"/>
    <w:rsid w:val="00F5148B"/>
    <w:rsid w:val="00F5295C"/>
    <w:rsid w:val="00F54BA1"/>
    <w:rsid w:val="00F55458"/>
    <w:rsid w:val="00F5742D"/>
    <w:rsid w:val="00F65179"/>
    <w:rsid w:val="00F66750"/>
    <w:rsid w:val="00F66B49"/>
    <w:rsid w:val="00F66EF2"/>
    <w:rsid w:val="00F670FE"/>
    <w:rsid w:val="00F67481"/>
    <w:rsid w:val="00F67C1A"/>
    <w:rsid w:val="00F67E34"/>
    <w:rsid w:val="00F71608"/>
    <w:rsid w:val="00F72401"/>
    <w:rsid w:val="00F73D3A"/>
    <w:rsid w:val="00F75229"/>
    <w:rsid w:val="00F75D5D"/>
    <w:rsid w:val="00F75E5B"/>
    <w:rsid w:val="00F779D2"/>
    <w:rsid w:val="00F77DA1"/>
    <w:rsid w:val="00F81935"/>
    <w:rsid w:val="00F821E4"/>
    <w:rsid w:val="00F82DE3"/>
    <w:rsid w:val="00F8339D"/>
    <w:rsid w:val="00F84344"/>
    <w:rsid w:val="00F84882"/>
    <w:rsid w:val="00F85375"/>
    <w:rsid w:val="00F85EDE"/>
    <w:rsid w:val="00F86BBC"/>
    <w:rsid w:val="00F9062F"/>
    <w:rsid w:val="00F90AF7"/>
    <w:rsid w:val="00F92208"/>
    <w:rsid w:val="00F93DFD"/>
    <w:rsid w:val="00F94567"/>
    <w:rsid w:val="00F948B4"/>
    <w:rsid w:val="00F952F1"/>
    <w:rsid w:val="00F962CB"/>
    <w:rsid w:val="00F97043"/>
    <w:rsid w:val="00FA0486"/>
    <w:rsid w:val="00FA1E5C"/>
    <w:rsid w:val="00FA2035"/>
    <w:rsid w:val="00FA243D"/>
    <w:rsid w:val="00FA57BC"/>
    <w:rsid w:val="00FA5B36"/>
    <w:rsid w:val="00FA6BB8"/>
    <w:rsid w:val="00FA7F19"/>
    <w:rsid w:val="00FB11C4"/>
    <w:rsid w:val="00FB5DD5"/>
    <w:rsid w:val="00FB60AD"/>
    <w:rsid w:val="00FB74CF"/>
    <w:rsid w:val="00FC1632"/>
    <w:rsid w:val="00FC1650"/>
    <w:rsid w:val="00FC35D8"/>
    <w:rsid w:val="00FC3AA5"/>
    <w:rsid w:val="00FC3ABB"/>
    <w:rsid w:val="00FC4129"/>
    <w:rsid w:val="00FC580A"/>
    <w:rsid w:val="00FC62EE"/>
    <w:rsid w:val="00FC726D"/>
    <w:rsid w:val="00FC7DD5"/>
    <w:rsid w:val="00FD0C43"/>
    <w:rsid w:val="00FD3AAE"/>
    <w:rsid w:val="00FD4AF5"/>
    <w:rsid w:val="00FD5ACF"/>
    <w:rsid w:val="00FD5B70"/>
    <w:rsid w:val="00FE235A"/>
    <w:rsid w:val="00FE24D1"/>
    <w:rsid w:val="00FE3040"/>
    <w:rsid w:val="00FE3CE2"/>
    <w:rsid w:val="00FE3E6A"/>
    <w:rsid w:val="00FE4911"/>
    <w:rsid w:val="00FE5897"/>
    <w:rsid w:val="00FE5AA1"/>
    <w:rsid w:val="00FE7D50"/>
    <w:rsid w:val="00FF13A9"/>
    <w:rsid w:val="00FF3327"/>
    <w:rsid w:val="00FF3C3D"/>
    <w:rsid w:val="00FF649E"/>
    <w:rsid w:val="00FF68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2745A"/>
    <w:pPr>
      <w:spacing w:before="120"/>
      <w:jc w:val="both"/>
    </w:pPr>
    <w:rPr>
      <w:sz w:val="24"/>
      <w:szCs w:val="24"/>
    </w:rPr>
  </w:style>
  <w:style w:type="paragraph" w:styleId="Nadpis1">
    <w:name w:val="heading 1"/>
    <w:basedOn w:val="Normln"/>
    <w:next w:val="Normln"/>
    <w:link w:val="Nadpis1Char"/>
    <w:uiPriority w:val="99"/>
    <w:qFormat/>
    <w:rsid w:val="00625995"/>
    <w:pPr>
      <w:keepNext/>
      <w:numPr>
        <w:numId w:val="41"/>
      </w:numPr>
      <w:spacing w:before="240" w:after="240"/>
      <w:jc w:val="left"/>
      <w:outlineLvl w:val="0"/>
    </w:pPr>
    <w:rPr>
      <w:b/>
      <w:bCs/>
      <w:color w:val="365F91"/>
      <w:kern w:val="32"/>
      <w:sz w:val="28"/>
      <w:szCs w:val="32"/>
    </w:rPr>
  </w:style>
  <w:style w:type="paragraph" w:styleId="Nadpis2">
    <w:name w:val="heading 2"/>
    <w:basedOn w:val="Normln"/>
    <w:next w:val="Normln"/>
    <w:link w:val="Nadpis2Char"/>
    <w:autoRedefine/>
    <w:uiPriority w:val="99"/>
    <w:qFormat/>
    <w:rsid w:val="000B71FE"/>
    <w:pPr>
      <w:keepNext/>
      <w:numPr>
        <w:numId w:val="44"/>
      </w:numPr>
      <w:spacing w:before="240" w:after="240"/>
      <w:jc w:val="left"/>
      <w:outlineLvl w:val="1"/>
    </w:pPr>
    <w:rPr>
      <w:b/>
      <w:sz w:val="26"/>
      <w:szCs w:val="26"/>
    </w:rPr>
  </w:style>
  <w:style w:type="paragraph" w:styleId="Nadpis3">
    <w:name w:val="heading 3"/>
    <w:basedOn w:val="Normln"/>
    <w:next w:val="Normln"/>
    <w:link w:val="Nadpis3Char"/>
    <w:uiPriority w:val="99"/>
    <w:qFormat/>
    <w:rsid w:val="006C3F64"/>
    <w:pPr>
      <w:keepNext/>
      <w:numPr>
        <w:ilvl w:val="2"/>
        <w:numId w:val="41"/>
      </w:numPr>
      <w:spacing w:after="120"/>
      <w:outlineLvl w:val="2"/>
    </w:pPr>
    <w:rPr>
      <w:b/>
      <w:szCs w:val="20"/>
    </w:rPr>
  </w:style>
  <w:style w:type="paragraph" w:styleId="Nadpis4">
    <w:name w:val="heading 4"/>
    <w:basedOn w:val="Normln"/>
    <w:link w:val="Nadpis4Char"/>
    <w:uiPriority w:val="99"/>
    <w:qFormat/>
    <w:rsid w:val="006C3F64"/>
    <w:pPr>
      <w:keepNext/>
      <w:numPr>
        <w:ilvl w:val="3"/>
        <w:numId w:val="41"/>
      </w:numPr>
      <w:tabs>
        <w:tab w:val="left" w:pos="7797"/>
        <w:tab w:val="left" w:pos="8080"/>
        <w:tab w:val="left" w:pos="8789"/>
      </w:tabs>
      <w:spacing w:after="120"/>
      <w:outlineLvl w:val="3"/>
    </w:pPr>
    <w:rPr>
      <w:b/>
      <w:szCs w:val="20"/>
    </w:rPr>
  </w:style>
  <w:style w:type="paragraph" w:styleId="Nadpis5">
    <w:name w:val="heading 5"/>
    <w:basedOn w:val="Normln"/>
    <w:next w:val="Normln"/>
    <w:link w:val="Nadpis5Char"/>
    <w:uiPriority w:val="99"/>
    <w:qFormat/>
    <w:rsid w:val="006C3F64"/>
    <w:pPr>
      <w:keepNext/>
      <w:numPr>
        <w:ilvl w:val="4"/>
        <w:numId w:val="41"/>
      </w:numPr>
      <w:spacing w:after="120"/>
      <w:outlineLvl w:val="4"/>
    </w:pPr>
    <w:rPr>
      <w:rFonts w:ascii="Calibri" w:hAnsi="Calibri"/>
      <w:b/>
      <w:bCs/>
      <w:i/>
      <w:iCs/>
      <w:sz w:val="26"/>
      <w:szCs w:val="26"/>
    </w:rPr>
  </w:style>
  <w:style w:type="paragraph" w:styleId="Nadpis6">
    <w:name w:val="heading 6"/>
    <w:basedOn w:val="Normln"/>
    <w:next w:val="Normln"/>
    <w:link w:val="Nadpis6Char"/>
    <w:uiPriority w:val="99"/>
    <w:qFormat/>
    <w:rsid w:val="006C3F64"/>
    <w:pPr>
      <w:numPr>
        <w:ilvl w:val="5"/>
        <w:numId w:val="41"/>
      </w:numPr>
      <w:spacing w:before="240" w:after="60"/>
      <w:outlineLvl w:val="5"/>
    </w:pPr>
    <w:rPr>
      <w:rFonts w:ascii="Calibri" w:hAnsi="Calibri"/>
      <w:b/>
      <w:bCs/>
      <w:sz w:val="20"/>
      <w:szCs w:val="20"/>
    </w:rPr>
  </w:style>
  <w:style w:type="paragraph" w:styleId="Nadpis7">
    <w:name w:val="heading 7"/>
    <w:basedOn w:val="Normln"/>
    <w:next w:val="Normln"/>
    <w:link w:val="Nadpis7Char"/>
    <w:uiPriority w:val="99"/>
    <w:qFormat/>
    <w:rsid w:val="006C3F64"/>
    <w:pPr>
      <w:numPr>
        <w:ilvl w:val="6"/>
        <w:numId w:val="41"/>
      </w:numPr>
      <w:spacing w:before="240" w:after="60"/>
      <w:outlineLvl w:val="6"/>
    </w:pPr>
    <w:rPr>
      <w:rFonts w:ascii="Calibri" w:hAnsi="Calibri"/>
    </w:rPr>
  </w:style>
  <w:style w:type="paragraph" w:styleId="Nadpis8">
    <w:name w:val="heading 8"/>
    <w:basedOn w:val="Normln"/>
    <w:next w:val="Normln"/>
    <w:link w:val="Nadpis8Char"/>
    <w:uiPriority w:val="99"/>
    <w:qFormat/>
    <w:rsid w:val="006C3F64"/>
    <w:pPr>
      <w:numPr>
        <w:ilvl w:val="7"/>
        <w:numId w:val="41"/>
      </w:numPr>
      <w:spacing w:before="240" w:after="60"/>
      <w:outlineLvl w:val="7"/>
    </w:pPr>
    <w:rPr>
      <w:rFonts w:ascii="Calibri" w:hAnsi="Calibri"/>
      <w:i/>
      <w:iCs/>
    </w:rPr>
  </w:style>
  <w:style w:type="paragraph" w:styleId="Nadpis9">
    <w:name w:val="heading 9"/>
    <w:basedOn w:val="Normln"/>
    <w:next w:val="Normln"/>
    <w:link w:val="Nadpis9Char"/>
    <w:uiPriority w:val="99"/>
    <w:qFormat/>
    <w:rsid w:val="006C3F64"/>
    <w:pPr>
      <w:numPr>
        <w:ilvl w:val="8"/>
        <w:numId w:val="41"/>
      </w:numPr>
      <w:spacing w:before="240" w:after="60"/>
      <w:outlineLvl w:val="8"/>
    </w:pPr>
    <w:rPr>
      <w:rFonts w:ascii="Cambria" w:hAnsi="Cambria"/>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625995"/>
    <w:rPr>
      <w:b/>
      <w:bCs/>
      <w:color w:val="365F91"/>
      <w:kern w:val="32"/>
      <w:sz w:val="28"/>
      <w:szCs w:val="32"/>
    </w:rPr>
  </w:style>
  <w:style w:type="character" w:customStyle="1" w:styleId="Nadpis2Char">
    <w:name w:val="Nadpis 2 Char"/>
    <w:link w:val="Nadpis2"/>
    <w:locked/>
    <w:rsid w:val="000B71FE"/>
    <w:rPr>
      <w:b/>
      <w:sz w:val="26"/>
      <w:szCs w:val="26"/>
    </w:rPr>
  </w:style>
  <w:style w:type="character" w:customStyle="1" w:styleId="Nadpis3Char">
    <w:name w:val="Nadpis 3 Char"/>
    <w:link w:val="Nadpis3"/>
    <w:uiPriority w:val="9"/>
    <w:locked/>
    <w:rsid w:val="002311DC"/>
    <w:rPr>
      <w:b/>
      <w:sz w:val="24"/>
    </w:rPr>
  </w:style>
  <w:style w:type="character" w:customStyle="1" w:styleId="Nadpis4Char">
    <w:name w:val="Nadpis 4 Char"/>
    <w:link w:val="Nadpis4"/>
    <w:locked/>
    <w:rsid w:val="00613044"/>
    <w:rPr>
      <w:b/>
      <w:sz w:val="24"/>
    </w:rPr>
  </w:style>
  <w:style w:type="character" w:customStyle="1" w:styleId="Nadpis5Char">
    <w:name w:val="Nadpis 5 Char"/>
    <w:link w:val="Nadpis5"/>
    <w:locked/>
    <w:rsid w:val="00DB74FD"/>
    <w:rPr>
      <w:rFonts w:ascii="Calibri" w:hAnsi="Calibri"/>
      <w:b/>
      <w:bCs/>
      <w:i/>
      <w:iCs/>
      <w:sz w:val="26"/>
      <w:szCs w:val="26"/>
    </w:rPr>
  </w:style>
  <w:style w:type="character" w:customStyle="1" w:styleId="Nadpis6Char">
    <w:name w:val="Nadpis 6 Char"/>
    <w:link w:val="Nadpis6"/>
    <w:locked/>
    <w:rsid w:val="00DB74FD"/>
    <w:rPr>
      <w:rFonts w:ascii="Calibri" w:hAnsi="Calibri"/>
      <w:b/>
      <w:bCs/>
    </w:rPr>
  </w:style>
  <w:style w:type="character" w:customStyle="1" w:styleId="Nadpis7Char">
    <w:name w:val="Nadpis 7 Char"/>
    <w:link w:val="Nadpis7"/>
    <w:locked/>
    <w:rsid w:val="00DB74FD"/>
    <w:rPr>
      <w:rFonts w:ascii="Calibri" w:hAnsi="Calibri"/>
      <w:sz w:val="24"/>
      <w:szCs w:val="24"/>
    </w:rPr>
  </w:style>
  <w:style w:type="character" w:customStyle="1" w:styleId="Nadpis8Char">
    <w:name w:val="Nadpis 8 Char"/>
    <w:link w:val="Nadpis8"/>
    <w:locked/>
    <w:rsid w:val="00DB74FD"/>
    <w:rPr>
      <w:rFonts w:ascii="Calibri" w:hAnsi="Calibri"/>
      <w:i/>
      <w:iCs/>
      <w:sz w:val="24"/>
      <w:szCs w:val="24"/>
    </w:rPr>
  </w:style>
  <w:style w:type="character" w:customStyle="1" w:styleId="Nadpis9Char">
    <w:name w:val="Nadpis 9 Char"/>
    <w:link w:val="Nadpis9"/>
    <w:locked/>
    <w:rsid w:val="00DB74FD"/>
    <w:rPr>
      <w:rFonts w:ascii="Cambria" w:hAnsi="Cambria"/>
    </w:rPr>
  </w:style>
  <w:style w:type="paragraph" w:customStyle="1" w:styleId="Box">
    <w:name w:val="Box"/>
    <w:basedOn w:val="Normln"/>
    <w:next w:val="Normln"/>
    <w:uiPriority w:val="99"/>
    <w:rsid w:val="006C3F64"/>
    <w:pPr>
      <w:pBdr>
        <w:top w:val="single" w:sz="4" w:space="1" w:color="auto"/>
        <w:left w:val="single" w:sz="4" w:space="4" w:color="auto"/>
        <w:bottom w:val="single" w:sz="4" w:space="1" w:color="auto"/>
        <w:right w:val="single" w:sz="4" w:space="4" w:color="auto"/>
      </w:pBdr>
      <w:shd w:val="clear" w:color="auto" w:fill="E6E6E6"/>
    </w:pPr>
    <w:rPr>
      <w:sz w:val="20"/>
    </w:rPr>
  </w:style>
  <w:style w:type="character" w:styleId="slostrnky">
    <w:name w:val="page number"/>
    <w:uiPriority w:val="99"/>
    <w:rsid w:val="006C3F64"/>
    <w:rPr>
      <w:rFonts w:cs="Times New Roman"/>
    </w:rPr>
  </w:style>
  <w:style w:type="character" w:styleId="Hypertextovodkaz">
    <w:name w:val="Hyperlink"/>
    <w:uiPriority w:val="99"/>
    <w:rsid w:val="006C3F64"/>
    <w:rPr>
      <w:rFonts w:cs="Times New Roman"/>
      <w:color w:val="0000FF"/>
      <w:u w:val="single"/>
    </w:rPr>
  </w:style>
  <w:style w:type="paragraph" w:customStyle="1" w:styleId="Nadpis5tun">
    <w:name w:val="Nadpis 5 (tučně"/>
    <w:aliases w:val="bez číslování)"/>
    <w:basedOn w:val="Nadpis4"/>
    <w:link w:val="Nadpis5tunChar"/>
    <w:uiPriority w:val="99"/>
    <w:rsid w:val="00613044"/>
    <w:pPr>
      <w:numPr>
        <w:ilvl w:val="0"/>
        <w:numId w:val="0"/>
      </w:numPr>
    </w:pPr>
  </w:style>
  <w:style w:type="paragraph" w:styleId="Obsah1">
    <w:name w:val="toc 1"/>
    <w:basedOn w:val="Normln"/>
    <w:next w:val="Normln"/>
    <w:autoRedefine/>
    <w:uiPriority w:val="39"/>
    <w:rsid w:val="006C3F64"/>
    <w:pPr>
      <w:spacing w:after="120"/>
      <w:jc w:val="left"/>
    </w:pPr>
    <w:rPr>
      <w:b/>
      <w:bCs/>
      <w:caps/>
      <w:sz w:val="20"/>
      <w:szCs w:val="20"/>
    </w:rPr>
  </w:style>
  <w:style w:type="paragraph" w:styleId="Obsah2">
    <w:name w:val="toc 2"/>
    <w:basedOn w:val="Obsah1"/>
    <w:next w:val="Normln"/>
    <w:uiPriority w:val="39"/>
    <w:rsid w:val="006C3F64"/>
    <w:pPr>
      <w:spacing w:before="0" w:after="0"/>
      <w:ind w:left="240"/>
    </w:pPr>
    <w:rPr>
      <w:b w:val="0"/>
      <w:bCs w:val="0"/>
      <w:caps w:val="0"/>
      <w:smallCaps/>
    </w:rPr>
  </w:style>
  <w:style w:type="paragraph" w:styleId="Obsah3">
    <w:name w:val="toc 3"/>
    <w:basedOn w:val="Obsah2"/>
    <w:uiPriority w:val="39"/>
    <w:rsid w:val="006C3F64"/>
    <w:pPr>
      <w:ind w:left="480"/>
    </w:pPr>
    <w:rPr>
      <w:i/>
      <w:iCs/>
      <w:smallCaps w:val="0"/>
    </w:rPr>
  </w:style>
  <w:style w:type="paragraph" w:styleId="Obsah4">
    <w:name w:val="toc 4"/>
    <w:basedOn w:val="Normln"/>
    <w:next w:val="Normln"/>
    <w:autoRedefine/>
    <w:uiPriority w:val="99"/>
    <w:semiHidden/>
    <w:rsid w:val="006C3F64"/>
    <w:pPr>
      <w:spacing w:before="0"/>
      <w:ind w:left="720"/>
      <w:jc w:val="left"/>
    </w:pPr>
    <w:rPr>
      <w:sz w:val="18"/>
      <w:szCs w:val="18"/>
    </w:rPr>
  </w:style>
  <w:style w:type="paragraph" w:styleId="Obsah5">
    <w:name w:val="toc 5"/>
    <w:basedOn w:val="Normln"/>
    <w:next w:val="Normln"/>
    <w:autoRedefine/>
    <w:uiPriority w:val="99"/>
    <w:semiHidden/>
    <w:rsid w:val="006C3F64"/>
    <w:pPr>
      <w:spacing w:before="0"/>
      <w:ind w:left="960"/>
      <w:jc w:val="left"/>
    </w:pPr>
    <w:rPr>
      <w:sz w:val="18"/>
      <w:szCs w:val="18"/>
    </w:rPr>
  </w:style>
  <w:style w:type="paragraph" w:styleId="Obsah6">
    <w:name w:val="toc 6"/>
    <w:basedOn w:val="Normln"/>
    <w:next w:val="Normln"/>
    <w:autoRedefine/>
    <w:uiPriority w:val="99"/>
    <w:semiHidden/>
    <w:rsid w:val="006C3F64"/>
    <w:pPr>
      <w:spacing w:before="0"/>
      <w:ind w:left="1200"/>
      <w:jc w:val="left"/>
    </w:pPr>
    <w:rPr>
      <w:sz w:val="18"/>
      <w:szCs w:val="18"/>
    </w:rPr>
  </w:style>
  <w:style w:type="paragraph" w:styleId="Obsah7">
    <w:name w:val="toc 7"/>
    <w:basedOn w:val="Normln"/>
    <w:next w:val="Normln"/>
    <w:autoRedefine/>
    <w:uiPriority w:val="99"/>
    <w:semiHidden/>
    <w:rsid w:val="006C3F64"/>
    <w:pPr>
      <w:spacing w:before="0"/>
      <w:ind w:left="1440"/>
      <w:jc w:val="left"/>
    </w:pPr>
    <w:rPr>
      <w:sz w:val="18"/>
      <w:szCs w:val="18"/>
    </w:rPr>
  </w:style>
  <w:style w:type="paragraph" w:styleId="Obsah8">
    <w:name w:val="toc 8"/>
    <w:basedOn w:val="Normln"/>
    <w:next w:val="Normln"/>
    <w:autoRedefine/>
    <w:uiPriority w:val="99"/>
    <w:semiHidden/>
    <w:rsid w:val="006C3F64"/>
    <w:pPr>
      <w:spacing w:before="0"/>
      <w:ind w:left="1680"/>
      <w:jc w:val="left"/>
    </w:pPr>
    <w:rPr>
      <w:sz w:val="18"/>
      <w:szCs w:val="18"/>
    </w:rPr>
  </w:style>
  <w:style w:type="paragraph" w:styleId="Obsah9">
    <w:name w:val="toc 9"/>
    <w:basedOn w:val="Normln"/>
    <w:next w:val="Normln"/>
    <w:autoRedefine/>
    <w:uiPriority w:val="99"/>
    <w:semiHidden/>
    <w:rsid w:val="006C3F64"/>
    <w:pPr>
      <w:spacing w:before="0"/>
      <w:ind w:left="1920"/>
      <w:jc w:val="left"/>
    </w:pPr>
    <w:rPr>
      <w:sz w:val="18"/>
      <w:szCs w:val="18"/>
    </w:rPr>
  </w:style>
  <w:style w:type="character" w:styleId="Odkaznakoment">
    <w:name w:val="annotation reference"/>
    <w:uiPriority w:val="99"/>
    <w:semiHidden/>
    <w:rsid w:val="006C3F64"/>
    <w:rPr>
      <w:rFonts w:cs="Times New Roman"/>
      <w:sz w:val="16"/>
    </w:rPr>
  </w:style>
  <w:style w:type="paragraph" w:customStyle="1" w:styleId="Pramen">
    <w:name w:val="Pramen"/>
    <w:next w:val="Normln"/>
    <w:link w:val="PramenChar"/>
    <w:autoRedefine/>
    <w:rsid w:val="008677D6"/>
    <w:pPr>
      <w:jc w:val="both"/>
    </w:pPr>
    <w:rPr>
      <w:rFonts w:eastAsia="MS Mincho"/>
      <w:i/>
    </w:rPr>
  </w:style>
  <w:style w:type="paragraph" w:styleId="Textkomente">
    <w:name w:val="annotation text"/>
    <w:basedOn w:val="Normln"/>
    <w:link w:val="TextkomenteChar"/>
    <w:uiPriority w:val="99"/>
    <w:semiHidden/>
    <w:rsid w:val="006C3F64"/>
    <w:rPr>
      <w:sz w:val="20"/>
      <w:szCs w:val="20"/>
    </w:rPr>
  </w:style>
  <w:style w:type="character" w:customStyle="1" w:styleId="TextkomenteChar">
    <w:name w:val="Text komentáře Char"/>
    <w:link w:val="Textkomente"/>
    <w:uiPriority w:val="99"/>
    <w:semiHidden/>
    <w:locked/>
    <w:rsid w:val="00DB74FD"/>
    <w:rPr>
      <w:sz w:val="20"/>
    </w:rPr>
  </w:style>
  <w:style w:type="paragraph" w:styleId="Pedmtkomente">
    <w:name w:val="annotation subject"/>
    <w:basedOn w:val="Textkomente"/>
    <w:next w:val="Textkomente"/>
    <w:link w:val="PedmtkomenteChar"/>
    <w:uiPriority w:val="99"/>
    <w:semiHidden/>
    <w:rsid w:val="006C3F64"/>
    <w:rPr>
      <w:b/>
      <w:bCs/>
    </w:rPr>
  </w:style>
  <w:style w:type="character" w:customStyle="1" w:styleId="PedmtkomenteChar">
    <w:name w:val="Předmět komentáře Char"/>
    <w:link w:val="Pedmtkomente"/>
    <w:uiPriority w:val="99"/>
    <w:semiHidden/>
    <w:locked/>
    <w:rsid w:val="00DB74FD"/>
    <w:rPr>
      <w:b/>
      <w:sz w:val="20"/>
    </w:rPr>
  </w:style>
  <w:style w:type="paragraph" w:styleId="Rejstk1">
    <w:name w:val="index 1"/>
    <w:basedOn w:val="Normln"/>
    <w:next w:val="Normln"/>
    <w:uiPriority w:val="99"/>
    <w:semiHidden/>
    <w:rsid w:val="006C3F64"/>
    <w:pPr>
      <w:tabs>
        <w:tab w:val="left" w:pos="7797"/>
        <w:tab w:val="left" w:pos="8080"/>
        <w:tab w:val="left" w:pos="8789"/>
      </w:tabs>
      <w:spacing w:line="360" w:lineRule="auto"/>
      <w:ind w:right="-1" w:firstLine="720"/>
    </w:pPr>
    <w:rPr>
      <w:szCs w:val="20"/>
    </w:rPr>
  </w:style>
  <w:style w:type="paragraph" w:styleId="Rozloendokumentu">
    <w:name w:val="Document Map"/>
    <w:basedOn w:val="Normln"/>
    <w:link w:val="RozloendokumentuChar"/>
    <w:uiPriority w:val="99"/>
    <w:semiHidden/>
    <w:rsid w:val="006C3F64"/>
    <w:pPr>
      <w:shd w:val="clear" w:color="auto" w:fill="000080"/>
    </w:pPr>
    <w:rPr>
      <w:sz w:val="2"/>
    </w:rPr>
  </w:style>
  <w:style w:type="character" w:customStyle="1" w:styleId="RozloendokumentuChar">
    <w:name w:val="Rozložení dokumentu Char"/>
    <w:link w:val="Rozloendokumentu"/>
    <w:uiPriority w:val="99"/>
    <w:semiHidden/>
    <w:locked/>
    <w:rsid w:val="00DB74FD"/>
    <w:rPr>
      <w:sz w:val="2"/>
    </w:rPr>
  </w:style>
  <w:style w:type="paragraph" w:customStyle="1" w:styleId="Styl18bTunzarovnnnasted">
    <w:name w:val="Styl 18 b. Tučné zarovnání na střed"/>
    <w:basedOn w:val="Normln"/>
    <w:uiPriority w:val="99"/>
    <w:rsid w:val="006C3F64"/>
    <w:pPr>
      <w:jc w:val="center"/>
    </w:pPr>
    <w:rPr>
      <w:b/>
      <w:bCs/>
      <w:caps/>
      <w:sz w:val="40"/>
      <w:szCs w:val="40"/>
    </w:rPr>
  </w:style>
  <w:style w:type="character" w:styleId="Znakapoznpodarou">
    <w:name w:val="footnote reference"/>
    <w:uiPriority w:val="99"/>
    <w:semiHidden/>
    <w:rsid w:val="006C3F64"/>
    <w:rPr>
      <w:rFonts w:cs="Times New Roman"/>
      <w:position w:val="6"/>
      <w:sz w:val="16"/>
    </w:rPr>
  </w:style>
  <w:style w:type="paragraph" w:styleId="Textbubliny">
    <w:name w:val="Balloon Text"/>
    <w:basedOn w:val="Normln"/>
    <w:link w:val="TextbublinyChar"/>
    <w:uiPriority w:val="99"/>
    <w:semiHidden/>
    <w:rsid w:val="006C3F64"/>
    <w:rPr>
      <w:sz w:val="2"/>
    </w:rPr>
  </w:style>
  <w:style w:type="character" w:customStyle="1" w:styleId="TextbublinyChar">
    <w:name w:val="Text bubliny Char"/>
    <w:link w:val="Textbubliny"/>
    <w:uiPriority w:val="99"/>
    <w:semiHidden/>
    <w:locked/>
    <w:rsid w:val="00DB74FD"/>
    <w:rPr>
      <w:sz w:val="2"/>
    </w:rPr>
  </w:style>
  <w:style w:type="character" w:customStyle="1" w:styleId="TextpoznpodarouChar">
    <w:name w:val="Text pozn. pod čarou Char"/>
    <w:aliases w:val="Schriftart: 9 pt Char,Schriftart: 10 pt Char,Schriftart: 8 pt Char"/>
    <w:link w:val="Textpoznpodarou"/>
    <w:uiPriority w:val="99"/>
    <w:locked/>
    <w:rsid w:val="006C3F64"/>
    <w:rPr>
      <w:lang w:val="cs-CZ" w:eastAsia="cs-CZ"/>
    </w:rPr>
  </w:style>
  <w:style w:type="paragraph" w:styleId="Textpoznpodarou">
    <w:name w:val="footnote text"/>
    <w:aliases w:val="Schriftart: 9 pt,Schriftart: 10 pt,Schriftart: 8 pt"/>
    <w:basedOn w:val="Normln"/>
    <w:link w:val="TextpoznpodarouChar"/>
    <w:uiPriority w:val="99"/>
    <w:semiHidden/>
    <w:rsid w:val="006C3F64"/>
    <w:pPr>
      <w:tabs>
        <w:tab w:val="left" w:pos="7797"/>
        <w:tab w:val="left" w:pos="8080"/>
        <w:tab w:val="left" w:pos="8789"/>
      </w:tabs>
      <w:spacing w:before="0"/>
    </w:pPr>
    <w:rPr>
      <w:sz w:val="20"/>
      <w:szCs w:val="20"/>
    </w:rPr>
  </w:style>
  <w:style w:type="character" w:customStyle="1" w:styleId="FootnoteTextChar">
    <w:name w:val="Footnote Text Char"/>
    <w:aliases w:val="Schriftart: 9 pt Char1,Schriftart: 10 pt Char1,Schriftart: 8 pt Char1"/>
    <w:uiPriority w:val="99"/>
    <w:semiHidden/>
    <w:locked/>
    <w:rsid w:val="003C3DF7"/>
    <w:rPr>
      <w:lang w:val="cs-CZ" w:eastAsia="cs-CZ"/>
    </w:rPr>
  </w:style>
  <w:style w:type="paragraph" w:styleId="Titulek">
    <w:name w:val="caption"/>
    <w:basedOn w:val="Normln"/>
    <w:next w:val="Normln"/>
    <w:uiPriority w:val="99"/>
    <w:qFormat/>
    <w:rsid w:val="006C3F64"/>
    <w:pPr>
      <w:keepNext/>
      <w:framePr w:w="5460" w:hSpace="142" w:wrap="auto" w:vAnchor="text" w:hAnchor="page" w:x="1888" w:y="49"/>
      <w:tabs>
        <w:tab w:val="left" w:pos="2127"/>
        <w:tab w:val="left" w:pos="7797"/>
        <w:tab w:val="left" w:pos="8080"/>
        <w:tab w:val="left" w:pos="8789"/>
      </w:tabs>
    </w:pPr>
    <w:rPr>
      <w:b/>
      <w:sz w:val="22"/>
      <w:szCs w:val="20"/>
    </w:rPr>
  </w:style>
  <w:style w:type="paragraph" w:styleId="Zhlav">
    <w:name w:val="header"/>
    <w:basedOn w:val="Normln"/>
    <w:link w:val="ZhlavChar"/>
    <w:uiPriority w:val="99"/>
    <w:rsid w:val="006C3F64"/>
    <w:pPr>
      <w:tabs>
        <w:tab w:val="center" w:pos="4536"/>
        <w:tab w:val="right" w:pos="9072"/>
      </w:tabs>
    </w:pPr>
  </w:style>
  <w:style w:type="character" w:customStyle="1" w:styleId="ZhlavChar">
    <w:name w:val="Záhlaví Char"/>
    <w:link w:val="Zhlav"/>
    <w:uiPriority w:val="99"/>
    <w:semiHidden/>
    <w:locked/>
    <w:rsid w:val="00DB74FD"/>
    <w:rPr>
      <w:sz w:val="24"/>
    </w:rPr>
  </w:style>
  <w:style w:type="paragraph" w:styleId="Zpat">
    <w:name w:val="footer"/>
    <w:basedOn w:val="Normln"/>
    <w:link w:val="ZpatChar"/>
    <w:uiPriority w:val="99"/>
    <w:rsid w:val="006C3F64"/>
    <w:pPr>
      <w:tabs>
        <w:tab w:val="center" w:pos="4536"/>
        <w:tab w:val="right" w:pos="9072"/>
      </w:tabs>
    </w:pPr>
  </w:style>
  <w:style w:type="character" w:customStyle="1" w:styleId="ZpatChar">
    <w:name w:val="Zápatí Char"/>
    <w:link w:val="Zpat"/>
    <w:uiPriority w:val="99"/>
    <w:locked/>
    <w:rsid w:val="00DB74FD"/>
    <w:rPr>
      <w:sz w:val="24"/>
    </w:rPr>
  </w:style>
  <w:style w:type="paragraph" w:customStyle="1" w:styleId="Poznpodarou">
    <w:name w:val="Pozn.pod čarou"/>
    <w:basedOn w:val="Textpoznpodarou"/>
    <w:link w:val="PoznpodarouChar"/>
    <w:uiPriority w:val="99"/>
    <w:rsid w:val="00F75D5D"/>
  </w:style>
  <w:style w:type="character" w:customStyle="1" w:styleId="PoznpodarouChar">
    <w:name w:val="Pozn.pod čarou Char"/>
    <w:link w:val="Poznpodarou"/>
    <w:uiPriority w:val="99"/>
    <w:locked/>
    <w:rsid w:val="00F75D5D"/>
    <w:rPr>
      <w:lang w:val="cs-CZ" w:eastAsia="cs-CZ"/>
    </w:rPr>
  </w:style>
  <w:style w:type="character" w:customStyle="1" w:styleId="Nadpis5tunChar">
    <w:name w:val="Nadpis 5 (tučně Char"/>
    <w:aliases w:val="bez číslování) Char"/>
    <w:link w:val="Nadpis5tun"/>
    <w:uiPriority w:val="99"/>
    <w:locked/>
    <w:rsid w:val="00613044"/>
    <w:rPr>
      <w:b/>
      <w:sz w:val="24"/>
      <w:lang w:val="cs-CZ" w:eastAsia="cs-CZ"/>
    </w:rPr>
  </w:style>
  <w:style w:type="character" w:customStyle="1" w:styleId="PramenChar">
    <w:name w:val="Pramen Char"/>
    <w:link w:val="Pramen"/>
    <w:locked/>
    <w:rsid w:val="008677D6"/>
    <w:rPr>
      <w:rFonts w:eastAsia="MS Mincho"/>
      <w:i/>
    </w:rPr>
  </w:style>
  <w:style w:type="paragraph" w:styleId="Nzev">
    <w:name w:val="Title"/>
    <w:basedOn w:val="Normln"/>
    <w:link w:val="NzevChar"/>
    <w:uiPriority w:val="99"/>
    <w:qFormat/>
    <w:rsid w:val="0079366D"/>
    <w:pPr>
      <w:spacing w:before="0" w:after="720"/>
      <w:jc w:val="center"/>
    </w:pPr>
    <w:rPr>
      <w:rFonts w:ascii="Cambria" w:hAnsi="Cambria"/>
      <w:b/>
      <w:bCs/>
      <w:kern w:val="28"/>
      <w:sz w:val="32"/>
      <w:szCs w:val="32"/>
    </w:rPr>
  </w:style>
  <w:style w:type="character" w:customStyle="1" w:styleId="NzevChar">
    <w:name w:val="Název Char"/>
    <w:link w:val="Nzev"/>
    <w:uiPriority w:val="99"/>
    <w:locked/>
    <w:rsid w:val="00DB74FD"/>
    <w:rPr>
      <w:rFonts w:ascii="Cambria" w:hAnsi="Cambria"/>
      <w:b/>
      <w:kern w:val="28"/>
      <w:sz w:val="32"/>
    </w:rPr>
  </w:style>
  <w:style w:type="paragraph" w:customStyle="1" w:styleId="Zkladntext21">
    <w:name w:val="Základní text 21"/>
    <w:basedOn w:val="Normln"/>
    <w:uiPriority w:val="99"/>
    <w:rsid w:val="002346BE"/>
    <w:pPr>
      <w:overflowPunct w:val="0"/>
      <w:autoSpaceDE w:val="0"/>
      <w:autoSpaceDN w:val="0"/>
      <w:adjustRightInd w:val="0"/>
      <w:spacing w:before="240" w:after="120"/>
      <w:ind w:firstLine="709"/>
      <w:textAlignment w:val="baseline"/>
    </w:pPr>
    <w:rPr>
      <w:szCs w:val="20"/>
    </w:rPr>
  </w:style>
  <w:style w:type="paragraph" w:styleId="Zkladntextodsazen">
    <w:name w:val="Body Text Indent"/>
    <w:basedOn w:val="Normln"/>
    <w:link w:val="ZkladntextodsazenChar"/>
    <w:uiPriority w:val="99"/>
    <w:rsid w:val="002346BE"/>
    <w:pPr>
      <w:spacing w:before="0" w:after="120"/>
      <w:ind w:firstLine="709"/>
    </w:pPr>
    <w:rPr>
      <w:szCs w:val="20"/>
    </w:rPr>
  </w:style>
  <w:style w:type="character" w:customStyle="1" w:styleId="ZkladntextodsazenChar">
    <w:name w:val="Základní text odsazený Char"/>
    <w:link w:val="Zkladntextodsazen"/>
    <w:uiPriority w:val="99"/>
    <w:locked/>
    <w:rsid w:val="0064286B"/>
    <w:rPr>
      <w:sz w:val="24"/>
    </w:rPr>
  </w:style>
  <w:style w:type="character" w:customStyle="1" w:styleId="CharChar">
    <w:name w:val="Char Char"/>
    <w:uiPriority w:val="99"/>
    <w:semiHidden/>
    <w:locked/>
    <w:rsid w:val="00E5352C"/>
  </w:style>
  <w:style w:type="paragraph" w:styleId="Zkladntext">
    <w:name w:val="Body Text"/>
    <w:basedOn w:val="Normln"/>
    <w:link w:val="ZkladntextChar"/>
    <w:uiPriority w:val="99"/>
    <w:rsid w:val="008E7EFD"/>
    <w:pPr>
      <w:spacing w:after="120"/>
    </w:pPr>
  </w:style>
  <w:style w:type="character" w:customStyle="1" w:styleId="ZkladntextChar">
    <w:name w:val="Základní text Char"/>
    <w:link w:val="Zkladntext"/>
    <w:uiPriority w:val="99"/>
    <w:semiHidden/>
    <w:locked/>
    <w:rsid w:val="00DB74FD"/>
    <w:rPr>
      <w:sz w:val="24"/>
    </w:rPr>
  </w:style>
  <w:style w:type="paragraph" w:styleId="Revize">
    <w:name w:val="Revision"/>
    <w:hidden/>
    <w:uiPriority w:val="99"/>
    <w:semiHidden/>
    <w:rsid w:val="00FF649E"/>
    <w:rPr>
      <w:sz w:val="24"/>
      <w:szCs w:val="24"/>
    </w:rPr>
  </w:style>
  <w:style w:type="paragraph" w:customStyle="1" w:styleId="Tabulka-blue">
    <w:name w:val="Tabulka - blue"/>
    <w:basedOn w:val="Normln"/>
    <w:link w:val="Tabulka-blueChar"/>
    <w:qFormat/>
    <w:rsid w:val="00C76C93"/>
    <w:pPr>
      <w:suppressAutoHyphens/>
      <w:autoSpaceDE w:val="0"/>
      <w:autoSpaceDN w:val="0"/>
      <w:adjustRightInd w:val="0"/>
      <w:spacing w:before="113" w:line="288" w:lineRule="auto"/>
      <w:jc w:val="left"/>
      <w:textAlignment w:val="center"/>
    </w:pPr>
    <w:rPr>
      <w:rFonts w:ascii="Verdana" w:eastAsia="Calibri" w:hAnsi="Verdana" w:cs="Verdana"/>
      <w:b/>
      <w:color w:val="FFFFFF"/>
      <w:sz w:val="16"/>
      <w:szCs w:val="18"/>
      <w:lang w:eastAsia="en-US"/>
    </w:rPr>
  </w:style>
  <w:style w:type="character" w:customStyle="1" w:styleId="Tabulka-blueChar">
    <w:name w:val="Tabulka - blue Char"/>
    <w:link w:val="Tabulka-blue"/>
    <w:rsid w:val="00C76C93"/>
    <w:rPr>
      <w:rFonts w:ascii="Verdana" w:eastAsia="Calibri" w:hAnsi="Verdana" w:cs="Verdana"/>
      <w:b/>
      <w:color w:val="FFFFFF"/>
      <w:sz w:val="16"/>
      <w:szCs w:val="18"/>
      <w:lang w:eastAsia="en-US"/>
    </w:rPr>
  </w:style>
  <w:style w:type="paragraph" w:styleId="Odstavecseseznamem">
    <w:name w:val="List Paragraph"/>
    <w:basedOn w:val="Normln"/>
    <w:uiPriority w:val="34"/>
    <w:qFormat/>
    <w:rsid w:val="00BB18D5"/>
    <w:pPr>
      <w:ind w:left="708"/>
    </w:pPr>
  </w:style>
  <w:style w:type="paragraph" w:customStyle="1" w:styleId="zakltext">
    <w:name w:val="zakl_text"/>
    <w:basedOn w:val="Normln"/>
    <w:uiPriority w:val="99"/>
    <w:rsid w:val="003C32DA"/>
    <w:pPr>
      <w:widowControl w:val="0"/>
      <w:suppressAutoHyphens/>
      <w:autoSpaceDE w:val="0"/>
      <w:autoSpaceDN w:val="0"/>
      <w:adjustRightInd w:val="0"/>
      <w:spacing w:before="113" w:line="288" w:lineRule="auto"/>
      <w:textAlignment w:val="center"/>
    </w:pPr>
    <w:rPr>
      <w:rFonts w:ascii="Verdana" w:hAnsi="Verdana" w:cs="Verdana"/>
      <w:color w:val="000000"/>
      <w:sz w:val="18"/>
      <w:szCs w:val="18"/>
    </w:rPr>
  </w:style>
  <w:style w:type="paragraph" w:customStyle="1" w:styleId="Pa1">
    <w:name w:val="Pa1"/>
    <w:basedOn w:val="Normln"/>
    <w:next w:val="Normln"/>
    <w:uiPriority w:val="99"/>
    <w:rsid w:val="008052E3"/>
    <w:pPr>
      <w:autoSpaceDE w:val="0"/>
      <w:autoSpaceDN w:val="0"/>
      <w:adjustRightInd w:val="0"/>
      <w:spacing w:before="0" w:line="200" w:lineRule="atLeast"/>
      <w:jc w:val="left"/>
    </w:pPr>
    <w:rPr>
      <w:rFonts w:ascii="Verdana" w:hAnsi="Verdana"/>
    </w:rPr>
  </w:style>
  <w:style w:type="character" w:customStyle="1" w:styleId="A8">
    <w:name w:val="A8"/>
    <w:uiPriority w:val="99"/>
    <w:rsid w:val="008052E3"/>
    <w:rPr>
      <w:rFonts w:cs="Verdana"/>
      <w:b/>
      <w:bCs/>
      <w:color w:val="000000"/>
      <w:sz w:val="16"/>
      <w:szCs w:val="16"/>
    </w:rPr>
  </w:style>
  <w:style w:type="paragraph" w:customStyle="1" w:styleId="Pa22">
    <w:name w:val="Pa22"/>
    <w:basedOn w:val="Normln"/>
    <w:next w:val="Normln"/>
    <w:uiPriority w:val="99"/>
    <w:rsid w:val="008052E3"/>
    <w:pPr>
      <w:autoSpaceDE w:val="0"/>
      <w:autoSpaceDN w:val="0"/>
      <w:adjustRightInd w:val="0"/>
      <w:spacing w:before="0" w:line="180" w:lineRule="atLeast"/>
      <w:jc w:val="left"/>
    </w:pPr>
    <w:rPr>
      <w:rFonts w:ascii="Verdana" w:hAnsi="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2745A"/>
    <w:pPr>
      <w:spacing w:before="120"/>
      <w:jc w:val="both"/>
    </w:pPr>
    <w:rPr>
      <w:sz w:val="24"/>
      <w:szCs w:val="24"/>
    </w:rPr>
  </w:style>
  <w:style w:type="paragraph" w:styleId="Nadpis1">
    <w:name w:val="heading 1"/>
    <w:basedOn w:val="Normln"/>
    <w:next w:val="Normln"/>
    <w:link w:val="Nadpis1Char"/>
    <w:uiPriority w:val="99"/>
    <w:qFormat/>
    <w:rsid w:val="00625995"/>
    <w:pPr>
      <w:keepNext/>
      <w:numPr>
        <w:numId w:val="41"/>
      </w:numPr>
      <w:spacing w:before="240" w:after="240"/>
      <w:jc w:val="left"/>
      <w:outlineLvl w:val="0"/>
    </w:pPr>
    <w:rPr>
      <w:b/>
      <w:bCs/>
      <w:color w:val="365F91"/>
      <w:kern w:val="32"/>
      <w:sz w:val="28"/>
      <w:szCs w:val="32"/>
    </w:rPr>
  </w:style>
  <w:style w:type="paragraph" w:styleId="Nadpis2">
    <w:name w:val="heading 2"/>
    <w:basedOn w:val="Normln"/>
    <w:next w:val="Normln"/>
    <w:link w:val="Nadpis2Char"/>
    <w:autoRedefine/>
    <w:uiPriority w:val="99"/>
    <w:qFormat/>
    <w:rsid w:val="000B71FE"/>
    <w:pPr>
      <w:keepNext/>
      <w:numPr>
        <w:numId w:val="44"/>
      </w:numPr>
      <w:spacing w:before="240" w:after="240"/>
      <w:jc w:val="left"/>
      <w:outlineLvl w:val="1"/>
    </w:pPr>
    <w:rPr>
      <w:b/>
      <w:sz w:val="26"/>
      <w:szCs w:val="26"/>
    </w:rPr>
  </w:style>
  <w:style w:type="paragraph" w:styleId="Nadpis3">
    <w:name w:val="heading 3"/>
    <w:basedOn w:val="Normln"/>
    <w:next w:val="Normln"/>
    <w:link w:val="Nadpis3Char"/>
    <w:uiPriority w:val="99"/>
    <w:qFormat/>
    <w:rsid w:val="006C3F64"/>
    <w:pPr>
      <w:keepNext/>
      <w:numPr>
        <w:ilvl w:val="2"/>
        <w:numId w:val="41"/>
      </w:numPr>
      <w:spacing w:after="120"/>
      <w:outlineLvl w:val="2"/>
    </w:pPr>
    <w:rPr>
      <w:b/>
      <w:szCs w:val="20"/>
    </w:rPr>
  </w:style>
  <w:style w:type="paragraph" w:styleId="Nadpis4">
    <w:name w:val="heading 4"/>
    <w:basedOn w:val="Normln"/>
    <w:link w:val="Nadpis4Char"/>
    <w:uiPriority w:val="99"/>
    <w:qFormat/>
    <w:rsid w:val="006C3F64"/>
    <w:pPr>
      <w:keepNext/>
      <w:numPr>
        <w:ilvl w:val="3"/>
        <w:numId w:val="41"/>
      </w:numPr>
      <w:tabs>
        <w:tab w:val="left" w:pos="7797"/>
        <w:tab w:val="left" w:pos="8080"/>
        <w:tab w:val="left" w:pos="8789"/>
      </w:tabs>
      <w:spacing w:after="120"/>
      <w:outlineLvl w:val="3"/>
    </w:pPr>
    <w:rPr>
      <w:b/>
      <w:szCs w:val="20"/>
    </w:rPr>
  </w:style>
  <w:style w:type="paragraph" w:styleId="Nadpis5">
    <w:name w:val="heading 5"/>
    <w:basedOn w:val="Normln"/>
    <w:next w:val="Normln"/>
    <w:link w:val="Nadpis5Char"/>
    <w:uiPriority w:val="99"/>
    <w:qFormat/>
    <w:rsid w:val="006C3F64"/>
    <w:pPr>
      <w:keepNext/>
      <w:numPr>
        <w:ilvl w:val="4"/>
        <w:numId w:val="41"/>
      </w:numPr>
      <w:spacing w:after="120"/>
      <w:outlineLvl w:val="4"/>
    </w:pPr>
    <w:rPr>
      <w:rFonts w:ascii="Calibri" w:hAnsi="Calibri"/>
      <w:b/>
      <w:bCs/>
      <w:i/>
      <w:iCs/>
      <w:sz w:val="26"/>
      <w:szCs w:val="26"/>
    </w:rPr>
  </w:style>
  <w:style w:type="paragraph" w:styleId="Nadpis6">
    <w:name w:val="heading 6"/>
    <w:basedOn w:val="Normln"/>
    <w:next w:val="Normln"/>
    <w:link w:val="Nadpis6Char"/>
    <w:uiPriority w:val="99"/>
    <w:qFormat/>
    <w:rsid w:val="006C3F64"/>
    <w:pPr>
      <w:numPr>
        <w:ilvl w:val="5"/>
        <w:numId w:val="41"/>
      </w:numPr>
      <w:spacing w:before="240" w:after="60"/>
      <w:outlineLvl w:val="5"/>
    </w:pPr>
    <w:rPr>
      <w:rFonts w:ascii="Calibri" w:hAnsi="Calibri"/>
      <w:b/>
      <w:bCs/>
      <w:sz w:val="20"/>
      <w:szCs w:val="20"/>
    </w:rPr>
  </w:style>
  <w:style w:type="paragraph" w:styleId="Nadpis7">
    <w:name w:val="heading 7"/>
    <w:basedOn w:val="Normln"/>
    <w:next w:val="Normln"/>
    <w:link w:val="Nadpis7Char"/>
    <w:uiPriority w:val="99"/>
    <w:qFormat/>
    <w:rsid w:val="006C3F64"/>
    <w:pPr>
      <w:numPr>
        <w:ilvl w:val="6"/>
        <w:numId w:val="41"/>
      </w:numPr>
      <w:spacing w:before="240" w:after="60"/>
      <w:outlineLvl w:val="6"/>
    </w:pPr>
    <w:rPr>
      <w:rFonts w:ascii="Calibri" w:hAnsi="Calibri"/>
    </w:rPr>
  </w:style>
  <w:style w:type="paragraph" w:styleId="Nadpis8">
    <w:name w:val="heading 8"/>
    <w:basedOn w:val="Normln"/>
    <w:next w:val="Normln"/>
    <w:link w:val="Nadpis8Char"/>
    <w:uiPriority w:val="99"/>
    <w:qFormat/>
    <w:rsid w:val="006C3F64"/>
    <w:pPr>
      <w:numPr>
        <w:ilvl w:val="7"/>
        <w:numId w:val="41"/>
      </w:numPr>
      <w:spacing w:before="240" w:after="60"/>
      <w:outlineLvl w:val="7"/>
    </w:pPr>
    <w:rPr>
      <w:rFonts w:ascii="Calibri" w:hAnsi="Calibri"/>
      <w:i/>
      <w:iCs/>
    </w:rPr>
  </w:style>
  <w:style w:type="paragraph" w:styleId="Nadpis9">
    <w:name w:val="heading 9"/>
    <w:basedOn w:val="Normln"/>
    <w:next w:val="Normln"/>
    <w:link w:val="Nadpis9Char"/>
    <w:uiPriority w:val="99"/>
    <w:qFormat/>
    <w:rsid w:val="006C3F64"/>
    <w:pPr>
      <w:numPr>
        <w:ilvl w:val="8"/>
        <w:numId w:val="41"/>
      </w:numPr>
      <w:spacing w:before="240" w:after="60"/>
      <w:outlineLvl w:val="8"/>
    </w:pPr>
    <w:rPr>
      <w:rFonts w:ascii="Cambria" w:hAnsi="Cambria"/>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625995"/>
    <w:rPr>
      <w:b/>
      <w:bCs/>
      <w:color w:val="365F91"/>
      <w:kern w:val="32"/>
      <w:sz w:val="28"/>
      <w:szCs w:val="32"/>
    </w:rPr>
  </w:style>
  <w:style w:type="character" w:customStyle="1" w:styleId="Nadpis2Char">
    <w:name w:val="Nadpis 2 Char"/>
    <w:link w:val="Nadpis2"/>
    <w:locked/>
    <w:rsid w:val="000B71FE"/>
    <w:rPr>
      <w:b/>
      <w:sz w:val="26"/>
      <w:szCs w:val="26"/>
    </w:rPr>
  </w:style>
  <w:style w:type="character" w:customStyle="1" w:styleId="Nadpis3Char">
    <w:name w:val="Nadpis 3 Char"/>
    <w:link w:val="Nadpis3"/>
    <w:uiPriority w:val="9"/>
    <w:locked/>
    <w:rsid w:val="002311DC"/>
    <w:rPr>
      <w:b/>
      <w:sz w:val="24"/>
    </w:rPr>
  </w:style>
  <w:style w:type="character" w:customStyle="1" w:styleId="Nadpis4Char">
    <w:name w:val="Nadpis 4 Char"/>
    <w:link w:val="Nadpis4"/>
    <w:locked/>
    <w:rsid w:val="00613044"/>
    <w:rPr>
      <w:b/>
      <w:sz w:val="24"/>
    </w:rPr>
  </w:style>
  <w:style w:type="character" w:customStyle="1" w:styleId="Nadpis5Char">
    <w:name w:val="Nadpis 5 Char"/>
    <w:link w:val="Nadpis5"/>
    <w:locked/>
    <w:rsid w:val="00DB74FD"/>
    <w:rPr>
      <w:rFonts w:ascii="Calibri" w:hAnsi="Calibri"/>
      <w:b/>
      <w:bCs/>
      <w:i/>
      <w:iCs/>
      <w:sz w:val="26"/>
      <w:szCs w:val="26"/>
    </w:rPr>
  </w:style>
  <w:style w:type="character" w:customStyle="1" w:styleId="Nadpis6Char">
    <w:name w:val="Nadpis 6 Char"/>
    <w:link w:val="Nadpis6"/>
    <w:locked/>
    <w:rsid w:val="00DB74FD"/>
    <w:rPr>
      <w:rFonts w:ascii="Calibri" w:hAnsi="Calibri"/>
      <w:b/>
      <w:bCs/>
    </w:rPr>
  </w:style>
  <w:style w:type="character" w:customStyle="1" w:styleId="Nadpis7Char">
    <w:name w:val="Nadpis 7 Char"/>
    <w:link w:val="Nadpis7"/>
    <w:locked/>
    <w:rsid w:val="00DB74FD"/>
    <w:rPr>
      <w:rFonts w:ascii="Calibri" w:hAnsi="Calibri"/>
      <w:sz w:val="24"/>
      <w:szCs w:val="24"/>
    </w:rPr>
  </w:style>
  <w:style w:type="character" w:customStyle="1" w:styleId="Nadpis8Char">
    <w:name w:val="Nadpis 8 Char"/>
    <w:link w:val="Nadpis8"/>
    <w:locked/>
    <w:rsid w:val="00DB74FD"/>
    <w:rPr>
      <w:rFonts w:ascii="Calibri" w:hAnsi="Calibri"/>
      <w:i/>
      <w:iCs/>
      <w:sz w:val="24"/>
      <w:szCs w:val="24"/>
    </w:rPr>
  </w:style>
  <w:style w:type="character" w:customStyle="1" w:styleId="Nadpis9Char">
    <w:name w:val="Nadpis 9 Char"/>
    <w:link w:val="Nadpis9"/>
    <w:locked/>
    <w:rsid w:val="00DB74FD"/>
    <w:rPr>
      <w:rFonts w:ascii="Cambria" w:hAnsi="Cambria"/>
    </w:rPr>
  </w:style>
  <w:style w:type="paragraph" w:customStyle="1" w:styleId="Box">
    <w:name w:val="Box"/>
    <w:basedOn w:val="Normln"/>
    <w:next w:val="Normln"/>
    <w:uiPriority w:val="99"/>
    <w:rsid w:val="006C3F64"/>
    <w:pPr>
      <w:pBdr>
        <w:top w:val="single" w:sz="4" w:space="1" w:color="auto"/>
        <w:left w:val="single" w:sz="4" w:space="4" w:color="auto"/>
        <w:bottom w:val="single" w:sz="4" w:space="1" w:color="auto"/>
        <w:right w:val="single" w:sz="4" w:space="4" w:color="auto"/>
      </w:pBdr>
      <w:shd w:val="clear" w:color="auto" w:fill="E6E6E6"/>
    </w:pPr>
    <w:rPr>
      <w:sz w:val="20"/>
    </w:rPr>
  </w:style>
  <w:style w:type="character" w:styleId="slostrnky">
    <w:name w:val="page number"/>
    <w:uiPriority w:val="99"/>
    <w:rsid w:val="006C3F64"/>
    <w:rPr>
      <w:rFonts w:cs="Times New Roman"/>
    </w:rPr>
  </w:style>
  <w:style w:type="character" w:styleId="Hypertextovodkaz">
    <w:name w:val="Hyperlink"/>
    <w:uiPriority w:val="99"/>
    <w:rsid w:val="006C3F64"/>
    <w:rPr>
      <w:rFonts w:cs="Times New Roman"/>
      <w:color w:val="0000FF"/>
      <w:u w:val="single"/>
    </w:rPr>
  </w:style>
  <w:style w:type="paragraph" w:customStyle="1" w:styleId="Nadpis5tun">
    <w:name w:val="Nadpis 5 (tučně"/>
    <w:aliases w:val="bez číslování)"/>
    <w:basedOn w:val="Nadpis4"/>
    <w:link w:val="Nadpis5tunChar"/>
    <w:uiPriority w:val="99"/>
    <w:rsid w:val="00613044"/>
    <w:pPr>
      <w:numPr>
        <w:ilvl w:val="0"/>
        <w:numId w:val="0"/>
      </w:numPr>
    </w:pPr>
  </w:style>
  <w:style w:type="paragraph" w:styleId="Obsah1">
    <w:name w:val="toc 1"/>
    <w:basedOn w:val="Normln"/>
    <w:next w:val="Normln"/>
    <w:autoRedefine/>
    <w:uiPriority w:val="39"/>
    <w:rsid w:val="006C3F64"/>
    <w:pPr>
      <w:spacing w:after="120"/>
      <w:jc w:val="left"/>
    </w:pPr>
    <w:rPr>
      <w:b/>
      <w:bCs/>
      <w:caps/>
      <w:sz w:val="20"/>
      <w:szCs w:val="20"/>
    </w:rPr>
  </w:style>
  <w:style w:type="paragraph" w:styleId="Obsah2">
    <w:name w:val="toc 2"/>
    <w:basedOn w:val="Obsah1"/>
    <w:next w:val="Normln"/>
    <w:uiPriority w:val="39"/>
    <w:rsid w:val="006C3F64"/>
    <w:pPr>
      <w:spacing w:before="0" w:after="0"/>
      <w:ind w:left="240"/>
    </w:pPr>
    <w:rPr>
      <w:b w:val="0"/>
      <w:bCs w:val="0"/>
      <w:caps w:val="0"/>
      <w:smallCaps/>
    </w:rPr>
  </w:style>
  <w:style w:type="paragraph" w:styleId="Obsah3">
    <w:name w:val="toc 3"/>
    <w:basedOn w:val="Obsah2"/>
    <w:uiPriority w:val="39"/>
    <w:rsid w:val="006C3F64"/>
    <w:pPr>
      <w:ind w:left="480"/>
    </w:pPr>
    <w:rPr>
      <w:i/>
      <w:iCs/>
      <w:smallCaps w:val="0"/>
    </w:rPr>
  </w:style>
  <w:style w:type="paragraph" w:styleId="Obsah4">
    <w:name w:val="toc 4"/>
    <w:basedOn w:val="Normln"/>
    <w:next w:val="Normln"/>
    <w:autoRedefine/>
    <w:uiPriority w:val="99"/>
    <w:semiHidden/>
    <w:rsid w:val="006C3F64"/>
    <w:pPr>
      <w:spacing w:before="0"/>
      <w:ind w:left="720"/>
      <w:jc w:val="left"/>
    </w:pPr>
    <w:rPr>
      <w:sz w:val="18"/>
      <w:szCs w:val="18"/>
    </w:rPr>
  </w:style>
  <w:style w:type="paragraph" w:styleId="Obsah5">
    <w:name w:val="toc 5"/>
    <w:basedOn w:val="Normln"/>
    <w:next w:val="Normln"/>
    <w:autoRedefine/>
    <w:uiPriority w:val="99"/>
    <w:semiHidden/>
    <w:rsid w:val="006C3F64"/>
    <w:pPr>
      <w:spacing w:before="0"/>
      <w:ind w:left="960"/>
      <w:jc w:val="left"/>
    </w:pPr>
    <w:rPr>
      <w:sz w:val="18"/>
      <w:szCs w:val="18"/>
    </w:rPr>
  </w:style>
  <w:style w:type="paragraph" w:styleId="Obsah6">
    <w:name w:val="toc 6"/>
    <w:basedOn w:val="Normln"/>
    <w:next w:val="Normln"/>
    <w:autoRedefine/>
    <w:uiPriority w:val="99"/>
    <w:semiHidden/>
    <w:rsid w:val="006C3F64"/>
    <w:pPr>
      <w:spacing w:before="0"/>
      <w:ind w:left="1200"/>
      <w:jc w:val="left"/>
    </w:pPr>
    <w:rPr>
      <w:sz w:val="18"/>
      <w:szCs w:val="18"/>
    </w:rPr>
  </w:style>
  <w:style w:type="paragraph" w:styleId="Obsah7">
    <w:name w:val="toc 7"/>
    <w:basedOn w:val="Normln"/>
    <w:next w:val="Normln"/>
    <w:autoRedefine/>
    <w:uiPriority w:val="99"/>
    <w:semiHidden/>
    <w:rsid w:val="006C3F64"/>
    <w:pPr>
      <w:spacing w:before="0"/>
      <w:ind w:left="1440"/>
      <w:jc w:val="left"/>
    </w:pPr>
    <w:rPr>
      <w:sz w:val="18"/>
      <w:szCs w:val="18"/>
    </w:rPr>
  </w:style>
  <w:style w:type="paragraph" w:styleId="Obsah8">
    <w:name w:val="toc 8"/>
    <w:basedOn w:val="Normln"/>
    <w:next w:val="Normln"/>
    <w:autoRedefine/>
    <w:uiPriority w:val="99"/>
    <w:semiHidden/>
    <w:rsid w:val="006C3F64"/>
    <w:pPr>
      <w:spacing w:before="0"/>
      <w:ind w:left="1680"/>
      <w:jc w:val="left"/>
    </w:pPr>
    <w:rPr>
      <w:sz w:val="18"/>
      <w:szCs w:val="18"/>
    </w:rPr>
  </w:style>
  <w:style w:type="paragraph" w:styleId="Obsah9">
    <w:name w:val="toc 9"/>
    <w:basedOn w:val="Normln"/>
    <w:next w:val="Normln"/>
    <w:autoRedefine/>
    <w:uiPriority w:val="99"/>
    <w:semiHidden/>
    <w:rsid w:val="006C3F64"/>
    <w:pPr>
      <w:spacing w:before="0"/>
      <w:ind w:left="1920"/>
      <w:jc w:val="left"/>
    </w:pPr>
    <w:rPr>
      <w:sz w:val="18"/>
      <w:szCs w:val="18"/>
    </w:rPr>
  </w:style>
  <w:style w:type="character" w:styleId="Odkaznakoment">
    <w:name w:val="annotation reference"/>
    <w:uiPriority w:val="99"/>
    <w:semiHidden/>
    <w:rsid w:val="006C3F64"/>
    <w:rPr>
      <w:rFonts w:cs="Times New Roman"/>
      <w:sz w:val="16"/>
    </w:rPr>
  </w:style>
  <w:style w:type="paragraph" w:customStyle="1" w:styleId="Pramen">
    <w:name w:val="Pramen"/>
    <w:next w:val="Normln"/>
    <w:link w:val="PramenChar"/>
    <w:autoRedefine/>
    <w:rsid w:val="008677D6"/>
    <w:pPr>
      <w:jc w:val="both"/>
    </w:pPr>
    <w:rPr>
      <w:rFonts w:eastAsia="MS Mincho"/>
      <w:i/>
    </w:rPr>
  </w:style>
  <w:style w:type="paragraph" w:styleId="Textkomente">
    <w:name w:val="annotation text"/>
    <w:basedOn w:val="Normln"/>
    <w:link w:val="TextkomenteChar"/>
    <w:uiPriority w:val="99"/>
    <w:semiHidden/>
    <w:rsid w:val="006C3F64"/>
    <w:rPr>
      <w:sz w:val="20"/>
      <w:szCs w:val="20"/>
    </w:rPr>
  </w:style>
  <w:style w:type="character" w:customStyle="1" w:styleId="TextkomenteChar">
    <w:name w:val="Text komentáře Char"/>
    <w:link w:val="Textkomente"/>
    <w:uiPriority w:val="99"/>
    <w:semiHidden/>
    <w:locked/>
    <w:rsid w:val="00DB74FD"/>
    <w:rPr>
      <w:sz w:val="20"/>
    </w:rPr>
  </w:style>
  <w:style w:type="paragraph" w:styleId="Pedmtkomente">
    <w:name w:val="annotation subject"/>
    <w:basedOn w:val="Textkomente"/>
    <w:next w:val="Textkomente"/>
    <w:link w:val="PedmtkomenteChar"/>
    <w:uiPriority w:val="99"/>
    <w:semiHidden/>
    <w:rsid w:val="006C3F64"/>
    <w:rPr>
      <w:b/>
      <w:bCs/>
    </w:rPr>
  </w:style>
  <w:style w:type="character" w:customStyle="1" w:styleId="PedmtkomenteChar">
    <w:name w:val="Předmět komentáře Char"/>
    <w:link w:val="Pedmtkomente"/>
    <w:uiPriority w:val="99"/>
    <w:semiHidden/>
    <w:locked/>
    <w:rsid w:val="00DB74FD"/>
    <w:rPr>
      <w:b/>
      <w:sz w:val="20"/>
    </w:rPr>
  </w:style>
  <w:style w:type="paragraph" w:styleId="Rejstk1">
    <w:name w:val="index 1"/>
    <w:basedOn w:val="Normln"/>
    <w:next w:val="Normln"/>
    <w:uiPriority w:val="99"/>
    <w:semiHidden/>
    <w:rsid w:val="006C3F64"/>
    <w:pPr>
      <w:tabs>
        <w:tab w:val="left" w:pos="7797"/>
        <w:tab w:val="left" w:pos="8080"/>
        <w:tab w:val="left" w:pos="8789"/>
      </w:tabs>
      <w:spacing w:line="360" w:lineRule="auto"/>
      <w:ind w:right="-1" w:firstLine="720"/>
    </w:pPr>
    <w:rPr>
      <w:szCs w:val="20"/>
    </w:rPr>
  </w:style>
  <w:style w:type="paragraph" w:styleId="Rozloendokumentu">
    <w:name w:val="Document Map"/>
    <w:basedOn w:val="Normln"/>
    <w:link w:val="RozloendokumentuChar"/>
    <w:uiPriority w:val="99"/>
    <w:semiHidden/>
    <w:rsid w:val="006C3F64"/>
    <w:pPr>
      <w:shd w:val="clear" w:color="auto" w:fill="000080"/>
    </w:pPr>
    <w:rPr>
      <w:sz w:val="2"/>
    </w:rPr>
  </w:style>
  <w:style w:type="character" w:customStyle="1" w:styleId="RozloendokumentuChar">
    <w:name w:val="Rozložení dokumentu Char"/>
    <w:link w:val="Rozloendokumentu"/>
    <w:uiPriority w:val="99"/>
    <w:semiHidden/>
    <w:locked/>
    <w:rsid w:val="00DB74FD"/>
    <w:rPr>
      <w:sz w:val="2"/>
    </w:rPr>
  </w:style>
  <w:style w:type="paragraph" w:customStyle="1" w:styleId="Styl18bTunzarovnnnasted">
    <w:name w:val="Styl 18 b. Tučné zarovnání na střed"/>
    <w:basedOn w:val="Normln"/>
    <w:uiPriority w:val="99"/>
    <w:rsid w:val="006C3F64"/>
    <w:pPr>
      <w:jc w:val="center"/>
    </w:pPr>
    <w:rPr>
      <w:b/>
      <w:bCs/>
      <w:caps/>
      <w:sz w:val="40"/>
      <w:szCs w:val="40"/>
    </w:rPr>
  </w:style>
  <w:style w:type="character" w:styleId="Znakapoznpodarou">
    <w:name w:val="footnote reference"/>
    <w:uiPriority w:val="99"/>
    <w:semiHidden/>
    <w:rsid w:val="006C3F64"/>
    <w:rPr>
      <w:rFonts w:cs="Times New Roman"/>
      <w:position w:val="6"/>
      <w:sz w:val="16"/>
    </w:rPr>
  </w:style>
  <w:style w:type="paragraph" w:styleId="Textbubliny">
    <w:name w:val="Balloon Text"/>
    <w:basedOn w:val="Normln"/>
    <w:link w:val="TextbublinyChar"/>
    <w:uiPriority w:val="99"/>
    <w:semiHidden/>
    <w:rsid w:val="006C3F64"/>
    <w:rPr>
      <w:sz w:val="2"/>
    </w:rPr>
  </w:style>
  <w:style w:type="character" w:customStyle="1" w:styleId="TextbublinyChar">
    <w:name w:val="Text bubliny Char"/>
    <w:link w:val="Textbubliny"/>
    <w:uiPriority w:val="99"/>
    <w:semiHidden/>
    <w:locked/>
    <w:rsid w:val="00DB74FD"/>
    <w:rPr>
      <w:sz w:val="2"/>
    </w:rPr>
  </w:style>
  <w:style w:type="character" w:customStyle="1" w:styleId="TextpoznpodarouChar">
    <w:name w:val="Text pozn. pod čarou Char"/>
    <w:aliases w:val="Schriftart: 9 pt Char,Schriftart: 10 pt Char,Schriftart: 8 pt Char"/>
    <w:link w:val="Textpoznpodarou"/>
    <w:uiPriority w:val="99"/>
    <w:locked/>
    <w:rsid w:val="006C3F64"/>
    <w:rPr>
      <w:lang w:val="cs-CZ" w:eastAsia="cs-CZ"/>
    </w:rPr>
  </w:style>
  <w:style w:type="paragraph" w:styleId="Textpoznpodarou">
    <w:name w:val="footnote text"/>
    <w:aliases w:val="Schriftart: 9 pt,Schriftart: 10 pt,Schriftart: 8 pt"/>
    <w:basedOn w:val="Normln"/>
    <w:link w:val="TextpoznpodarouChar"/>
    <w:uiPriority w:val="99"/>
    <w:semiHidden/>
    <w:rsid w:val="006C3F64"/>
    <w:pPr>
      <w:tabs>
        <w:tab w:val="left" w:pos="7797"/>
        <w:tab w:val="left" w:pos="8080"/>
        <w:tab w:val="left" w:pos="8789"/>
      </w:tabs>
      <w:spacing w:before="0"/>
    </w:pPr>
    <w:rPr>
      <w:sz w:val="20"/>
      <w:szCs w:val="20"/>
    </w:rPr>
  </w:style>
  <w:style w:type="character" w:customStyle="1" w:styleId="FootnoteTextChar">
    <w:name w:val="Footnote Text Char"/>
    <w:aliases w:val="Schriftart: 9 pt Char1,Schriftart: 10 pt Char1,Schriftart: 8 pt Char1"/>
    <w:uiPriority w:val="99"/>
    <w:semiHidden/>
    <w:locked/>
    <w:rsid w:val="003C3DF7"/>
    <w:rPr>
      <w:lang w:val="cs-CZ" w:eastAsia="cs-CZ"/>
    </w:rPr>
  </w:style>
  <w:style w:type="paragraph" w:styleId="Titulek">
    <w:name w:val="caption"/>
    <w:basedOn w:val="Normln"/>
    <w:next w:val="Normln"/>
    <w:uiPriority w:val="99"/>
    <w:qFormat/>
    <w:rsid w:val="006C3F64"/>
    <w:pPr>
      <w:keepNext/>
      <w:framePr w:w="5460" w:hSpace="142" w:wrap="auto" w:vAnchor="text" w:hAnchor="page" w:x="1888" w:y="49"/>
      <w:tabs>
        <w:tab w:val="left" w:pos="2127"/>
        <w:tab w:val="left" w:pos="7797"/>
        <w:tab w:val="left" w:pos="8080"/>
        <w:tab w:val="left" w:pos="8789"/>
      </w:tabs>
    </w:pPr>
    <w:rPr>
      <w:b/>
      <w:sz w:val="22"/>
      <w:szCs w:val="20"/>
    </w:rPr>
  </w:style>
  <w:style w:type="paragraph" w:styleId="Zhlav">
    <w:name w:val="header"/>
    <w:basedOn w:val="Normln"/>
    <w:link w:val="ZhlavChar"/>
    <w:uiPriority w:val="99"/>
    <w:rsid w:val="006C3F64"/>
    <w:pPr>
      <w:tabs>
        <w:tab w:val="center" w:pos="4536"/>
        <w:tab w:val="right" w:pos="9072"/>
      </w:tabs>
    </w:pPr>
  </w:style>
  <w:style w:type="character" w:customStyle="1" w:styleId="ZhlavChar">
    <w:name w:val="Záhlaví Char"/>
    <w:link w:val="Zhlav"/>
    <w:uiPriority w:val="99"/>
    <w:semiHidden/>
    <w:locked/>
    <w:rsid w:val="00DB74FD"/>
    <w:rPr>
      <w:sz w:val="24"/>
    </w:rPr>
  </w:style>
  <w:style w:type="paragraph" w:styleId="Zpat">
    <w:name w:val="footer"/>
    <w:basedOn w:val="Normln"/>
    <w:link w:val="ZpatChar"/>
    <w:uiPriority w:val="99"/>
    <w:rsid w:val="006C3F64"/>
    <w:pPr>
      <w:tabs>
        <w:tab w:val="center" w:pos="4536"/>
        <w:tab w:val="right" w:pos="9072"/>
      </w:tabs>
    </w:pPr>
  </w:style>
  <w:style w:type="character" w:customStyle="1" w:styleId="ZpatChar">
    <w:name w:val="Zápatí Char"/>
    <w:link w:val="Zpat"/>
    <w:uiPriority w:val="99"/>
    <w:locked/>
    <w:rsid w:val="00DB74FD"/>
    <w:rPr>
      <w:sz w:val="24"/>
    </w:rPr>
  </w:style>
  <w:style w:type="paragraph" w:customStyle="1" w:styleId="Poznpodarou">
    <w:name w:val="Pozn.pod čarou"/>
    <w:basedOn w:val="Textpoznpodarou"/>
    <w:link w:val="PoznpodarouChar"/>
    <w:uiPriority w:val="99"/>
    <w:rsid w:val="00F75D5D"/>
  </w:style>
  <w:style w:type="character" w:customStyle="1" w:styleId="PoznpodarouChar">
    <w:name w:val="Pozn.pod čarou Char"/>
    <w:link w:val="Poznpodarou"/>
    <w:uiPriority w:val="99"/>
    <w:locked/>
    <w:rsid w:val="00F75D5D"/>
    <w:rPr>
      <w:lang w:val="cs-CZ" w:eastAsia="cs-CZ"/>
    </w:rPr>
  </w:style>
  <w:style w:type="character" w:customStyle="1" w:styleId="Nadpis5tunChar">
    <w:name w:val="Nadpis 5 (tučně Char"/>
    <w:aliases w:val="bez číslování) Char"/>
    <w:link w:val="Nadpis5tun"/>
    <w:uiPriority w:val="99"/>
    <w:locked/>
    <w:rsid w:val="00613044"/>
    <w:rPr>
      <w:b/>
      <w:sz w:val="24"/>
      <w:lang w:val="cs-CZ" w:eastAsia="cs-CZ"/>
    </w:rPr>
  </w:style>
  <w:style w:type="character" w:customStyle="1" w:styleId="PramenChar">
    <w:name w:val="Pramen Char"/>
    <w:link w:val="Pramen"/>
    <w:locked/>
    <w:rsid w:val="008677D6"/>
    <w:rPr>
      <w:rFonts w:eastAsia="MS Mincho"/>
      <w:i/>
    </w:rPr>
  </w:style>
  <w:style w:type="paragraph" w:styleId="Nzev">
    <w:name w:val="Title"/>
    <w:basedOn w:val="Normln"/>
    <w:link w:val="NzevChar"/>
    <w:uiPriority w:val="99"/>
    <w:qFormat/>
    <w:rsid w:val="0079366D"/>
    <w:pPr>
      <w:spacing w:before="0" w:after="720"/>
      <w:jc w:val="center"/>
    </w:pPr>
    <w:rPr>
      <w:rFonts w:ascii="Cambria" w:hAnsi="Cambria"/>
      <w:b/>
      <w:bCs/>
      <w:kern w:val="28"/>
      <w:sz w:val="32"/>
      <w:szCs w:val="32"/>
    </w:rPr>
  </w:style>
  <w:style w:type="character" w:customStyle="1" w:styleId="NzevChar">
    <w:name w:val="Název Char"/>
    <w:link w:val="Nzev"/>
    <w:uiPriority w:val="99"/>
    <w:locked/>
    <w:rsid w:val="00DB74FD"/>
    <w:rPr>
      <w:rFonts w:ascii="Cambria" w:hAnsi="Cambria"/>
      <w:b/>
      <w:kern w:val="28"/>
      <w:sz w:val="32"/>
    </w:rPr>
  </w:style>
  <w:style w:type="paragraph" w:customStyle="1" w:styleId="Zkladntext21">
    <w:name w:val="Základní text 21"/>
    <w:basedOn w:val="Normln"/>
    <w:uiPriority w:val="99"/>
    <w:rsid w:val="002346BE"/>
    <w:pPr>
      <w:overflowPunct w:val="0"/>
      <w:autoSpaceDE w:val="0"/>
      <w:autoSpaceDN w:val="0"/>
      <w:adjustRightInd w:val="0"/>
      <w:spacing w:before="240" w:after="120"/>
      <w:ind w:firstLine="709"/>
      <w:textAlignment w:val="baseline"/>
    </w:pPr>
    <w:rPr>
      <w:szCs w:val="20"/>
    </w:rPr>
  </w:style>
  <w:style w:type="paragraph" w:styleId="Zkladntextodsazen">
    <w:name w:val="Body Text Indent"/>
    <w:basedOn w:val="Normln"/>
    <w:link w:val="ZkladntextodsazenChar"/>
    <w:uiPriority w:val="99"/>
    <w:rsid w:val="002346BE"/>
    <w:pPr>
      <w:spacing w:before="0" w:after="120"/>
      <w:ind w:firstLine="709"/>
    </w:pPr>
    <w:rPr>
      <w:szCs w:val="20"/>
    </w:rPr>
  </w:style>
  <w:style w:type="character" w:customStyle="1" w:styleId="ZkladntextodsazenChar">
    <w:name w:val="Základní text odsazený Char"/>
    <w:link w:val="Zkladntextodsazen"/>
    <w:uiPriority w:val="99"/>
    <w:locked/>
    <w:rsid w:val="0064286B"/>
    <w:rPr>
      <w:sz w:val="24"/>
    </w:rPr>
  </w:style>
  <w:style w:type="character" w:customStyle="1" w:styleId="CharChar">
    <w:name w:val="Char Char"/>
    <w:uiPriority w:val="99"/>
    <w:semiHidden/>
    <w:locked/>
    <w:rsid w:val="00E5352C"/>
  </w:style>
  <w:style w:type="paragraph" w:styleId="Zkladntext">
    <w:name w:val="Body Text"/>
    <w:basedOn w:val="Normln"/>
    <w:link w:val="ZkladntextChar"/>
    <w:uiPriority w:val="99"/>
    <w:rsid w:val="008E7EFD"/>
    <w:pPr>
      <w:spacing w:after="120"/>
    </w:pPr>
  </w:style>
  <w:style w:type="character" w:customStyle="1" w:styleId="ZkladntextChar">
    <w:name w:val="Základní text Char"/>
    <w:link w:val="Zkladntext"/>
    <w:uiPriority w:val="99"/>
    <w:semiHidden/>
    <w:locked/>
    <w:rsid w:val="00DB74FD"/>
    <w:rPr>
      <w:sz w:val="24"/>
    </w:rPr>
  </w:style>
  <w:style w:type="paragraph" w:styleId="Revize">
    <w:name w:val="Revision"/>
    <w:hidden/>
    <w:uiPriority w:val="99"/>
    <w:semiHidden/>
    <w:rsid w:val="00FF649E"/>
    <w:rPr>
      <w:sz w:val="24"/>
      <w:szCs w:val="24"/>
    </w:rPr>
  </w:style>
  <w:style w:type="paragraph" w:customStyle="1" w:styleId="Tabulka-blue">
    <w:name w:val="Tabulka - blue"/>
    <w:basedOn w:val="Normln"/>
    <w:link w:val="Tabulka-blueChar"/>
    <w:qFormat/>
    <w:rsid w:val="00C76C93"/>
    <w:pPr>
      <w:suppressAutoHyphens/>
      <w:autoSpaceDE w:val="0"/>
      <w:autoSpaceDN w:val="0"/>
      <w:adjustRightInd w:val="0"/>
      <w:spacing w:before="113" w:line="288" w:lineRule="auto"/>
      <w:jc w:val="left"/>
      <w:textAlignment w:val="center"/>
    </w:pPr>
    <w:rPr>
      <w:rFonts w:ascii="Verdana" w:eastAsia="Calibri" w:hAnsi="Verdana" w:cs="Verdana"/>
      <w:b/>
      <w:color w:val="FFFFFF"/>
      <w:sz w:val="16"/>
      <w:szCs w:val="18"/>
      <w:lang w:eastAsia="en-US"/>
    </w:rPr>
  </w:style>
  <w:style w:type="character" w:customStyle="1" w:styleId="Tabulka-blueChar">
    <w:name w:val="Tabulka - blue Char"/>
    <w:link w:val="Tabulka-blue"/>
    <w:rsid w:val="00C76C93"/>
    <w:rPr>
      <w:rFonts w:ascii="Verdana" w:eastAsia="Calibri" w:hAnsi="Verdana" w:cs="Verdana"/>
      <w:b/>
      <w:color w:val="FFFFFF"/>
      <w:sz w:val="16"/>
      <w:szCs w:val="18"/>
      <w:lang w:eastAsia="en-US"/>
    </w:rPr>
  </w:style>
  <w:style w:type="paragraph" w:styleId="Odstavecseseznamem">
    <w:name w:val="List Paragraph"/>
    <w:basedOn w:val="Normln"/>
    <w:uiPriority w:val="34"/>
    <w:qFormat/>
    <w:rsid w:val="00BB18D5"/>
    <w:pPr>
      <w:ind w:left="708"/>
    </w:pPr>
  </w:style>
  <w:style w:type="paragraph" w:customStyle="1" w:styleId="zakltext">
    <w:name w:val="zakl_text"/>
    <w:basedOn w:val="Normln"/>
    <w:uiPriority w:val="99"/>
    <w:rsid w:val="003C32DA"/>
    <w:pPr>
      <w:widowControl w:val="0"/>
      <w:suppressAutoHyphens/>
      <w:autoSpaceDE w:val="0"/>
      <w:autoSpaceDN w:val="0"/>
      <w:adjustRightInd w:val="0"/>
      <w:spacing w:before="113" w:line="288" w:lineRule="auto"/>
      <w:textAlignment w:val="center"/>
    </w:pPr>
    <w:rPr>
      <w:rFonts w:ascii="Verdana" w:hAnsi="Verdana" w:cs="Verdana"/>
      <w:color w:val="000000"/>
      <w:sz w:val="18"/>
      <w:szCs w:val="18"/>
    </w:rPr>
  </w:style>
  <w:style w:type="paragraph" w:customStyle="1" w:styleId="Pa1">
    <w:name w:val="Pa1"/>
    <w:basedOn w:val="Normln"/>
    <w:next w:val="Normln"/>
    <w:uiPriority w:val="99"/>
    <w:rsid w:val="008052E3"/>
    <w:pPr>
      <w:autoSpaceDE w:val="0"/>
      <w:autoSpaceDN w:val="0"/>
      <w:adjustRightInd w:val="0"/>
      <w:spacing w:before="0" w:line="200" w:lineRule="atLeast"/>
      <w:jc w:val="left"/>
    </w:pPr>
    <w:rPr>
      <w:rFonts w:ascii="Verdana" w:hAnsi="Verdana"/>
    </w:rPr>
  </w:style>
  <w:style w:type="character" w:customStyle="1" w:styleId="A8">
    <w:name w:val="A8"/>
    <w:uiPriority w:val="99"/>
    <w:rsid w:val="008052E3"/>
    <w:rPr>
      <w:rFonts w:cs="Verdana"/>
      <w:b/>
      <w:bCs/>
      <w:color w:val="000000"/>
      <w:sz w:val="16"/>
      <w:szCs w:val="16"/>
    </w:rPr>
  </w:style>
  <w:style w:type="paragraph" w:customStyle="1" w:styleId="Pa22">
    <w:name w:val="Pa22"/>
    <w:basedOn w:val="Normln"/>
    <w:next w:val="Normln"/>
    <w:uiPriority w:val="99"/>
    <w:rsid w:val="008052E3"/>
    <w:pPr>
      <w:autoSpaceDE w:val="0"/>
      <w:autoSpaceDN w:val="0"/>
      <w:adjustRightInd w:val="0"/>
      <w:spacing w:before="0" w:line="180" w:lineRule="atLeast"/>
      <w:jc w:val="left"/>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63294">
      <w:bodyDiv w:val="1"/>
      <w:marLeft w:val="0"/>
      <w:marRight w:val="0"/>
      <w:marTop w:val="0"/>
      <w:marBottom w:val="0"/>
      <w:divBdr>
        <w:top w:val="none" w:sz="0" w:space="0" w:color="auto"/>
        <w:left w:val="none" w:sz="0" w:space="0" w:color="auto"/>
        <w:bottom w:val="none" w:sz="0" w:space="0" w:color="auto"/>
        <w:right w:val="none" w:sz="0" w:space="0" w:color="auto"/>
      </w:divBdr>
    </w:div>
    <w:div w:id="76362333">
      <w:bodyDiv w:val="1"/>
      <w:marLeft w:val="0"/>
      <w:marRight w:val="0"/>
      <w:marTop w:val="0"/>
      <w:marBottom w:val="0"/>
      <w:divBdr>
        <w:top w:val="none" w:sz="0" w:space="0" w:color="auto"/>
        <w:left w:val="none" w:sz="0" w:space="0" w:color="auto"/>
        <w:bottom w:val="none" w:sz="0" w:space="0" w:color="auto"/>
        <w:right w:val="none" w:sz="0" w:space="0" w:color="auto"/>
      </w:divBdr>
    </w:div>
    <w:div w:id="143162432">
      <w:bodyDiv w:val="1"/>
      <w:marLeft w:val="0"/>
      <w:marRight w:val="0"/>
      <w:marTop w:val="0"/>
      <w:marBottom w:val="0"/>
      <w:divBdr>
        <w:top w:val="none" w:sz="0" w:space="0" w:color="auto"/>
        <w:left w:val="none" w:sz="0" w:space="0" w:color="auto"/>
        <w:bottom w:val="none" w:sz="0" w:space="0" w:color="auto"/>
        <w:right w:val="none" w:sz="0" w:space="0" w:color="auto"/>
      </w:divBdr>
    </w:div>
    <w:div w:id="151485544">
      <w:bodyDiv w:val="1"/>
      <w:marLeft w:val="0"/>
      <w:marRight w:val="0"/>
      <w:marTop w:val="0"/>
      <w:marBottom w:val="0"/>
      <w:divBdr>
        <w:top w:val="none" w:sz="0" w:space="0" w:color="auto"/>
        <w:left w:val="none" w:sz="0" w:space="0" w:color="auto"/>
        <w:bottom w:val="none" w:sz="0" w:space="0" w:color="auto"/>
        <w:right w:val="none" w:sz="0" w:space="0" w:color="auto"/>
      </w:divBdr>
    </w:div>
    <w:div w:id="225916526">
      <w:bodyDiv w:val="1"/>
      <w:marLeft w:val="0"/>
      <w:marRight w:val="0"/>
      <w:marTop w:val="0"/>
      <w:marBottom w:val="0"/>
      <w:divBdr>
        <w:top w:val="none" w:sz="0" w:space="0" w:color="auto"/>
        <w:left w:val="none" w:sz="0" w:space="0" w:color="auto"/>
        <w:bottom w:val="none" w:sz="0" w:space="0" w:color="auto"/>
        <w:right w:val="none" w:sz="0" w:space="0" w:color="auto"/>
      </w:divBdr>
    </w:div>
    <w:div w:id="228158343">
      <w:bodyDiv w:val="1"/>
      <w:marLeft w:val="0"/>
      <w:marRight w:val="0"/>
      <w:marTop w:val="0"/>
      <w:marBottom w:val="0"/>
      <w:divBdr>
        <w:top w:val="none" w:sz="0" w:space="0" w:color="auto"/>
        <w:left w:val="none" w:sz="0" w:space="0" w:color="auto"/>
        <w:bottom w:val="none" w:sz="0" w:space="0" w:color="auto"/>
        <w:right w:val="none" w:sz="0" w:space="0" w:color="auto"/>
      </w:divBdr>
    </w:div>
    <w:div w:id="267583852">
      <w:bodyDiv w:val="1"/>
      <w:marLeft w:val="0"/>
      <w:marRight w:val="0"/>
      <w:marTop w:val="0"/>
      <w:marBottom w:val="0"/>
      <w:divBdr>
        <w:top w:val="none" w:sz="0" w:space="0" w:color="auto"/>
        <w:left w:val="none" w:sz="0" w:space="0" w:color="auto"/>
        <w:bottom w:val="none" w:sz="0" w:space="0" w:color="auto"/>
        <w:right w:val="none" w:sz="0" w:space="0" w:color="auto"/>
      </w:divBdr>
    </w:div>
    <w:div w:id="270746614">
      <w:bodyDiv w:val="1"/>
      <w:marLeft w:val="0"/>
      <w:marRight w:val="0"/>
      <w:marTop w:val="0"/>
      <w:marBottom w:val="0"/>
      <w:divBdr>
        <w:top w:val="none" w:sz="0" w:space="0" w:color="auto"/>
        <w:left w:val="none" w:sz="0" w:space="0" w:color="auto"/>
        <w:bottom w:val="none" w:sz="0" w:space="0" w:color="auto"/>
        <w:right w:val="none" w:sz="0" w:space="0" w:color="auto"/>
      </w:divBdr>
    </w:div>
    <w:div w:id="300424358">
      <w:bodyDiv w:val="1"/>
      <w:marLeft w:val="0"/>
      <w:marRight w:val="0"/>
      <w:marTop w:val="0"/>
      <w:marBottom w:val="0"/>
      <w:divBdr>
        <w:top w:val="none" w:sz="0" w:space="0" w:color="auto"/>
        <w:left w:val="none" w:sz="0" w:space="0" w:color="auto"/>
        <w:bottom w:val="none" w:sz="0" w:space="0" w:color="auto"/>
        <w:right w:val="none" w:sz="0" w:space="0" w:color="auto"/>
      </w:divBdr>
    </w:div>
    <w:div w:id="344673475">
      <w:bodyDiv w:val="1"/>
      <w:marLeft w:val="0"/>
      <w:marRight w:val="0"/>
      <w:marTop w:val="0"/>
      <w:marBottom w:val="0"/>
      <w:divBdr>
        <w:top w:val="none" w:sz="0" w:space="0" w:color="auto"/>
        <w:left w:val="none" w:sz="0" w:space="0" w:color="auto"/>
        <w:bottom w:val="none" w:sz="0" w:space="0" w:color="auto"/>
        <w:right w:val="none" w:sz="0" w:space="0" w:color="auto"/>
      </w:divBdr>
    </w:div>
    <w:div w:id="369378203">
      <w:bodyDiv w:val="1"/>
      <w:marLeft w:val="0"/>
      <w:marRight w:val="0"/>
      <w:marTop w:val="0"/>
      <w:marBottom w:val="0"/>
      <w:divBdr>
        <w:top w:val="none" w:sz="0" w:space="0" w:color="auto"/>
        <w:left w:val="none" w:sz="0" w:space="0" w:color="auto"/>
        <w:bottom w:val="none" w:sz="0" w:space="0" w:color="auto"/>
        <w:right w:val="none" w:sz="0" w:space="0" w:color="auto"/>
      </w:divBdr>
    </w:div>
    <w:div w:id="455873908">
      <w:bodyDiv w:val="1"/>
      <w:marLeft w:val="0"/>
      <w:marRight w:val="0"/>
      <w:marTop w:val="0"/>
      <w:marBottom w:val="0"/>
      <w:divBdr>
        <w:top w:val="none" w:sz="0" w:space="0" w:color="auto"/>
        <w:left w:val="none" w:sz="0" w:space="0" w:color="auto"/>
        <w:bottom w:val="none" w:sz="0" w:space="0" w:color="auto"/>
        <w:right w:val="none" w:sz="0" w:space="0" w:color="auto"/>
      </w:divBdr>
    </w:div>
    <w:div w:id="570232014">
      <w:bodyDiv w:val="1"/>
      <w:marLeft w:val="0"/>
      <w:marRight w:val="0"/>
      <w:marTop w:val="0"/>
      <w:marBottom w:val="0"/>
      <w:divBdr>
        <w:top w:val="none" w:sz="0" w:space="0" w:color="auto"/>
        <w:left w:val="none" w:sz="0" w:space="0" w:color="auto"/>
        <w:bottom w:val="none" w:sz="0" w:space="0" w:color="auto"/>
        <w:right w:val="none" w:sz="0" w:space="0" w:color="auto"/>
      </w:divBdr>
    </w:div>
    <w:div w:id="577176541">
      <w:bodyDiv w:val="1"/>
      <w:marLeft w:val="0"/>
      <w:marRight w:val="0"/>
      <w:marTop w:val="0"/>
      <w:marBottom w:val="0"/>
      <w:divBdr>
        <w:top w:val="none" w:sz="0" w:space="0" w:color="auto"/>
        <w:left w:val="none" w:sz="0" w:space="0" w:color="auto"/>
        <w:bottom w:val="none" w:sz="0" w:space="0" w:color="auto"/>
        <w:right w:val="none" w:sz="0" w:space="0" w:color="auto"/>
      </w:divBdr>
    </w:div>
    <w:div w:id="578904862">
      <w:bodyDiv w:val="1"/>
      <w:marLeft w:val="0"/>
      <w:marRight w:val="0"/>
      <w:marTop w:val="0"/>
      <w:marBottom w:val="0"/>
      <w:divBdr>
        <w:top w:val="none" w:sz="0" w:space="0" w:color="auto"/>
        <w:left w:val="none" w:sz="0" w:space="0" w:color="auto"/>
        <w:bottom w:val="none" w:sz="0" w:space="0" w:color="auto"/>
        <w:right w:val="none" w:sz="0" w:space="0" w:color="auto"/>
      </w:divBdr>
    </w:div>
    <w:div w:id="645670779">
      <w:bodyDiv w:val="1"/>
      <w:marLeft w:val="0"/>
      <w:marRight w:val="0"/>
      <w:marTop w:val="0"/>
      <w:marBottom w:val="0"/>
      <w:divBdr>
        <w:top w:val="none" w:sz="0" w:space="0" w:color="auto"/>
        <w:left w:val="none" w:sz="0" w:space="0" w:color="auto"/>
        <w:bottom w:val="none" w:sz="0" w:space="0" w:color="auto"/>
        <w:right w:val="none" w:sz="0" w:space="0" w:color="auto"/>
      </w:divBdr>
    </w:div>
    <w:div w:id="658072626">
      <w:bodyDiv w:val="1"/>
      <w:marLeft w:val="0"/>
      <w:marRight w:val="0"/>
      <w:marTop w:val="0"/>
      <w:marBottom w:val="0"/>
      <w:divBdr>
        <w:top w:val="none" w:sz="0" w:space="0" w:color="auto"/>
        <w:left w:val="none" w:sz="0" w:space="0" w:color="auto"/>
        <w:bottom w:val="none" w:sz="0" w:space="0" w:color="auto"/>
        <w:right w:val="none" w:sz="0" w:space="0" w:color="auto"/>
      </w:divBdr>
    </w:div>
    <w:div w:id="730268670">
      <w:bodyDiv w:val="1"/>
      <w:marLeft w:val="0"/>
      <w:marRight w:val="0"/>
      <w:marTop w:val="0"/>
      <w:marBottom w:val="0"/>
      <w:divBdr>
        <w:top w:val="none" w:sz="0" w:space="0" w:color="auto"/>
        <w:left w:val="none" w:sz="0" w:space="0" w:color="auto"/>
        <w:bottom w:val="none" w:sz="0" w:space="0" w:color="auto"/>
        <w:right w:val="none" w:sz="0" w:space="0" w:color="auto"/>
      </w:divBdr>
    </w:div>
    <w:div w:id="731587381">
      <w:bodyDiv w:val="1"/>
      <w:marLeft w:val="0"/>
      <w:marRight w:val="0"/>
      <w:marTop w:val="0"/>
      <w:marBottom w:val="0"/>
      <w:divBdr>
        <w:top w:val="none" w:sz="0" w:space="0" w:color="auto"/>
        <w:left w:val="none" w:sz="0" w:space="0" w:color="auto"/>
        <w:bottom w:val="none" w:sz="0" w:space="0" w:color="auto"/>
        <w:right w:val="none" w:sz="0" w:space="0" w:color="auto"/>
      </w:divBdr>
    </w:div>
    <w:div w:id="734863652">
      <w:bodyDiv w:val="1"/>
      <w:marLeft w:val="0"/>
      <w:marRight w:val="0"/>
      <w:marTop w:val="0"/>
      <w:marBottom w:val="0"/>
      <w:divBdr>
        <w:top w:val="none" w:sz="0" w:space="0" w:color="auto"/>
        <w:left w:val="none" w:sz="0" w:space="0" w:color="auto"/>
        <w:bottom w:val="none" w:sz="0" w:space="0" w:color="auto"/>
        <w:right w:val="none" w:sz="0" w:space="0" w:color="auto"/>
      </w:divBdr>
    </w:div>
    <w:div w:id="784889655">
      <w:bodyDiv w:val="1"/>
      <w:marLeft w:val="0"/>
      <w:marRight w:val="0"/>
      <w:marTop w:val="0"/>
      <w:marBottom w:val="0"/>
      <w:divBdr>
        <w:top w:val="none" w:sz="0" w:space="0" w:color="auto"/>
        <w:left w:val="none" w:sz="0" w:space="0" w:color="auto"/>
        <w:bottom w:val="none" w:sz="0" w:space="0" w:color="auto"/>
        <w:right w:val="none" w:sz="0" w:space="0" w:color="auto"/>
      </w:divBdr>
    </w:div>
    <w:div w:id="793133678">
      <w:bodyDiv w:val="1"/>
      <w:marLeft w:val="0"/>
      <w:marRight w:val="0"/>
      <w:marTop w:val="0"/>
      <w:marBottom w:val="0"/>
      <w:divBdr>
        <w:top w:val="none" w:sz="0" w:space="0" w:color="auto"/>
        <w:left w:val="none" w:sz="0" w:space="0" w:color="auto"/>
        <w:bottom w:val="none" w:sz="0" w:space="0" w:color="auto"/>
        <w:right w:val="none" w:sz="0" w:space="0" w:color="auto"/>
      </w:divBdr>
    </w:div>
    <w:div w:id="798493901">
      <w:bodyDiv w:val="1"/>
      <w:marLeft w:val="0"/>
      <w:marRight w:val="0"/>
      <w:marTop w:val="0"/>
      <w:marBottom w:val="0"/>
      <w:divBdr>
        <w:top w:val="none" w:sz="0" w:space="0" w:color="auto"/>
        <w:left w:val="none" w:sz="0" w:space="0" w:color="auto"/>
        <w:bottom w:val="none" w:sz="0" w:space="0" w:color="auto"/>
        <w:right w:val="none" w:sz="0" w:space="0" w:color="auto"/>
      </w:divBdr>
    </w:div>
    <w:div w:id="845631765">
      <w:bodyDiv w:val="1"/>
      <w:marLeft w:val="0"/>
      <w:marRight w:val="0"/>
      <w:marTop w:val="0"/>
      <w:marBottom w:val="0"/>
      <w:divBdr>
        <w:top w:val="none" w:sz="0" w:space="0" w:color="auto"/>
        <w:left w:val="none" w:sz="0" w:space="0" w:color="auto"/>
        <w:bottom w:val="none" w:sz="0" w:space="0" w:color="auto"/>
        <w:right w:val="none" w:sz="0" w:space="0" w:color="auto"/>
      </w:divBdr>
    </w:div>
    <w:div w:id="994996187">
      <w:bodyDiv w:val="1"/>
      <w:marLeft w:val="0"/>
      <w:marRight w:val="0"/>
      <w:marTop w:val="0"/>
      <w:marBottom w:val="0"/>
      <w:divBdr>
        <w:top w:val="none" w:sz="0" w:space="0" w:color="auto"/>
        <w:left w:val="none" w:sz="0" w:space="0" w:color="auto"/>
        <w:bottom w:val="none" w:sz="0" w:space="0" w:color="auto"/>
        <w:right w:val="none" w:sz="0" w:space="0" w:color="auto"/>
      </w:divBdr>
    </w:div>
    <w:div w:id="1050613015">
      <w:bodyDiv w:val="1"/>
      <w:marLeft w:val="0"/>
      <w:marRight w:val="0"/>
      <w:marTop w:val="0"/>
      <w:marBottom w:val="0"/>
      <w:divBdr>
        <w:top w:val="none" w:sz="0" w:space="0" w:color="auto"/>
        <w:left w:val="none" w:sz="0" w:space="0" w:color="auto"/>
        <w:bottom w:val="none" w:sz="0" w:space="0" w:color="auto"/>
        <w:right w:val="none" w:sz="0" w:space="0" w:color="auto"/>
      </w:divBdr>
    </w:div>
    <w:div w:id="1056004932">
      <w:bodyDiv w:val="1"/>
      <w:marLeft w:val="0"/>
      <w:marRight w:val="0"/>
      <w:marTop w:val="0"/>
      <w:marBottom w:val="0"/>
      <w:divBdr>
        <w:top w:val="none" w:sz="0" w:space="0" w:color="auto"/>
        <w:left w:val="none" w:sz="0" w:space="0" w:color="auto"/>
        <w:bottom w:val="none" w:sz="0" w:space="0" w:color="auto"/>
        <w:right w:val="none" w:sz="0" w:space="0" w:color="auto"/>
      </w:divBdr>
    </w:div>
    <w:div w:id="1065765805">
      <w:bodyDiv w:val="1"/>
      <w:marLeft w:val="0"/>
      <w:marRight w:val="0"/>
      <w:marTop w:val="0"/>
      <w:marBottom w:val="0"/>
      <w:divBdr>
        <w:top w:val="none" w:sz="0" w:space="0" w:color="auto"/>
        <w:left w:val="none" w:sz="0" w:space="0" w:color="auto"/>
        <w:bottom w:val="none" w:sz="0" w:space="0" w:color="auto"/>
        <w:right w:val="none" w:sz="0" w:space="0" w:color="auto"/>
      </w:divBdr>
    </w:div>
    <w:div w:id="1071539670">
      <w:bodyDiv w:val="1"/>
      <w:marLeft w:val="0"/>
      <w:marRight w:val="0"/>
      <w:marTop w:val="0"/>
      <w:marBottom w:val="0"/>
      <w:divBdr>
        <w:top w:val="none" w:sz="0" w:space="0" w:color="auto"/>
        <w:left w:val="none" w:sz="0" w:space="0" w:color="auto"/>
        <w:bottom w:val="none" w:sz="0" w:space="0" w:color="auto"/>
        <w:right w:val="none" w:sz="0" w:space="0" w:color="auto"/>
      </w:divBdr>
    </w:div>
    <w:div w:id="1134906069">
      <w:bodyDiv w:val="1"/>
      <w:marLeft w:val="0"/>
      <w:marRight w:val="0"/>
      <w:marTop w:val="0"/>
      <w:marBottom w:val="0"/>
      <w:divBdr>
        <w:top w:val="none" w:sz="0" w:space="0" w:color="auto"/>
        <w:left w:val="none" w:sz="0" w:space="0" w:color="auto"/>
        <w:bottom w:val="none" w:sz="0" w:space="0" w:color="auto"/>
        <w:right w:val="none" w:sz="0" w:space="0" w:color="auto"/>
      </w:divBdr>
    </w:div>
    <w:div w:id="1213424182">
      <w:bodyDiv w:val="1"/>
      <w:marLeft w:val="0"/>
      <w:marRight w:val="0"/>
      <w:marTop w:val="0"/>
      <w:marBottom w:val="0"/>
      <w:divBdr>
        <w:top w:val="none" w:sz="0" w:space="0" w:color="auto"/>
        <w:left w:val="none" w:sz="0" w:space="0" w:color="auto"/>
        <w:bottom w:val="none" w:sz="0" w:space="0" w:color="auto"/>
        <w:right w:val="none" w:sz="0" w:space="0" w:color="auto"/>
      </w:divBdr>
    </w:div>
    <w:div w:id="1214195624">
      <w:bodyDiv w:val="1"/>
      <w:marLeft w:val="0"/>
      <w:marRight w:val="0"/>
      <w:marTop w:val="0"/>
      <w:marBottom w:val="0"/>
      <w:divBdr>
        <w:top w:val="none" w:sz="0" w:space="0" w:color="auto"/>
        <w:left w:val="none" w:sz="0" w:space="0" w:color="auto"/>
        <w:bottom w:val="none" w:sz="0" w:space="0" w:color="auto"/>
        <w:right w:val="none" w:sz="0" w:space="0" w:color="auto"/>
      </w:divBdr>
    </w:div>
    <w:div w:id="1223834387">
      <w:bodyDiv w:val="1"/>
      <w:marLeft w:val="0"/>
      <w:marRight w:val="0"/>
      <w:marTop w:val="0"/>
      <w:marBottom w:val="0"/>
      <w:divBdr>
        <w:top w:val="none" w:sz="0" w:space="0" w:color="auto"/>
        <w:left w:val="none" w:sz="0" w:space="0" w:color="auto"/>
        <w:bottom w:val="none" w:sz="0" w:space="0" w:color="auto"/>
        <w:right w:val="none" w:sz="0" w:space="0" w:color="auto"/>
      </w:divBdr>
    </w:div>
    <w:div w:id="1230386731">
      <w:bodyDiv w:val="1"/>
      <w:marLeft w:val="0"/>
      <w:marRight w:val="0"/>
      <w:marTop w:val="0"/>
      <w:marBottom w:val="0"/>
      <w:divBdr>
        <w:top w:val="none" w:sz="0" w:space="0" w:color="auto"/>
        <w:left w:val="none" w:sz="0" w:space="0" w:color="auto"/>
        <w:bottom w:val="none" w:sz="0" w:space="0" w:color="auto"/>
        <w:right w:val="none" w:sz="0" w:space="0" w:color="auto"/>
      </w:divBdr>
    </w:div>
    <w:div w:id="1256592676">
      <w:bodyDiv w:val="1"/>
      <w:marLeft w:val="0"/>
      <w:marRight w:val="0"/>
      <w:marTop w:val="0"/>
      <w:marBottom w:val="0"/>
      <w:divBdr>
        <w:top w:val="none" w:sz="0" w:space="0" w:color="auto"/>
        <w:left w:val="none" w:sz="0" w:space="0" w:color="auto"/>
        <w:bottom w:val="none" w:sz="0" w:space="0" w:color="auto"/>
        <w:right w:val="none" w:sz="0" w:space="0" w:color="auto"/>
      </w:divBdr>
    </w:div>
    <w:div w:id="1320228409">
      <w:bodyDiv w:val="1"/>
      <w:marLeft w:val="0"/>
      <w:marRight w:val="0"/>
      <w:marTop w:val="0"/>
      <w:marBottom w:val="0"/>
      <w:divBdr>
        <w:top w:val="none" w:sz="0" w:space="0" w:color="auto"/>
        <w:left w:val="none" w:sz="0" w:space="0" w:color="auto"/>
        <w:bottom w:val="none" w:sz="0" w:space="0" w:color="auto"/>
        <w:right w:val="none" w:sz="0" w:space="0" w:color="auto"/>
      </w:divBdr>
    </w:div>
    <w:div w:id="1388648775">
      <w:bodyDiv w:val="1"/>
      <w:marLeft w:val="0"/>
      <w:marRight w:val="0"/>
      <w:marTop w:val="0"/>
      <w:marBottom w:val="0"/>
      <w:divBdr>
        <w:top w:val="none" w:sz="0" w:space="0" w:color="auto"/>
        <w:left w:val="none" w:sz="0" w:space="0" w:color="auto"/>
        <w:bottom w:val="none" w:sz="0" w:space="0" w:color="auto"/>
        <w:right w:val="none" w:sz="0" w:space="0" w:color="auto"/>
      </w:divBdr>
    </w:div>
    <w:div w:id="1426607365">
      <w:bodyDiv w:val="1"/>
      <w:marLeft w:val="0"/>
      <w:marRight w:val="0"/>
      <w:marTop w:val="0"/>
      <w:marBottom w:val="0"/>
      <w:divBdr>
        <w:top w:val="none" w:sz="0" w:space="0" w:color="auto"/>
        <w:left w:val="none" w:sz="0" w:space="0" w:color="auto"/>
        <w:bottom w:val="none" w:sz="0" w:space="0" w:color="auto"/>
        <w:right w:val="none" w:sz="0" w:space="0" w:color="auto"/>
      </w:divBdr>
    </w:div>
    <w:div w:id="1427266670">
      <w:marLeft w:val="0"/>
      <w:marRight w:val="0"/>
      <w:marTop w:val="0"/>
      <w:marBottom w:val="0"/>
      <w:divBdr>
        <w:top w:val="none" w:sz="0" w:space="0" w:color="auto"/>
        <w:left w:val="none" w:sz="0" w:space="0" w:color="auto"/>
        <w:bottom w:val="none" w:sz="0" w:space="0" w:color="auto"/>
        <w:right w:val="none" w:sz="0" w:space="0" w:color="auto"/>
      </w:divBdr>
    </w:div>
    <w:div w:id="1427266671">
      <w:marLeft w:val="0"/>
      <w:marRight w:val="0"/>
      <w:marTop w:val="0"/>
      <w:marBottom w:val="0"/>
      <w:divBdr>
        <w:top w:val="none" w:sz="0" w:space="0" w:color="auto"/>
        <w:left w:val="none" w:sz="0" w:space="0" w:color="auto"/>
        <w:bottom w:val="none" w:sz="0" w:space="0" w:color="auto"/>
        <w:right w:val="none" w:sz="0" w:space="0" w:color="auto"/>
      </w:divBdr>
    </w:div>
    <w:div w:id="1427266672">
      <w:marLeft w:val="0"/>
      <w:marRight w:val="0"/>
      <w:marTop w:val="0"/>
      <w:marBottom w:val="0"/>
      <w:divBdr>
        <w:top w:val="none" w:sz="0" w:space="0" w:color="auto"/>
        <w:left w:val="none" w:sz="0" w:space="0" w:color="auto"/>
        <w:bottom w:val="none" w:sz="0" w:space="0" w:color="auto"/>
        <w:right w:val="none" w:sz="0" w:space="0" w:color="auto"/>
      </w:divBdr>
    </w:div>
    <w:div w:id="1427266673">
      <w:marLeft w:val="0"/>
      <w:marRight w:val="0"/>
      <w:marTop w:val="0"/>
      <w:marBottom w:val="0"/>
      <w:divBdr>
        <w:top w:val="none" w:sz="0" w:space="0" w:color="auto"/>
        <w:left w:val="none" w:sz="0" w:space="0" w:color="auto"/>
        <w:bottom w:val="none" w:sz="0" w:space="0" w:color="auto"/>
        <w:right w:val="none" w:sz="0" w:space="0" w:color="auto"/>
      </w:divBdr>
    </w:div>
    <w:div w:id="1427266674">
      <w:marLeft w:val="0"/>
      <w:marRight w:val="0"/>
      <w:marTop w:val="0"/>
      <w:marBottom w:val="0"/>
      <w:divBdr>
        <w:top w:val="none" w:sz="0" w:space="0" w:color="auto"/>
        <w:left w:val="none" w:sz="0" w:space="0" w:color="auto"/>
        <w:bottom w:val="none" w:sz="0" w:space="0" w:color="auto"/>
        <w:right w:val="none" w:sz="0" w:space="0" w:color="auto"/>
      </w:divBdr>
    </w:div>
    <w:div w:id="1427266675">
      <w:marLeft w:val="0"/>
      <w:marRight w:val="0"/>
      <w:marTop w:val="0"/>
      <w:marBottom w:val="0"/>
      <w:divBdr>
        <w:top w:val="none" w:sz="0" w:space="0" w:color="auto"/>
        <w:left w:val="none" w:sz="0" w:space="0" w:color="auto"/>
        <w:bottom w:val="none" w:sz="0" w:space="0" w:color="auto"/>
        <w:right w:val="none" w:sz="0" w:space="0" w:color="auto"/>
      </w:divBdr>
    </w:div>
    <w:div w:id="1427266676">
      <w:marLeft w:val="0"/>
      <w:marRight w:val="0"/>
      <w:marTop w:val="0"/>
      <w:marBottom w:val="0"/>
      <w:divBdr>
        <w:top w:val="none" w:sz="0" w:space="0" w:color="auto"/>
        <w:left w:val="none" w:sz="0" w:space="0" w:color="auto"/>
        <w:bottom w:val="none" w:sz="0" w:space="0" w:color="auto"/>
        <w:right w:val="none" w:sz="0" w:space="0" w:color="auto"/>
      </w:divBdr>
    </w:div>
    <w:div w:id="1427266677">
      <w:marLeft w:val="0"/>
      <w:marRight w:val="0"/>
      <w:marTop w:val="0"/>
      <w:marBottom w:val="0"/>
      <w:divBdr>
        <w:top w:val="none" w:sz="0" w:space="0" w:color="auto"/>
        <w:left w:val="none" w:sz="0" w:space="0" w:color="auto"/>
        <w:bottom w:val="none" w:sz="0" w:space="0" w:color="auto"/>
        <w:right w:val="none" w:sz="0" w:space="0" w:color="auto"/>
      </w:divBdr>
    </w:div>
    <w:div w:id="1427266678">
      <w:marLeft w:val="0"/>
      <w:marRight w:val="0"/>
      <w:marTop w:val="0"/>
      <w:marBottom w:val="0"/>
      <w:divBdr>
        <w:top w:val="none" w:sz="0" w:space="0" w:color="auto"/>
        <w:left w:val="none" w:sz="0" w:space="0" w:color="auto"/>
        <w:bottom w:val="none" w:sz="0" w:space="0" w:color="auto"/>
        <w:right w:val="none" w:sz="0" w:space="0" w:color="auto"/>
      </w:divBdr>
    </w:div>
    <w:div w:id="1427266679">
      <w:marLeft w:val="0"/>
      <w:marRight w:val="0"/>
      <w:marTop w:val="0"/>
      <w:marBottom w:val="0"/>
      <w:divBdr>
        <w:top w:val="none" w:sz="0" w:space="0" w:color="auto"/>
        <w:left w:val="none" w:sz="0" w:space="0" w:color="auto"/>
        <w:bottom w:val="none" w:sz="0" w:space="0" w:color="auto"/>
        <w:right w:val="none" w:sz="0" w:space="0" w:color="auto"/>
      </w:divBdr>
    </w:div>
    <w:div w:id="1427266680">
      <w:marLeft w:val="0"/>
      <w:marRight w:val="0"/>
      <w:marTop w:val="0"/>
      <w:marBottom w:val="0"/>
      <w:divBdr>
        <w:top w:val="none" w:sz="0" w:space="0" w:color="auto"/>
        <w:left w:val="none" w:sz="0" w:space="0" w:color="auto"/>
        <w:bottom w:val="none" w:sz="0" w:space="0" w:color="auto"/>
        <w:right w:val="none" w:sz="0" w:space="0" w:color="auto"/>
      </w:divBdr>
    </w:div>
    <w:div w:id="1427266681">
      <w:marLeft w:val="0"/>
      <w:marRight w:val="0"/>
      <w:marTop w:val="0"/>
      <w:marBottom w:val="0"/>
      <w:divBdr>
        <w:top w:val="none" w:sz="0" w:space="0" w:color="auto"/>
        <w:left w:val="none" w:sz="0" w:space="0" w:color="auto"/>
        <w:bottom w:val="none" w:sz="0" w:space="0" w:color="auto"/>
        <w:right w:val="none" w:sz="0" w:space="0" w:color="auto"/>
      </w:divBdr>
    </w:div>
    <w:div w:id="1427266682">
      <w:marLeft w:val="0"/>
      <w:marRight w:val="0"/>
      <w:marTop w:val="0"/>
      <w:marBottom w:val="0"/>
      <w:divBdr>
        <w:top w:val="none" w:sz="0" w:space="0" w:color="auto"/>
        <w:left w:val="none" w:sz="0" w:space="0" w:color="auto"/>
        <w:bottom w:val="none" w:sz="0" w:space="0" w:color="auto"/>
        <w:right w:val="none" w:sz="0" w:space="0" w:color="auto"/>
      </w:divBdr>
    </w:div>
    <w:div w:id="1427266683">
      <w:marLeft w:val="0"/>
      <w:marRight w:val="0"/>
      <w:marTop w:val="0"/>
      <w:marBottom w:val="0"/>
      <w:divBdr>
        <w:top w:val="none" w:sz="0" w:space="0" w:color="auto"/>
        <w:left w:val="none" w:sz="0" w:space="0" w:color="auto"/>
        <w:bottom w:val="none" w:sz="0" w:space="0" w:color="auto"/>
        <w:right w:val="none" w:sz="0" w:space="0" w:color="auto"/>
      </w:divBdr>
    </w:div>
    <w:div w:id="1427266684">
      <w:marLeft w:val="0"/>
      <w:marRight w:val="0"/>
      <w:marTop w:val="0"/>
      <w:marBottom w:val="0"/>
      <w:divBdr>
        <w:top w:val="none" w:sz="0" w:space="0" w:color="auto"/>
        <w:left w:val="none" w:sz="0" w:space="0" w:color="auto"/>
        <w:bottom w:val="none" w:sz="0" w:space="0" w:color="auto"/>
        <w:right w:val="none" w:sz="0" w:space="0" w:color="auto"/>
      </w:divBdr>
    </w:div>
    <w:div w:id="1427266685">
      <w:marLeft w:val="0"/>
      <w:marRight w:val="0"/>
      <w:marTop w:val="0"/>
      <w:marBottom w:val="0"/>
      <w:divBdr>
        <w:top w:val="none" w:sz="0" w:space="0" w:color="auto"/>
        <w:left w:val="none" w:sz="0" w:space="0" w:color="auto"/>
        <w:bottom w:val="none" w:sz="0" w:space="0" w:color="auto"/>
        <w:right w:val="none" w:sz="0" w:space="0" w:color="auto"/>
      </w:divBdr>
    </w:div>
    <w:div w:id="1427266686">
      <w:marLeft w:val="0"/>
      <w:marRight w:val="0"/>
      <w:marTop w:val="0"/>
      <w:marBottom w:val="0"/>
      <w:divBdr>
        <w:top w:val="none" w:sz="0" w:space="0" w:color="auto"/>
        <w:left w:val="none" w:sz="0" w:space="0" w:color="auto"/>
        <w:bottom w:val="none" w:sz="0" w:space="0" w:color="auto"/>
        <w:right w:val="none" w:sz="0" w:space="0" w:color="auto"/>
      </w:divBdr>
    </w:div>
    <w:div w:id="1433697640">
      <w:bodyDiv w:val="1"/>
      <w:marLeft w:val="0"/>
      <w:marRight w:val="0"/>
      <w:marTop w:val="0"/>
      <w:marBottom w:val="0"/>
      <w:divBdr>
        <w:top w:val="none" w:sz="0" w:space="0" w:color="auto"/>
        <w:left w:val="none" w:sz="0" w:space="0" w:color="auto"/>
        <w:bottom w:val="none" w:sz="0" w:space="0" w:color="auto"/>
        <w:right w:val="none" w:sz="0" w:space="0" w:color="auto"/>
      </w:divBdr>
    </w:div>
    <w:div w:id="1462579952">
      <w:bodyDiv w:val="1"/>
      <w:marLeft w:val="0"/>
      <w:marRight w:val="0"/>
      <w:marTop w:val="0"/>
      <w:marBottom w:val="0"/>
      <w:divBdr>
        <w:top w:val="none" w:sz="0" w:space="0" w:color="auto"/>
        <w:left w:val="none" w:sz="0" w:space="0" w:color="auto"/>
        <w:bottom w:val="none" w:sz="0" w:space="0" w:color="auto"/>
        <w:right w:val="none" w:sz="0" w:space="0" w:color="auto"/>
      </w:divBdr>
    </w:div>
    <w:div w:id="1503666146">
      <w:bodyDiv w:val="1"/>
      <w:marLeft w:val="0"/>
      <w:marRight w:val="0"/>
      <w:marTop w:val="0"/>
      <w:marBottom w:val="0"/>
      <w:divBdr>
        <w:top w:val="none" w:sz="0" w:space="0" w:color="auto"/>
        <w:left w:val="none" w:sz="0" w:space="0" w:color="auto"/>
        <w:bottom w:val="none" w:sz="0" w:space="0" w:color="auto"/>
        <w:right w:val="none" w:sz="0" w:space="0" w:color="auto"/>
      </w:divBdr>
    </w:div>
    <w:div w:id="1582250281">
      <w:bodyDiv w:val="1"/>
      <w:marLeft w:val="0"/>
      <w:marRight w:val="0"/>
      <w:marTop w:val="0"/>
      <w:marBottom w:val="0"/>
      <w:divBdr>
        <w:top w:val="none" w:sz="0" w:space="0" w:color="auto"/>
        <w:left w:val="none" w:sz="0" w:space="0" w:color="auto"/>
        <w:bottom w:val="none" w:sz="0" w:space="0" w:color="auto"/>
        <w:right w:val="none" w:sz="0" w:space="0" w:color="auto"/>
      </w:divBdr>
    </w:div>
    <w:div w:id="1607732297">
      <w:bodyDiv w:val="1"/>
      <w:marLeft w:val="0"/>
      <w:marRight w:val="0"/>
      <w:marTop w:val="0"/>
      <w:marBottom w:val="0"/>
      <w:divBdr>
        <w:top w:val="none" w:sz="0" w:space="0" w:color="auto"/>
        <w:left w:val="none" w:sz="0" w:space="0" w:color="auto"/>
        <w:bottom w:val="none" w:sz="0" w:space="0" w:color="auto"/>
        <w:right w:val="none" w:sz="0" w:space="0" w:color="auto"/>
      </w:divBdr>
    </w:div>
    <w:div w:id="1637635904">
      <w:bodyDiv w:val="1"/>
      <w:marLeft w:val="0"/>
      <w:marRight w:val="0"/>
      <w:marTop w:val="0"/>
      <w:marBottom w:val="0"/>
      <w:divBdr>
        <w:top w:val="none" w:sz="0" w:space="0" w:color="auto"/>
        <w:left w:val="none" w:sz="0" w:space="0" w:color="auto"/>
        <w:bottom w:val="none" w:sz="0" w:space="0" w:color="auto"/>
        <w:right w:val="none" w:sz="0" w:space="0" w:color="auto"/>
      </w:divBdr>
    </w:div>
    <w:div w:id="1659336644">
      <w:bodyDiv w:val="1"/>
      <w:marLeft w:val="0"/>
      <w:marRight w:val="0"/>
      <w:marTop w:val="0"/>
      <w:marBottom w:val="0"/>
      <w:divBdr>
        <w:top w:val="none" w:sz="0" w:space="0" w:color="auto"/>
        <w:left w:val="none" w:sz="0" w:space="0" w:color="auto"/>
        <w:bottom w:val="none" w:sz="0" w:space="0" w:color="auto"/>
        <w:right w:val="none" w:sz="0" w:space="0" w:color="auto"/>
      </w:divBdr>
    </w:div>
    <w:div w:id="1723093597">
      <w:bodyDiv w:val="1"/>
      <w:marLeft w:val="0"/>
      <w:marRight w:val="0"/>
      <w:marTop w:val="0"/>
      <w:marBottom w:val="0"/>
      <w:divBdr>
        <w:top w:val="none" w:sz="0" w:space="0" w:color="auto"/>
        <w:left w:val="none" w:sz="0" w:space="0" w:color="auto"/>
        <w:bottom w:val="none" w:sz="0" w:space="0" w:color="auto"/>
        <w:right w:val="none" w:sz="0" w:space="0" w:color="auto"/>
      </w:divBdr>
    </w:div>
    <w:div w:id="1804733528">
      <w:bodyDiv w:val="1"/>
      <w:marLeft w:val="0"/>
      <w:marRight w:val="0"/>
      <w:marTop w:val="0"/>
      <w:marBottom w:val="0"/>
      <w:divBdr>
        <w:top w:val="none" w:sz="0" w:space="0" w:color="auto"/>
        <w:left w:val="none" w:sz="0" w:space="0" w:color="auto"/>
        <w:bottom w:val="none" w:sz="0" w:space="0" w:color="auto"/>
        <w:right w:val="none" w:sz="0" w:space="0" w:color="auto"/>
      </w:divBdr>
    </w:div>
    <w:div w:id="1815295767">
      <w:bodyDiv w:val="1"/>
      <w:marLeft w:val="0"/>
      <w:marRight w:val="0"/>
      <w:marTop w:val="0"/>
      <w:marBottom w:val="0"/>
      <w:divBdr>
        <w:top w:val="none" w:sz="0" w:space="0" w:color="auto"/>
        <w:left w:val="none" w:sz="0" w:space="0" w:color="auto"/>
        <w:bottom w:val="none" w:sz="0" w:space="0" w:color="auto"/>
        <w:right w:val="none" w:sz="0" w:space="0" w:color="auto"/>
      </w:divBdr>
    </w:div>
    <w:div w:id="1829787305">
      <w:bodyDiv w:val="1"/>
      <w:marLeft w:val="0"/>
      <w:marRight w:val="0"/>
      <w:marTop w:val="0"/>
      <w:marBottom w:val="0"/>
      <w:divBdr>
        <w:top w:val="none" w:sz="0" w:space="0" w:color="auto"/>
        <w:left w:val="none" w:sz="0" w:space="0" w:color="auto"/>
        <w:bottom w:val="none" w:sz="0" w:space="0" w:color="auto"/>
        <w:right w:val="none" w:sz="0" w:space="0" w:color="auto"/>
      </w:divBdr>
    </w:div>
    <w:div w:id="1832063616">
      <w:bodyDiv w:val="1"/>
      <w:marLeft w:val="0"/>
      <w:marRight w:val="0"/>
      <w:marTop w:val="0"/>
      <w:marBottom w:val="0"/>
      <w:divBdr>
        <w:top w:val="none" w:sz="0" w:space="0" w:color="auto"/>
        <w:left w:val="none" w:sz="0" w:space="0" w:color="auto"/>
        <w:bottom w:val="none" w:sz="0" w:space="0" w:color="auto"/>
        <w:right w:val="none" w:sz="0" w:space="0" w:color="auto"/>
      </w:divBdr>
    </w:div>
    <w:div w:id="1849519942">
      <w:bodyDiv w:val="1"/>
      <w:marLeft w:val="0"/>
      <w:marRight w:val="0"/>
      <w:marTop w:val="0"/>
      <w:marBottom w:val="0"/>
      <w:divBdr>
        <w:top w:val="none" w:sz="0" w:space="0" w:color="auto"/>
        <w:left w:val="none" w:sz="0" w:space="0" w:color="auto"/>
        <w:bottom w:val="none" w:sz="0" w:space="0" w:color="auto"/>
        <w:right w:val="none" w:sz="0" w:space="0" w:color="auto"/>
      </w:divBdr>
    </w:div>
    <w:div w:id="1859156358">
      <w:bodyDiv w:val="1"/>
      <w:marLeft w:val="0"/>
      <w:marRight w:val="0"/>
      <w:marTop w:val="0"/>
      <w:marBottom w:val="0"/>
      <w:divBdr>
        <w:top w:val="none" w:sz="0" w:space="0" w:color="auto"/>
        <w:left w:val="none" w:sz="0" w:space="0" w:color="auto"/>
        <w:bottom w:val="none" w:sz="0" w:space="0" w:color="auto"/>
        <w:right w:val="none" w:sz="0" w:space="0" w:color="auto"/>
      </w:divBdr>
    </w:div>
    <w:div w:id="1901751082">
      <w:bodyDiv w:val="1"/>
      <w:marLeft w:val="0"/>
      <w:marRight w:val="0"/>
      <w:marTop w:val="0"/>
      <w:marBottom w:val="0"/>
      <w:divBdr>
        <w:top w:val="none" w:sz="0" w:space="0" w:color="auto"/>
        <w:left w:val="none" w:sz="0" w:space="0" w:color="auto"/>
        <w:bottom w:val="none" w:sz="0" w:space="0" w:color="auto"/>
        <w:right w:val="none" w:sz="0" w:space="0" w:color="auto"/>
      </w:divBdr>
    </w:div>
    <w:div w:id="1943880326">
      <w:bodyDiv w:val="1"/>
      <w:marLeft w:val="0"/>
      <w:marRight w:val="0"/>
      <w:marTop w:val="0"/>
      <w:marBottom w:val="0"/>
      <w:divBdr>
        <w:top w:val="none" w:sz="0" w:space="0" w:color="auto"/>
        <w:left w:val="none" w:sz="0" w:space="0" w:color="auto"/>
        <w:bottom w:val="none" w:sz="0" w:space="0" w:color="auto"/>
        <w:right w:val="none" w:sz="0" w:space="0" w:color="auto"/>
      </w:divBdr>
    </w:div>
    <w:div w:id="1998651408">
      <w:bodyDiv w:val="1"/>
      <w:marLeft w:val="0"/>
      <w:marRight w:val="0"/>
      <w:marTop w:val="0"/>
      <w:marBottom w:val="0"/>
      <w:divBdr>
        <w:top w:val="none" w:sz="0" w:space="0" w:color="auto"/>
        <w:left w:val="none" w:sz="0" w:space="0" w:color="auto"/>
        <w:bottom w:val="none" w:sz="0" w:space="0" w:color="auto"/>
        <w:right w:val="none" w:sz="0" w:space="0" w:color="auto"/>
      </w:divBdr>
    </w:div>
    <w:div w:id="2019651181">
      <w:bodyDiv w:val="1"/>
      <w:marLeft w:val="0"/>
      <w:marRight w:val="0"/>
      <w:marTop w:val="0"/>
      <w:marBottom w:val="0"/>
      <w:divBdr>
        <w:top w:val="none" w:sz="0" w:space="0" w:color="auto"/>
        <w:left w:val="none" w:sz="0" w:space="0" w:color="auto"/>
        <w:bottom w:val="none" w:sz="0" w:space="0" w:color="auto"/>
        <w:right w:val="none" w:sz="0" w:space="0" w:color="auto"/>
      </w:divBdr>
    </w:div>
    <w:div w:id="2054455010">
      <w:bodyDiv w:val="1"/>
      <w:marLeft w:val="0"/>
      <w:marRight w:val="0"/>
      <w:marTop w:val="0"/>
      <w:marBottom w:val="0"/>
      <w:divBdr>
        <w:top w:val="none" w:sz="0" w:space="0" w:color="auto"/>
        <w:left w:val="none" w:sz="0" w:space="0" w:color="auto"/>
        <w:bottom w:val="none" w:sz="0" w:space="0" w:color="auto"/>
        <w:right w:val="none" w:sz="0" w:space="0" w:color="auto"/>
      </w:divBdr>
    </w:div>
    <w:div w:id="2147355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1.emf"/><Relationship Id="rId26" Type="http://schemas.openxmlformats.org/officeDocument/2006/relationships/image" Target="media/image9.emf"/><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4.emf"/><Relationship Id="rId34"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hart" Target="charts/chart1.xml"/><Relationship Id="rId25" Type="http://schemas.openxmlformats.org/officeDocument/2006/relationships/image" Target="media/image8.emf"/><Relationship Id="rId33" Type="http://schemas.openxmlformats.org/officeDocument/2006/relationships/footer" Target="footer5.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3.emf"/><Relationship Id="rId29"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7.emf"/><Relationship Id="rId32" Type="http://schemas.openxmlformats.org/officeDocument/2006/relationships/header" Target="header5.xml"/><Relationship Id="rId37" Type="http://schemas.openxmlformats.org/officeDocument/2006/relationships/image" Target="media/image14.emf"/><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image" Target="media/image6.emf"/><Relationship Id="rId28" Type="http://schemas.openxmlformats.org/officeDocument/2006/relationships/image" Target="media/image11.emf"/><Relationship Id="rId36" Type="http://schemas.openxmlformats.org/officeDocument/2006/relationships/image" Target="media/image13.emf"/><Relationship Id="rId10" Type="http://schemas.openxmlformats.org/officeDocument/2006/relationships/header" Target="header2.xml"/><Relationship Id="rId19" Type="http://schemas.openxmlformats.org/officeDocument/2006/relationships/image" Target="media/image2.emf"/><Relationship Id="rId31" Type="http://schemas.openxmlformats.org/officeDocument/2006/relationships/image" Target="media/image12.e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5.emf"/><Relationship Id="rId27" Type="http://schemas.openxmlformats.org/officeDocument/2006/relationships/image" Target="media/image10.emf"/><Relationship Id="rId30" Type="http://schemas.openxmlformats.org/officeDocument/2006/relationships/chart" Target="charts/chart3.xml"/><Relationship Id="rId35" Type="http://schemas.openxmlformats.org/officeDocument/2006/relationships/footer" Target="footer6.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6152064702319458E-2"/>
          <c:y val="0.14886082635896927"/>
          <c:w val="0.85681531889961715"/>
          <c:h val="0.59761666584129802"/>
        </c:manualLayout>
      </c:layout>
      <c:barChart>
        <c:barDir val="col"/>
        <c:grouping val="clustered"/>
        <c:varyColors val="0"/>
        <c:ser>
          <c:idx val="0"/>
          <c:order val="0"/>
          <c:tx>
            <c:strRef>
              <c:f>List1!$A$6</c:f>
              <c:strCache>
                <c:ptCount val="1"/>
                <c:pt idx="0">
                  <c:v>Stav státního dluhu</c:v>
                </c:pt>
              </c:strCache>
            </c:strRef>
          </c:tx>
          <c:spPr>
            <a:solidFill>
              <a:srgbClr val="205D7E"/>
            </a:solidFill>
            <a:ln w="18962">
              <a:noFill/>
            </a:ln>
          </c:spPr>
          <c:invertIfNegative val="0"/>
          <c:dLbls>
            <c:spPr>
              <a:solidFill>
                <a:sysClr val="window" lastClr="FFFFFF"/>
              </a:solidFill>
              <a:ln w="18963">
                <a:solidFill>
                  <a:sysClr val="window" lastClr="FFFFFF">
                    <a:lumMod val="75000"/>
                  </a:sysClr>
                </a:solidFill>
              </a:ln>
            </c:spPr>
            <c:dLblPos val="outEnd"/>
            <c:showLegendKey val="0"/>
            <c:showVal val="1"/>
            <c:showCatName val="0"/>
            <c:showSerName val="0"/>
            <c:showPercent val="0"/>
            <c:showBubbleSize val="0"/>
            <c:showLeaderLines val="0"/>
          </c:dLbls>
          <c:cat>
            <c:numRef>
              <c:f>List1!$B$5:$K$5</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List1!$B$6:$K$6</c:f>
              <c:numCache>
                <c:formatCode>#,##0.0</c:formatCode>
                <c:ptCount val="10"/>
                <c:pt idx="0">
                  <c:v>999.80804870050008</c:v>
                </c:pt>
                <c:pt idx="1">
                  <c:v>1178.24353859443</c:v>
                </c:pt>
                <c:pt idx="2">
                  <c:v>1344.1</c:v>
                </c:pt>
                <c:pt idx="3">
                  <c:v>1499.37387641436</c:v>
                </c:pt>
                <c:pt idx="4">
                  <c:v>1667.6327527856301</c:v>
                </c:pt>
                <c:pt idx="5">
                  <c:v>1683.3381832575001</c:v>
                </c:pt>
                <c:pt idx="6">
                  <c:v>1663.6633737924299</c:v>
                </c:pt>
                <c:pt idx="7">
                  <c:v>1672.9768185652399</c:v>
                </c:pt>
                <c:pt idx="8">
                  <c:v>1613.37443707496</c:v>
                </c:pt>
                <c:pt idx="9">
                  <c:v>1624.7161818627801</c:v>
                </c:pt>
              </c:numCache>
            </c:numRef>
          </c:val>
        </c:ser>
        <c:dLbls>
          <c:showLegendKey val="0"/>
          <c:showVal val="0"/>
          <c:showCatName val="0"/>
          <c:showSerName val="0"/>
          <c:showPercent val="0"/>
          <c:showBubbleSize val="0"/>
        </c:dLbls>
        <c:gapWidth val="148"/>
        <c:axId val="207946880"/>
        <c:axId val="207948416"/>
      </c:barChart>
      <c:lineChart>
        <c:grouping val="standard"/>
        <c:varyColors val="0"/>
        <c:ser>
          <c:idx val="2"/>
          <c:order val="1"/>
          <c:tx>
            <c:strRef>
              <c:f>List1!$A$7</c:f>
              <c:strCache>
                <c:ptCount val="1"/>
                <c:pt idx="0">
                  <c:v>Podíl státního dluhu na HDP (pravá osa)</c:v>
                </c:pt>
              </c:strCache>
            </c:strRef>
          </c:tx>
          <c:spPr>
            <a:ln w="9481">
              <a:solidFill>
                <a:srgbClr val="4EBCC2"/>
              </a:solidFill>
              <a:prstDash val="solid"/>
            </a:ln>
          </c:spPr>
          <c:marker>
            <c:symbol val="diamond"/>
            <c:size val="5"/>
            <c:spPr>
              <a:solidFill>
                <a:srgbClr val="4EBCC2"/>
              </a:solidFill>
              <a:ln>
                <a:solidFill>
                  <a:srgbClr val="4EBCC2"/>
                </a:solidFill>
                <a:prstDash val="solid"/>
              </a:ln>
            </c:spPr>
          </c:marker>
          <c:dLbls>
            <c:spPr>
              <a:solidFill>
                <a:sysClr val="window" lastClr="FFFFFF"/>
              </a:solidFill>
              <a:ln w="18963">
                <a:solidFill>
                  <a:sysClr val="window" lastClr="FFFFFF">
                    <a:lumMod val="75000"/>
                  </a:sysClr>
                </a:solidFill>
              </a:ln>
            </c:spPr>
            <c:dLblPos val="b"/>
            <c:showLegendKey val="0"/>
            <c:showVal val="1"/>
            <c:showCatName val="0"/>
            <c:showSerName val="0"/>
            <c:showPercent val="0"/>
            <c:showBubbleSize val="0"/>
            <c:showLeaderLines val="0"/>
          </c:dLbls>
          <c:cat>
            <c:numRef>
              <c:f>List1!$B$5:$K$5</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List1!$B$7:$K$7</c:f>
              <c:numCache>
                <c:formatCode>0.0</c:formatCode>
                <c:ptCount val="10"/>
                <c:pt idx="0">
                  <c:v>24.845402077039509</c:v>
                </c:pt>
                <c:pt idx="1">
                  <c:v>29.977631808659861</c:v>
                </c:pt>
                <c:pt idx="2">
                  <c:v>33.920812908331783</c:v>
                </c:pt>
                <c:pt idx="3">
                  <c:v>37.170672894470783</c:v>
                </c:pt>
                <c:pt idx="4">
                  <c:v>41.075588652799127</c:v>
                </c:pt>
                <c:pt idx="5">
                  <c:v>41.075783461558551</c:v>
                </c:pt>
                <c:pt idx="6">
                  <c:v>38.566174047743871</c:v>
                </c:pt>
                <c:pt idx="7">
                  <c:v>36.402432807755282</c:v>
                </c:pt>
                <c:pt idx="8">
                  <c:v>33.800404695237617</c:v>
                </c:pt>
                <c:pt idx="9">
                  <c:v>32.218072992191352</c:v>
                </c:pt>
              </c:numCache>
            </c:numRef>
          </c:val>
          <c:smooth val="0"/>
        </c:ser>
        <c:dLbls>
          <c:showLegendKey val="0"/>
          <c:showVal val="0"/>
          <c:showCatName val="0"/>
          <c:showSerName val="0"/>
          <c:showPercent val="0"/>
          <c:showBubbleSize val="0"/>
        </c:dLbls>
        <c:marker val="1"/>
        <c:smooth val="0"/>
        <c:axId val="207966976"/>
        <c:axId val="207968512"/>
      </c:lineChart>
      <c:catAx>
        <c:axId val="207946880"/>
        <c:scaling>
          <c:orientation val="minMax"/>
        </c:scaling>
        <c:delete val="0"/>
        <c:axPos val="b"/>
        <c:numFmt formatCode="General" sourceLinked="1"/>
        <c:majorTickMark val="out"/>
        <c:minorTickMark val="none"/>
        <c:tickLblPos val="nextTo"/>
        <c:txPr>
          <a:bodyPr rot="-2700000" vert="horz"/>
          <a:lstStyle/>
          <a:p>
            <a:pPr>
              <a:defRPr/>
            </a:pPr>
            <a:endParaRPr lang="cs-CZ"/>
          </a:p>
        </c:txPr>
        <c:crossAx val="207948416"/>
        <c:crossesAt val="0"/>
        <c:auto val="0"/>
        <c:lblAlgn val="ctr"/>
        <c:lblOffset val="100"/>
        <c:tickLblSkip val="1"/>
        <c:tickMarkSkip val="1"/>
        <c:noMultiLvlLbl val="0"/>
      </c:catAx>
      <c:valAx>
        <c:axId val="207948416"/>
        <c:scaling>
          <c:orientation val="minMax"/>
          <c:max val="2000"/>
        </c:scaling>
        <c:delete val="0"/>
        <c:axPos val="l"/>
        <c:majorGridlines>
          <c:spPr>
            <a:ln>
              <a:solidFill>
                <a:sysClr val="window" lastClr="FFFFFF">
                  <a:lumMod val="75000"/>
                </a:sysClr>
              </a:solidFill>
              <a:prstDash val="dash"/>
            </a:ln>
          </c:spPr>
        </c:majorGridlines>
        <c:title>
          <c:tx>
            <c:rich>
              <a:bodyPr rot="0" vert="horz"/>
              <a:lstStyle/>
              <a:p>
                <a:pPr>
                  <a:defRPr/>
                </a:pPr>
                <a:r>
                  <a:rPr lang="cs-CZ"/>
                  <a:t>mld. Kč</a:t>
                </a:r>
              </a:p>
            </c:rich>
          </c:tx>
          <c:layout>
            <c:manualLayout>
              <c:xMode val="edge"/>
              <c:yMode val="edge"/>
              <c:x val="0"/>
              <c:y val="3.5322136100489163E-2"/>
            </c:manualLayout>
          </c:layout>
          <c:overlay val="0"/>
        </c:title>
        <c:numFmt formatCode="#,##0" sourceLinked="0"/>
        <c:majorTickMark val="none"/>
        <c:minorTickMark val="none"/>
        <c:tickLblPos val="nextTo"/>
        <c:spPr>
          <a:ln w="3175">
            <a:noFill/>
            <a:prstDash val="dash"/>
          </a:ln>
        </c:spPr>
        <c:txPr>
          <a:bodyPr rot="0" vert="horz"/>
          <a:lstStyle/>
          <a:p>
            <a:pPr>
              <a:defRPr/>
            </a:pPr>
            <a:endParaRPr lang="cs-CZ"/>
          </a:p>
        </c:txPr>
        <c:crossAx val="207946880"/>
        <c:crosses val="autoZero"/>
        <c:crossBetween val="between"/>
        <c:majorUnit val="400"/>
      </c:valAx>
      <c:catAx>
        <c:axId val="207966976"/>
        <c:scaling>
          <c:orientation val="minMax"/>
        </c:scaling>
        <c:delete val="1"/>
        <c:axPos val="b"/>
        <c:numFmt formatCode="General" sourceLinked="1"/>
        <c:majorTickMark val="out"/>
        <c:minorTickMark val="none"/>
        <c:tickLblPos val="nextTo"/>
        <c:crossAx val="207968512"/>
        <c:crosses val="autoZero"/>
        <c:auto val="0"/>
        <c:lblAlgn val="ctr"/>
        <c:lblOffset val="100"/>
        <c:noMultiLvlLbl val="0"/>
      </c:catAx>
      <c:valAx>
        <c:axId val="207968512"/>
        <c:scaling>
          <c:orientation val="minMax"/>
          <c:max val="50"/>
          <c:min val="0"/>
        </c:scaling>
        <c:delete val="0"/>
        <c:axPos val="r"/>
        <c:title>
          <c:tx>
            <c:rich>
              <a:bodyPr rot="0" vert="horz"/>
              <a:lstStyle/>
              <a:p>
                <a:pPr>
                  <a:defRPr/>
                </a:pPr>
                <a:r>
                  <a:rPr lang="cs-CZ"/>
                  <a:t>% HDP</a:t>
                </a:r>
              </a:p>
            </c:rich>
          </c:tx>
          <c:layout>
            <c:manualLayout>
              <c:xMode val="edge"/>
              <c:yMode val="edge"/>
              <c:x val="0.91707464657498983"/>
              <c:y val="4.9112069449144646E-2"/>
            </c:manualLayout>
          </c:layout>
          <c:overlay val="0"/>
        </c:title>
        <c:numFmt formatCode="0" sourceLinked="0"/>
        <c:majorTickMark val="none"/>
        <c:minorTickMark val="none"/>
        <c:tickLblPos val="nextTo"/>
        <c:spPr>
          <a:ln w="2370">
            <a:noFill/>
            <a:prstDash val="solid"/>
          </a:ln>
        </c:spPr>
        <c:txPr>
          <a:bodyPr rot="0" vert="horz"/>
          <a:lstStyle/>
          <a:p>
            <a:pPr>
              <a:defRPr/>
            </a:pPr>
            <a:endParaRPr lang="cs-CZ"/>
          </a:p>
        </c:txPr>
        <c:crossAx val="207966976"/>
        <c:crosses val="max"/>
        <c:crossBetween val="between"/>
        <c:majorUnit val="10"/>
      </c:valAx>
      <c:spPr>
        <a:noFill/>
        <a:ln w="18963">
          <a:noFill/>
        </a:ln>
      </c:spPr>
    </c:plotArea>
    <c:legend>
      <c:legendPos val="b"/>
      <c:layout>
        <c:manualLayout>
          <c:xMode val="edge"/>
          <c:yMode val="edge"/>
          <c:x val="0.16173913975038834"/>
          <c:y val="0.88704332412993836"/>
          <c:w val="0.75252141206365519"/>
          <c:h val="8.6378634488870731E-2"/>
        </c:manualLayout>
      </c:layout>
      <c:overlay val="0"/>
      <c:spPr>
        <a:solidFill>
          <a:srgbClr val="FFFFFF"/>
        </a:solidFill>
        <a:ln w="0">
          <a:noFill/>
          <a:prstDash val="solid"/>
        </a:ln>
      </c:spPr>
    </c:legend>
    <c:plotVisOnly val="1"/>
    <c:dispBlanksAs val="gap"/>
    <c:showDLblsOverMax val="0"/>
  </c:chart>
  <c:spPr>
    <a:solidFill>
      <a:srgbClr val="FFFFFF"/>
    </a:solidFill>
    <a:ln w="4741" cap="flat" cmpd="sng" algn="ctr">
      <a:noFill/>
      <a:prstDash val="solid"/>
      <a:miter lim="800000"/>
      <a:headEnd type="none" w="med" len="med"/>
      <a:tailEnd type="none" w="med" len="med"/>
    </a:ln>
  </c:spPr>
  <c:txPr>
    <a:bodyPr/>
    <a:lstStyle/>
    <a:p>
      <a:pPr>
        <a:defRPr sz="900" b="0" i="0" u="none" strike="noStrike" baseline="0">
          <a:solidFill>
            <a:srgbClr val="000000"/>
          </a:solidFill>
          <a:latin typeface="Times New Roman" panose="02020603050405020304" pitchFamily="18" charset="0"/>
          <a:ea typeface="Verdana" panose="020B0604030504040204" pitchFamily="34" charset="0"/>
          <a:cs typeface="Times New Roman" panose="02020603050405020304" pitchFamily="18" charset="0"/>
        </a:defRPr>
      </a:pPr>
      <a:endParaRPr lang="cs-CZ"/>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1"/>
          <c:order val="0"/>
          <c:tx>
            <c:strRef>
              <c:f>List1!$A$3</c:f>
              <c:strCache>
                <c:ptCount val="1"/>
                <c:pt idx="0">
                  <c:v>2017</c:v>
                </c:pt>
              </c:strCache>
            </c:strRef>
          </c:tx>
          <c:spPr>
            <a:ln w="19050">
              <a:solidFill>
                <a:schemeClr val="tx2">
                  <a:lumMod val="60000"/>
                  <a:lumOff val="40000"/>
                </a:schemeClr>
              </a:solidFill>
            </a:ln>
          </c:spPr>
          <c:marker>
            <c:symbol val="none"/>
          </c:marker>
          <c:cat>
            <c:numRef>
              <c:f>List1!$B$1:$IT$1</c:f>
              <c:numCache>
                <c:formatCode>m/d/yyyy</c:formatCode>
                <c:ptCount val="253"/>
                <c:pt idx="0">
                  <c:v>42736</c:v>
                </c:pt>
                <c:pt idx="1">
                  <c:v>42737</c:v>
                </c:pt>
                <c:pt idx="2">
                  <c:v>42738</c:v>
                </c:pt>
                <c:pt idx="3">
                  <c:v>42739</c:v>
                </c:pt>
                <c:pt idx="4">
                  <c:v>42740</c:v>
                </c:pt>
                <c:pt idx="5">
                  <c:v>42741</c:v>
                </c:pt>
                <c:pt idx="6">
                  <c:v>42744</c:v>
                </c:pt>
                <c:pt idx="7">
                  <c:v>42745</c:v>
                </c:pt>
                <c:pt idx="8">
                  <c:v>42746</c:v>
                </c:pt>
                <c:pt idx="9">
                  <c:v>42747</c:v>
                </c:pt>
                <c:pt idx="10">
                  <c:v>42748</c:v>
                </c:pt>
                <c:pt idx="11">
                  <c:v>42751</c:v>
                </c:pt>
                <c:pt idx="12">
                  <c:v>42752</c:v>
                </c:pt>
                <c:pt idx="13">
                  <c:v>42753</c:v>
                </c:pt>
                <c:pt idx="14">
                  <c:v>42754</c:v>
                </c:pt>
                <c:pt idx="15">
                  <c:v>42755</c:v>
                </c:pt>
                <c:pt idx="16">
                  <c:v>42758</c:v>
                </c:pt>
                <c:pt idx="17">
                  <c:v>42759</c:v>
                </c:pt>
                <c:pt idx="18">
                  <c:v>42760</c:v>
                </c:pt>
                <c:pt idx="19">
                  <c:v>42761</c:v>
                </c:pt>
                <c:pt idx="20">
                  <c:v>42762</c:v>
                </c:pt>
                <c:pt idx="21">
                  <c:v>42765</c:v>
                </c:pt>
                <c:pt idx="22">
                  <c:v>42766</c:v>
                </c:pt>
                <c:pt idx="23">
                  <c:v>42767</c:v>
                </c:pt>
                <c:pt idx="24">
                  <c:v>42768</c:v>
                </c:pt>
                <c:pt idx="25">
                  <c:v>42769</c:v>
                </c:pt>
                <c:pt idx="26">
                  <c:v>42772</c:v>
                </c:pt>
                <c:pt idx="27">
                  <c:v>42773</c:v>
                </c:pt>
                <c:pt idx="28">
                  <c:v>42774</c:v>
                </c:pt>
                <c:pt idx="29">
                  <c:v>42775</c:v>
                </c:pt>
                <c:pt idx="30">
                  <c:v>42776</c:v>
                </c:pt>
                <c:pt idx="31">
                  <c:v>42779</c:v>
                </c:pt>
                <c:pt idx="32">
                  <c:v>42780</c:v>
                </c:pt>
                <c:pt idx="33">
                  <c:v>42781</c:v>
                </c:pt>
                <c:pt idx="34">
                  <c:v>42782</c:v>
                </c:pt>
                <c:pt idx="35">
                  <c:v>42783</c:v>
                </c:pt>
                <c:pt idx="36">
                  <c:v>42786</c:v>
                </c:pt>
                <c:pt idx="37">
                  <c:v>42787</c:v>
                </c:pt>
                <c:pt idx="38">
                  <c:v>42788</c:v>
                </c:pt>
                <c:pt idx="39">
                  <c:v>42789</c:v>
                </c:pt>
                <c:pt idx="40">
                  <c:v>42790</c:v>
                </c:pt>
                <c:pt idx="41">
                  <c:v>42793</c:v>
                </c:pt>
                <c:pt idx="42">
                  <c:v>42794</c:v>
                </c:pt>
                <c:pt idx="43">
                  <c:v>42795</c:v>
                </c:pt>
                <c:pt idx="44">
                  <c:v>42796</c:v>
                </c:pt>
                <c:pt idx="45">
                  <c:v>42797</c:v>
                </c:pt>
                <c:pt idx="46">
                  <c:v>42800</c:v>
                </c:pt>
                <c:pt idx="47">
                  <c:v>42801</c:v>
                </c:pt>
                <c:pt idx="48">
                  <c:v>42802</c:v>
                </c:pt>
                <c:pt idx="49">
                  <c:v>42803</c:v>
                </c:pt>
                <c:pt idx="50">
                  <c:v>42804</c:v>
                </c:pt>
                <c:pt idx="51">
                  <c:v>42807</c:v>
                </c:pt>
                <c:pt idx="52">
                  <c:v>42808</c:v>
                </c:pt>
                <c:pt idx="53">
                  <c:v>42809</c:v>
                </c:pt>
                <c:pt idx="54">
                  <c:v>42810</c:v>
                </c:pt>
                <c:pt idx="55">
                  <c:v>42811</c:v>
                </c:pt>
                <c:pt idx="56">
                  <c:v>42814</c:v>
                </c:pt>
                <c:pt idx="57">
                  <c:v>42815</c:v>
                </c:pt>
                <c:pt idx="58">
                  <c:v>42816</c:v>
                </c:pt>
                <c:pt idx="59">
                  <c:v>42817</c:v>
                </c:pt>
                <c:pt idx="60">
                  <c:v>42818</c:v>
                </c:pt>
                <c:pt idx="61">
                  <c:v>42821</c:v>
                </c:pt>
                <c:pt idx="62">
                  <c:v>42822</c:v>
                </c:pt>
                <c:pt idx="63">
                  <c:v>42823</c:v>
                </c:pt>
                <c:pt idx="64">
                  <c:v>42824</c:v>
                </c:pt>
                <c:pt idx="65">
                  <c:v>42825</c:v>
                </c:pt>
                <c:pt idx="66">
                  <c:v>42828</c:v>
                </c:pt>
                <c:pt idx="67">
                  <c:v>42829</c:v>
                </c:pt>
                <c:pt idx="68">
                  <c:v>42830</c:v>
                </c:pt>
                <c:pt idx="69">
                  <c:v>42831</c:v>
                </c:pt>
                <c:pt idx="70">
                  <c:v>42832</c:v>
                </c:pt>
                <c:pt idx="71">
                  <c:v>42835</c:v>
                </c:pt>
                <c:pt idx="72">
                  <c:v>42836</c:v>
                </c:pt>
                <c:pt idx="73">
                  <c:v>42837</c:v>
                </c:pt>
                <c:pt idx="74">
                  <c:v>42838</c:v>
                </c:pt>
                <c:pt idx="75">
                  <c:v>42843</c:v>
                </c:pt>
                <c:pt idx="76">
                  <c:v>42844</c:v>
                </c:pt>
                <c:pt idx="77">
                  <c:v>42845</c:v>
                </c:pt>
                <c:pt idx="78">
                  <c:v>42846</c:v>
                </c:pt>
                <c:pt idx="79">
                  <c:v>42849</c:v>
                </c:pt>
                <c:pt idx="80">
                  <c:v>42850</c:v>
                </c:pt>
                <c:pt idx="81">
                  <c:v>42851</c:v>
                </c:pt>
                <c:pt idx="82">
                  <c:v>42852</c:v>
                </c:pt>
                <c:pt idx="83">
                  <c:v>42853</c:v>
                </c:pt>
                <c:pt idx="84">
                  <c:v>42857</c:v>
                </c:pt>
                <c:pt idx="85">
                  <c:v>42858</c:v>
                </c:pt>
                <c:pt idx="86">
                  <c:v>42859</c:v>
                </c:pt>
                <c:pt idx="87">
                  <c:v>42860</c:v>
                </c:pt>
                <c:pt idx="88">
                  <c:v>42864</c:v>
                </c:pt>
                <c:pt idx="89">
                  <c:v>42865</c:v>
                </c:pt>
                <c:pt idx="90">
                  <c:v>42866</c:v>
                </c:pt>
                <c:pt idx="91">
                  <c:v>42867</c:v>
                </c:pt>
                <c:pt idx="92">
                  <c:v>42870</c:v>
                </c:pt>
                <c:pt idx="93">
                  <c:v>42871</c:v>
                </c:pt>
                <c:pt idx="94">
                  <c:v>42872</c:v>
                </c:pt>
                <c:pt idx="95">
                  <c:v>42873</c:v>
                </c:pt>
                <c:pt idx="96">
                  <c:v>42874</c:v>
                </c:pt>
                <c:pt idx="97">
                  <c:v>42877</c:v>
                </c:pt>
                <c:pt idx="98">
                  <c:v>42878</c:v>
                </c:pt>
                <c:pt idx="99">
                  <c:v>42879</c:v>
                </c:pt>
                <c:pt idx="100">
                  <c:v>42880</c:v>
                </c:pt>
                <c:pt idx="101">
                  <c:v>42881</c:v>
                </c:pt>
                <c:pt idx="102">
                  <c:v>42884</c:v>
                </c:pt>
                <c:pt idx="103">
                  <c:v>42885</c:v>
                </c:pt>
                <c:pt idx="104">
                  <c:v>42886</c:v>
                </c:pt>
                <c:pt idx="105">
                  <c:v>42887</c:v>
                </c:pt>
                <c:pt idx="106">
                  <c:v>42888</c:v>
                </c:pt>
                <c:pt idx="107">
                  <c:v>42891</c:v>
                </c:pt>
                <c:pt idx="108">
                  <c:v>42892</c:v>
                </c:pt>
                <c:pt idx="109">
                  <c:v>42893</c:v>
                </c:pt>
                <c:pt idx="110">
                  <c:v>42894</c:v>
                </c:pt>
                <c:pt idx="111">
                  <c:v>42895</c:v>
                </c:pt>
                <c:pt idx="112">
                  <c:v>42898</c:v>
                </c:pt>
                <c:pt idx="113">
                  <c:v>42899</c:v>
                </c:pt>
                <c:pt idx="114">
                  <c:v>42900</c:v>
                </c:pt>
                <c:pt idx="115">
                  <c:v>42901</c:v>
                </c:pt>
                <c:pt idx="116">
                  <c:v>42902</c:v>
                </c:pt>
                <c:pt idx="117">
                  <c:v>42905</c:v>
                </c:pt>
                <c:pt idx="118">
                  <c:v>42906</c:v>
                </c:pt>
                <c:pt idx="119">
                  <c:v>42907</c:v>
                </c:pt>
                <c:pt idx="120">
                  <c:v>42908</c:v>
                </c:pt>
                <c:pt idx="121">
                  <c:v>42909</c:v>
                </c:pt>
                <c:pt idx="122">
                  <c:v>42912</c:v>
                </c:pt>
                <c:pt idx="123">
                  <c:v>42913</c:v>
                </c:pt>
                <c:pt idx="124">
                  <c:v>42914</c:v>
                </c:pt>
                <c:pt idx="125">
                  <c:v>42915</c:v>
                </c:pt>
                <c:pt idx="126">
                  <c:v>42916</c:v>
                </c:pt>
                <c:pt idx="127">
                  <c:v>42919</c:v>
                </c:pt>
                <c:pt idx="128">
                  <c:v>42920</c:v>
                </c:pt>
                <c:pt idx="129">
                  <c:v>42923</c:v>
                </c:pt>
                <c:pt idx="130">
                  <c:v>42926</c:v>
                </c:pt>
                <c:pt idx="131">
                  <c:v>42927</c:v>
                </c:pt>
                <c:pt idx="132">
                  <c:v>42928</c:v>
                </c:pt>
                <c:pt idx="133">
                  <c:v>42929</c:v>
                </c:pt>
                <c:pt idx="134">
                  <c:v>42930</c:v>
                </c:pt>
                <c:pt idx="135">
                  <c:v>42933</c:v>
                </c:pt>
                <c:pt idx="136">
                  <c:v>42934</c:v>
                </c:pt>
                <c:pt idx="137">
                  <c:v>42935</c:v>
                </c:pt>
                <c:pt idx="138">
                  <c:v>42936</c:v>
                </c:pt>
                <c:pt idx="139">
                  <c:v>42937</c:v>
                </c:pt>
                <c:pt idx="140">
                  <c:v>42940</c:v>
                </c:pt>
                <c:pt idx="141">
                  <c:v>42941</c:v>
                </c:pt>
                <c:pt idx="142">
                  <c:v>42942</c:v>
                </c:pt>
                <c:pt idx="143">
                  <c:v>42943</c:v>
                </c:pt>
                <c:pt idx="144">
                  <c:v>42944</c:v>
                </c:pt>
                <c:pt idx="145">
                  <c:v>42947</c:v>
                </c:pt>
                <c:pt idx="146">
                  <c:v>42948</c:v>
                </c:pt>
                <c:pt idx="147">
                  <c:v>42949</c:v>
                </c:pt>
                <c:pt idx="148">
                  <c:v>42950</c:v>
                </c:pt>
                <c:pt idx="149">
                  <c:v>42951</c:v>
                </c:pt>
                <c:pt idx="150">
                  <c:v>42954</c:v>
                </c:pt>
                <c:pt idx="151">
                  <c:v>42955</c:v>
                </c:pt>
                <c:pt idx="152">
                  <c:v>42956</c:v>
                </c:pt>
                <c:pt idx="153">
                  <c:v>42957</c:v>
                </c:pt>
                <c:pt idx="154">
                  <c:v>42958</c:v>
                </c:pt>
                <c:pt idx="155">
                  <c:v>42961</c:v>
                </c:pt>
                <c:pt idx="156">
                  <c:v>42962</c:v>
                </c:pt>
                <c:pt idx="157">
                  <c:v>42963</c:v>
                </c:pt>
                <c:pt idx="158">
                  <c:v>42964</c:v>
                </c:pt>
                <c:pt idx="159">
                  <c:v>42965</c:v>
                </c:pt>
                <c:pt idx="160">
                  <c:v>42968</c:v>
                </c:pt>
                <c:pt idx="161">
                  <c:v>42969</c:v>
                </c:pt>
                <c:pt idx="162">
                  <c:v>42970</c:v>
                </c:pt>
                <c:pt idx="163">
                  <c:v>42971</c:v>
                </c:pt>
                <c:pt idx="164">
                  <c:v>42972</c:v>
                </c:pt>
                <c:pt idx="165">
                  <c:v>42975</c:v>
                </c:pt>
                <c:pt idx="166">
                  <c:v>42976</c:v>
                </c:pt>
                <c:pt idx="167">
                  <c:v>42977</c:v>
                </c:pt>
                <c:pt idx="168">
                  <c:v>42978</c:v>
                </c:pt>
                <c:pt idx="169">
                  <c:v>42979</c:v>
                </c:pt>
                <c:pt idx="170">
                  <c:v>42982</c:v>
                </c:pt>
                <c:pt idx="171">
                  <c:v>42983</c:v>
                </c:pt>
                <c:pt idx="172">
                  <c:v>42984</c:v>
                </c:pt>
                <c:pt idx="173">
                  <c:v>42985</c:v>
                </c:pt>
                <c:pt idx="174">
                  <c:v>42986</c:v>
                </c:pt>
                <c:pt idx="175">
                  <c:v>42989</c:v>
                </c:pt>
                <c:pt idx="176">
                  <c:v>42990</c:v>
                </c:pt>
                <c:pt idx="177">
                  <c:v>42991</c:v>
                </c:pt>
                <c:pt idx="178">
                  <c:v>42992</c:v>
                </c:pt>
                <c:pt idx="179">
                  <c:v>42993</c:v>
                </c:pt>
                <c:pt idx="180">
                  <c:v>42996</c:v>
                </c:pt>
                <c:pt idx="181">
                  <c:v>42997</c:v>
                </c:pt>
                <c:pt idx="182">
                  <c:v>42998</c:v>
                </c:pt>
                <c:pt idx="183">
                  <c:v>42999</c:v>
                </c:pt>
                <c:pt idx="184">
                  <c:v>43000</c:v>
                </c:pt>
                <c:pt idx="185">
                  <c:v>43001</c:v>
                </c:pt>
                <c:pt idx="186">
                  <c:v>43002</c:v>
                </c:pt>
                <c:pt idx="187">
                  <c:v>43003</c:v>
                </c:pt>
                <c:pt idx="188">
                  <c:v>43004</c:v>
                </c:pt>
                <c:pt idx="189">
                  <c:v>43005</c:v>
                </c:pt>
                <c:pt idx="190">
                  <c:v>43007</c:v>
                </c:pt>
                <c:pt idx="191">
                  <c:v>43010</c:v>
                </c:pt>
                <c:pt idx="192">
                  <c:v>43011</c:v>
                </c:pt>
                <c:pt idx="193">
                  <c:v>43012</c:v>
                </c:pt>
                <c:pt idx="194">
                  <c:v>43013</c:v>
                </c:pt>
                <c:pt idx="195">
                  <c:v>43014</c:v>
                </c:pt>
                <c:pt idx="196">
                  <c:v>43017</c:v>
                </c:pt>
                <c:pt idx="197">
                  <c:v>43018</c:v>
                </c:pt>
                <c:pt idx="198">
                  <c:v>43019</c:v>
                </c:pt>
                <c:pt idx="199">
                  <c:v>43020</c:v>
                </c:pt>
                <c:pt idx="200">
                  <c:v>43021</c:v>
                </c:pt>
                <c:pt idx="201">
                  <c:v>43024</c:v>
                </c:pt>
                <c:pt idx="202">
                  <c:v>43025</c:v>
                </c:pt>
                <c:pt idx="203">
                  <c:v>43026</c:v>
                </c:pt>
                <c:pt idx="204">
                  <c:v>43027</c:v>
                </c:pt>
                <c:pt idx="205">
                  <c:v>43028</c:v>
                </c:pt>
                <c:pt idx="206">
                  <c:v>43031</c:v>
                </c:pt>
                <c:pt idx="207">
                  <c:v>43032</c:v>
                </c:pt>
                <c:pt idx="208">
                  <c:v>43033</c:v>
                </c:pt>
                <c:pt idx="209">
                  <c:v>43034</c:v>
                </c:pt>
                <c:pt idx="210">
                  <c:v>43035</c:v>
                </c:pt>
                <c:pt idx="211">
                  <c:v>43038</c:v>
                </c:pt>
                <c:pt idx="212">
                  <c:v>43039</c:v>
                </c:pt>
                <c:pt idx="213">
                  <c:v>43040</c:v>
                </c:pt>
                <c:pt idx="214">
                  <c:v>43041</c:v>
                </c:pt>
                <c:pt idx="215">
                  <c:v>43042</c:v>
                </c:pt>
                <c:pt idx="216">
                  <c:v>43045</c:v>
                </c:pt>
                <c:pt idx="217">
                  <c:v>43046</c:v>
                </c:pt>
                <c:pt idx="218">
                  <c:v>43047</c:v>
                </c:pt>
                <c:pt idx="219">
                  <c:v>43048</c:v>
                </c:pt>
                <c:pt idx="220">
                  <c:v>43049</c:v>
                </c:pt>
                <c:pt idx="221">
                  <c:v>43052</c:v>
                </c:pt>
                <c:pt idx="222">
                  <c:v>43053</c:v>
                </c:pt>
                <c:pt idx="223">
                  <c:v>43054</c:v>
                </c:pt>
                <c:pt idx="224">
                  <c:v>43055</c:v>
                </c:pt>
                <c:pt idx="225">
                  <c:v>43059</c:v>
                </c:pt>
                <c:pt idx="226">
                  <c:v>43060</c:v>
                </c:pt>
                <c:pt idx="227">
                  <c:v>43061</c:v>
                </c:pt>
                <c:pt idx="228">
                  <c:v>43062</c:v>
                </c:pt>
                <c:pt idx="229">
                  <c:v>43063</c:v>
                </c:pt>
                <c:pt idx="230">
                  <c:v>43066</c:v>
                </c:pt>
                <c:pt idx="231">
                  <c:v>43067</c:v>
                </c:pt>
                <c:pt idx="232">
                  <c:v>43068</c:v>
                </c:pt>
                <c:pt idx="233">
                  <c:v>43069</c:v>
                </c:pt>
                <c:pt idx="234">
                  <c:v>43070</c:v>
                </c:pt>
                <c:pt idx="235">
                  <c:v>43073</c:v>
                </c:pt>
                <c:pt idx="236">
                  <c:v>43074</c:v>
                </c:pt>
                <c:pt idx="237">
                  <c:v>43075</c:v>
                </c:pt>
                <c:pt idx="238">
                  <c:v>43076</c:v>
                </c:pt>
                <c:pt idx="239">
                  <c:v>43077</c:v>
                </c:pt>
                <c:pt idx="240">
                  <c:v>43080</c:v>
                </c:pt>
                <c:pt idx="241">
                  <c:v>43081</c:v>
                </c:pt>
                <c:pt idx="242">
                  <c:v>43082</c:v>
                </c:pt>
                <c:pt idx="243">
                  <c:v>43083</c:v>
                </c:pt>
                <c:pt idx="244">
                  <c:v>43084</c:v>
                </c:pt>
                <c:pt idx="245">
                  <c:v>43087</c:v>
                </c:pt>
                <c:pt idx="246">
                  <c:v>43088</c:v>
                </c:pt>
                <c:pt idx="247">
                  <c:v>43089</c:v>
                </c:pt>
                <c:pt idx="248">
                  <c:v>43090</c:v>
                </c:pt>
                <c:pt idx="249">
                  <c:v>43091</c:v>
                </c:pt>
                <c:pt idx="250">
                  <c:v>43096</c:v>
                </c:pt>
                <c:pt idx="251">
                  <c:v>43097</c:v>
                </c:pt>
                <c:pt idx="252">
                  <c:v>43098</c:v>
                </c:pt>
              </c:numCache>
            </c:numRef>
          </c:cat>
          <c:val>
            <c:numRef>
              <c:f>List1!$B$3:$IT$3</c:f>
              <c:numCache>
                <c:formatCode>General</c:formatCode>
                <c:ptCount val="253"/>
                <c:pt idx="0">
                  <c:v>155.29060613007999</c:v>
                </c:pt>
                <c:pt idx="1">
                  <c:v>155.56804996495001</c:v>
                </c:pt>
                <c:pt idx="2">
                  <c:v>148.42244166902998</c:v>
                </c:pt>
                <c:pt idx="3">
                  <c:v>155.42483660636998</c:v>
                </c:pt>
                <c:pt idx="4">
                  <c:v>149.34695175677001</c:v>
                </c:pt>
                <c:pt idx="5">
                  <c:v>130.77102263598002</c:v>
                </c:pt>
                <c:pt idx="6">
                  <c:v>135.15917774792001</c:v>
                </c:pt>
                <c:pt idx="7">
                  <c:v>138.76016423972001</c:v>
                </c:pt>
                <c:pt idx="8">
                  <c:v>138.34005230417</c:v>
                </c:pt>
                <c:pt idx="9">
                  <c:v>138.53206399904002</c:v>
                </c:pt>
                <c:pt idx="10">
                  <c:v>164.84232895070002</c:v>
                </c:pt>
                <c:pt idx="11">
                  <c:v>170.25603525205003</c:v>
                </c:pt>
                <c:pt idx="12">
                  <c:v>170.40674768440002</c:v>
                </c:pt>
                <c:pt idx="13">
                  <c:v>171.34321245725997</c:v>
                </c:pt>
                <c:pt idx="14">
                  <c:v>175.86806536018003</c:v>
                </c:pt>
                <c:pt idx="15">
                  <c:v>179.28038158918002</c:v>
                </c:pt>
                <c:pt idx="16">
                  <c:v>179.19547367359004</c:v>
                </c:pt>
                <c:pt idx="17">
                  <c:v>187.24775081725997</c:v>
                </c:pt>
                <c:pt idx="18">
                  <c:v>213.10738811871005</c:v>
                </c:pt>
                <c:pt idx="19">
                  <c:v>199.03315819042999</c:v>
                </c:pt>
                <c:pt idx="20">
                  <c:v>214.65806214234001</c:v>
                </c:pt>
                <c:pt idx="21">
                  <c:v>213.40667727478998</c:v>
                </c:pt>
                <c:pt idx="22">
                  <c:v>205.33814822789995</c:v>
                </c:pt>
                <c:pt idx="23">
                  <c:v>194.22922730528998</c:v>
                </c:pt>
                <c:pt idx="24">
                  <c:v>199.39431788734998</c:v>
                </c:pt>
                <c:pt idx="25">
                  <c:v>195.13456854213996</c:v>
                </c:pt>
                <c:pt idx="26">
                  <c:v>186.98949341359005</c:v>
                </c:pt>
                <c:pt idx="27">
                  <c:v>178.33174584758996</c:v>
                </c:pt>
                <c:pt idx="28">
                  <c:v>180.00399019397</c:v>
                </c:pt>
                <c:pt idx="29">
                  <c:v>181.04217667890995</c:v>
                </c:pt>
                <c:pt idx="30">
                  <c:v>198.83380107447999</c:v>
                </c:pt>
                <c:pt idx="31">
                  <c:v>199.43226736430995</c:v>
                </c:pt>
                <c:pt idx="32">
                  <c:v>199.57167954857002</c:v>
                </c:pt>
                <c:pt idx="33">
                  <c:v>199.92893493785007</c:v>
                </c:pt>
                <c:pt idx="34">
                  <c:v>203.04261317517</c:v>
                </c:pt>
                <c:pt idx="35">
                  <c:v>212.18688715035006</c:v>
                </c:pt>
                <c:pt idx="36">
                  <c:v>219.94704705026001</c:v>
                </c:pt>
                <c:pt idx="37">
                  <c:v>217.95695047332995</c:v>
                </c:pt>
                <c:pt idx="38">
                  <c:v>215.30004556348996</c:v>
                </c:pt>
                <c:pt idx="39">
                  <c:v>218.29450078025002</c:v>
                </c:pt>
                <c:pt idx="40">
                  <c:v>217.78544637979999</c:v>
                </c:pt>
                <c:pt idx="41">
                  <c:v>232.52959756052002</c:v>
                </c:pt>
                <c:pt idx="42">
                  <c:v>234.01886397534</c:v>
                </c:pt>
                <c:pt idx="43">
                  <c:v>230.41887918544006</c:v>
                </c:pt>
                <c:pt idx="44">
                  <c:v>233.98929637213001</c:v>
                </c:pt>
                <c:pt idx="45">
                  <c:v>238.83050514256001</c:v>
                </c:pt>
                <c:pt idx="46">
                  <c:v>236.88978722977998</c:v>
                </c:pt>
                <c:pt idx="47">
                  <c:v>232.47511591522007</c:v>
                </c:pt>
                <c:pt idx="48">
                  <c:v>230.42924765504</c:v>
                </c:pt>
                <c:pt idx="49">
                  <c:v>228.53100057239004</c:v>
                </c:pt>
                <c:pt idx="50">
                  <c:v>253.72904019407002</c:v>
                </c:pt>
                <c:pt idx="51">
                  <c:v>259.59383783899005</c:v>
                </c:pt>
                <c:pt idx="52">
                  <c:v>266.27650820560001</c:v>
                </c:pt>
                <c:pt idx="53">
                  <c:v>274.20904660634005</c:v>
                </c:pt>
                <c:pt idx="54">
                  <c:v>276.33677916251997</c:v>
                </c:pt>
                <c:pt idx="55">
                  <c:v>297.55479252679999</c:v>
                </c:pt>
                <c:pt idx="56">
                  <c:v>299.53282942642994</c:v>
                </c:pt>
                <c:pt idx="57">
                  <c:v>294.35740997903997</c:v>
                </c:pt>
                <c:pt idx="58">
                  <c:v>285.86211566960003</c:v>
                </c:pt>
                <c:pt idx="59">
                  <c:v>286.22522039993004</c:v>
                </c:pt>
                <c:pt idx="60">
                  <c:v>316.94926983004996</c:v>
                </c:pt>
                <c:pt idx="61">
                  <c:v>332.10088802415999</c:v>
                </c:pt>
                <c:pt idx="62">
                  <c:v>330.20026045476999</c:v>
                </c:pt>
                <c:pt idx="63">
                  <c:v>308.51430951987004</c:v>
                </c:pt>
                <c:pt idx="64">
                  <c:v>307.07362110247004</c:v>
                </c:pt>
                <c:pt idx="65">
                  <c:v>329.02332593405993</c:v>
                </c:pt>
                <c:pt idx="66">
                  <c:v>312.13168489829002</c:v>
                </c:pt>
                <c:pt idx="67">
                  <c:v>317.45690193607993</c:v>
                </c:pt>
                <c:pt idx="68">
                  <c:v>315.64347483919994</c:v>
                </c:pt>
                <c:pt idx="69">
                  <c:v>308.31272767229007</c:v>
                </c:pt>
                <c:pt idx="70">
                  <c:v>332.59498373783003</c:v>
                </c:pt>
                <c:pt idx="71">
                  <c:v>333.66255408496005</c:v>
                </c:pt>
                <c:pt idx="72">
                  <c:v>234.31409165395002</c:v>
                </c:pt>
                <c:pt idx="73">
                  <c:v>230.1320936882</c:v>
                </c:pt>
                <c:pt idx="74">
                  <c:v>229.64489066604997</c:v>
                </c:pt>
                <c:pt idx="75">
                  <c:v>252.83136977203003</c:v>
                </c:pt>
                <c:pt idx="76">
                  <c:v>257.18319093788989</c:v>
                </c:pt>
                <c:pt idx="77">
                  <c:v>260.15498102897993</c:v>
                </c:pt>
                <c:pt idx="78">
                  <c:v>279.96523846248994</c:v>
                </c:pt>
                <c:pt idx="79">
                  <c:v>286.78606179754991</c:v>
                </c:pt>
                <c:pt idx="80">
                  <c:v>314.95430428330002</c:v>
                </c:pt>
                <c:pt idx="81">
                  <c:v>306.06170783089993</c:v>
                </c:pt>
                <c:pt idx="82">
                  <c:v>306.03047956985</c:v>
                </c:pt>
                <c:pt idx="83">
                  <c:v>319.88087763991996</c:v>
                </c:pt>
                <c:pt idx="84">
                  <c:v>310.82901781447998</c:v>
                </c:pt>
                <c:pt idx="85">
                  <c:v>309.46760379556991</c:v>
                </c:pt>
                <c:pt idx="86">
                  <c:v>306.35283590088005</c:v>
                </c:pt>
                <c:pt idx="87">
                  <c:v>328.70768543079004</c:v>
                </c:pt>
                <c:pt idx="88">
                  <c:v>314.97716285095009</c:v>
                </c:pt>
                <c:pt idx="89">
                  <c:v>320.64337199753987</c:v>
                </c:pt>
                <c:pt idx="90">
                  <c:v>319.68232674226994</c:v>
                </c:pt>
                <c:pt idx="91">
                  <c:v>320.73175876705</c:v>
                </c:pt>
                <c:pt idx="92">
                  <c:v>321.28282515633003</c:v>
                </c:pt>
                <c:pt idx="93">
                  <c:v>321.20583735040992</c:v>
                </c:pt>
                <c:pt idx="94">
                  <c:v>319.56472429297997</c:v>
                </c:pt>
                <c:pt idx="95">
                  <c:v>320.70773370663011</c:v>
                </c:pt>
                <c:pt idx="96">
                  <c:v>320.19890303584003</c:v>
                </c:pt>
                <c:pt idx="97">
                  <c:v>318.44595347427992</c:v>
                </c:pt>
                <c:pt idx="98">
                  <c:v>319.99429446852997</c:v>
                </c:pt>
                <c:pt idx="99">
                  <c:v>322.54367353523008</c:v>
                </c:pt>
                <c:pt idx="100">
                  <c:v>312.26996641679989</c:v>
                </c:pt>
                <c:pt idx="101">
                  <c:v>322.95233772813998</c:v>
                </c:pt>
                <c:pt idx="102">
                  <c:v>320.77866218078003</c:v>
                </c:pt>
                <c:pt idx="103">
                  <c:v>320.67174420331992</c:v>
                </c:pt>
                <c:pt idx="104">
                  <c:v>342.40700839463</c:v>
                </c:pt>
                <c:pt idx="105">
                  <c:v>312.59236466485004</c:v>
                </c:pt>
                <c:pt idx="106">
                  <c:v>310.42065826187002</c:v>
                </c:pt>
                <c:pt idx="107">
                  <c:v>308.71438370445998</c:v>
                </c:pt>
                <c:pt idx="108">
                  <c:v>302.48765255511989</c:v>
                </c:pt>
                <c:pt idx="109">
                  <c:v>295.60914082633985</c:v>
                </c:pt>
                <c:pt idx="110">
                  <c:v>294.96597582785</c:v>
                </c:pt>
                <c:pt idx="111">
                  <c:v>299.04476338523011</c:v>
                </c:pt>
                <c:pt idx="112">
                  <c:v>294.02163632831997</c:v>
                </c:pt>
                <c:pt idx="113">
                  <c:v>296.53577952400997</c:v>
                </c:pt>
                <c:pt idx="114">
                  <c:v>304.60515391057015</c:v>
                </c:pt>
                <c:pt idx="115">
                  <c:v>314.75200654962993</c:v>
                </c:pt>
                <c:pt idx="116">
                  <c:v>327.96053792152998</c:v>
                </c:pt>
                <c:pt idx="117">
                  <c:v>332.26127925370002</c:v>
                </c:pt>
                <c:pt idx="118">
                  <c:v>338.17945344013015</c:v>
                </c:pt>
                <c:pt idx="119">
                  <c:v>333.71528860607992</c:v>
                </c:pt>
                <c:pt idx="120">
                  <c:v>326.76546170165011</c:v>
                </c:pt>
                <c:pt idx="121">
                  <c:v>314.07324746381005</c:v>
                </c:pt>
                <c:pt idx="122">
                  <c:v>334.13355500554002</c:v>
                </c:pt>
                <c:pt idx="123">
                  <c:v>347.02892374718999</c:v>
                </c:pt>
                <c:pt idx="124">
                  <c:v>343.27525851510018</c:v>
                </c:pt>
                <c:pt idx="125">
                  <c:v>344.74928887555006</c:v>
                </c:pt>
                <c:pt idx="126">
                  <c:v>343.28503530813998</c:v>
                </c:pt>
                <c:pt idx="127">
                  <c:v>325.30980340234009</c:v>
                </c:pt>
                <c:pt idx="128">
                  <c:v>325.96195282961003</c:v>
                </c:pt>
                <c:pt idx="129">
                  <c:v>322.22627469188996</c:v>
                </c:pt>
                <c:pt idx="130">
                  <c:v>319.93242937263005</c:v>
                </c:pt>
                <c:pt idx="131">
                  <c:v>310.14949132584991</c:v>
                </c:pt>
                <c:pt idx="132">
                  <c:v>308.72646873834992</c:v>
                </c:pt>
                <c:pt idx="133">
                  <c:v>305.89204507927008</c:v>
                </c:pt>
                <c:pt idx="134">
                  <c:v>331.43470890307003</c:v>
                </c:pt>
                <c:pt idx="135">
                  <c:v>331.06674580388017</c:v>
                </c:pt>
                <c:pt idx="136">
                  <c:v>334.87862032780993</c:v>
                </c:pt>
                <c:pt idx="137">
                  <c:v>338.48894036142985</c:v>
                </c:pt>
                <c:pt idx="138">
                  <c:v>339.87534579975994</c:v>
                </c:pt>
                <c:pt idx="139">
                  <c:v>336.76690186312993</c:v>
                </c:pt>
                <c:pt idx="140">
                  <c:v>299.72467665161992</c:v>
                </c:pt>
                <c:pt idx="141">
                  <c:v>326.34529638591988</c:v>
                </c:pt>
                <c:pt idx="142">
                  <c:v>316.16981302479991</c:v>
                </c:pt>
                <c:pt idx="143">
                  <c:v>317.73880568422993</c:v>
                </c:pt>
                <c:pt idx="144">
                  <c:v>346.96883891212002</c:v>
                </c:pt>
                <c:pt idx="145">
                  <c:v>372.36541877354</c:v>
                </c:pt>
                <c:pt idx="146">
                  <c:v>373.81648065946996</c:v>
                </c:pt>
                <c:pt idx="147">
                  <c:v>349.25046338854997</c:v>
                </c:pt>
                <c:pt idx="148">
                  <c:v>347.71506921367012</c:v>
                </c:pt>
                <c:pt idx="149">
                  <c:v>319.55488992789014</c:v>
                </c:pt>
                <c:pt idx="150">
                  <c:v>308.52829639511998</c:v>
                </c:pt>
                <c:pt idx="151">
                  <c:v>312.66709502282998</c:v>
                </c:pt>
                <c:pt idx="152">
                  <c:v>313.45986733551996</c:v>
                </c:pt>
                <c:pt idx="153">
                  <c:v>312.85051552945998</c:v>
                </c:pt>
                <c:pt idx="154">
                  <c:v>337.18799605249012</c:v>
                </c:pt>
                <c:pt idx="155">
                  <c:v>339.48822343589001</c:v>
                </c:pt>
                <c:pt idx="156">
                  <c:v>340.23484213471005</c:v>
                </c:pt>
                <c:pt idx="157">
                  <c:v>341.81538537791005</c:v>
                </c:pt>
                <c:pt idx="158">
                  <c:v>344.85461913073988</c:v>
                </c:pt>
                <c:pt idx="159">
                  <c:v>326.43948202568009</c:v>
                </c:pt>
                <c:pt idx="160">
                  <c:v>324.39238209899997</c:v>
                </c:pt>
                <c:pt idx="161">
                  <c:v>324.16179143474011</c:v>
                </c:pt>
                <c:pt idx="162">
                  <c:v>324.97110064661996</c:v>
                </c:pt>
                <c:pt idx="163">
                  <c:v>307.97541080109022</c:v>
                </c:pt>
                <c:pt idx="164">
                  <c:v>341.83745811914002</c:v>
                </c:pt>
                <c:pt idx="165">
                  <c:v>346.3579038862199</c:v>
                </c:pt>
                <c:pt idx="166">
                  <c:v>345.32574711150011</c:v>
                </c:pt>
                <c:pt idx="167">
                  <c:v>344.07907355338995</c:v>
                </c:pt>
                <c:pt idx="168">
                  <c:v>363.26524324990999</c:v>
                </c:pt>
                <c:pt idx="169">
                  <c:v>317.95703049306991</c:v>
                </c:pt>
                <c:pt idx="170">
                  <c:v>317.76902942560002</c:v>
                </c:pt>
                <c:pt idx="171">
                  <c:v>315.58409613161984</c:v>
                </c:pt>
                <c:pt idx="172">
                  <c:v>311.69727122972</c:v>
                </c:pt>
                <c:pt idx="173">
                  <c:v>306.35755255371998</c:v>
                </c:pt>
                <c:pt idx="174">
                  <c:v>283.46906282389011</c:v>
                </c:pt>
                <c:pt idx="175">
                  <c:v>287.99168944353994</c:v>
                </c:pt>
                <c:pt idx="176">
                  <c:v>285.23835140730006</c:v>
                </c:pt>
                <c:pt idx="177">
                  <c:v>287.88671650016994</c:v>
                </c:pt>
                <c:pt idx="178">
                  <c:v>293.4084768405599</c:v>
                </c:pt>
                <c:pt idx="179">
                  <c:v>265.53204474355988</c:v>
                </c:pt>
                <c:pt idx="180">
                  <c:v>268.06966813648006</c:v>
                </c:pt>
                <c:pt idx="181">
                  <c:v>273.26728245541</c:v>
                </c:pt>
                <c:pt idx="182">
                  <c:v>275.74582131603989</c:v>
                </c:pt>
                <c:pt idx="183">
                  <c:v>271.03513132552007</c:v>
                </c:pt>
                <c:pt idx="184">
                  <c:v>178.43297074208002</c:v>
                </c:pt>
                <c:pt idx="185">
                  <c:v>185</c:v>
                </c:pt>
                <c:pt idx="186">
                  <c:v>191</c:v>
                </c:pt>
                <c:pt idx="187">
                  <c:v>197.8715764572101</c:v>
                </c:pt>
                <c:pt idx="188">
                  <c:v>205.60326638761003</c:v>
                </c:pt>
                <c:pt idx="189">
                  <c:v>208.88703610190004</c:v>
                </c:pt>
                <c:pt idx="190">
                  <c:v>180.97168578760997</c:v>
                </c:pt>
                <c:pt idx="191">
                  <c:v>178.74980596944002</c:v>
                </c:pt>
                <c:pt idx="192">
                  <c:v>177.70510451826993</c:v>
                </c:pt>
                <c:pt idx="193">
                  <c:v>176.06087510269001</c:v>
                </c:pt>
                <c:pt idx="194">
                  <c:v>167.87098256243993</c:v>
                </c:pt>
                <c:pt idx="195">
                  <c:v>185.67133839634994</c:v>
                </c:pt>
                <c:pt idx="196">
                  <c:v>185.02834590171</c:v>
                </c:pt>
                <c:pt idx="197">
                  <c:v>190.82591008951994</c:v>
                </c:pt>
                <c:pt idx="198">
                  <c:v>190.02718018344996</c:v>
                </c:pt>
                <c:pt idx="199">
                  <c:v>189.65652487015006</c:v>
                </c:pt>
                <c:pt idx="200">
                  <c:v>200.12274899953005</c:v>
                </c:pt>
                <c:pt idx="201">
                  <c:v>204.01652502965001</c:v>
                </c:pt>
                <c:pt idx="202">
                  <c:v>203.20139494440988</c:v>
                </c:pt>
                <c:pt idx="203">
                  <c:v>204.91704268620015</c:v>
                </c:pt>
                <c:pt idx="204">
                  <c:v>209.15638976620002</c:v>
                </c:pt>
                <c:pt idx="205">
                  <c:v>215.15976618361998</c:v>
                </c:pt>
                <c:pt idx="206">
                  <c:v>217.23658329919991</c:v>
                </c:pt>
                <c:pt idx="207">
                  <c:v>227.99342603458012</c:v>
                </c:pt>
                <c:pt idx="208">
                  <c:v>234.14188830677006</c:v>
                </c:pt>
                <c:pt idx="209">
                  <c:v>250.64944788568999</c:v>
                </c:pt>
                <c:pt idx="210">
                  <c:v>261.36526278793997</c:v>
                </c:pt>
                <c:pt idx="211">
                  <c:v>260.04846834828999</c:v>
                </c:pt>
                <c:pt idx="212">
                  <c:v>277.12659855884016</c:v>
                </c:pt>
                <c:pt idx="213">
                  <c:v>243.79809426450996</c:v>
                </c:pt>
                <c:pt idx="214">
                  <c:v>241.63961445761007</c:v>
                </c:pt>
                <c:pt idx="215">
                  <c:v>230.88358710194993</c:v>
                </c:pt>
                <c:pt idx="216">
                  <c:v>222.2982214148501</c:v>
                </c:pt>
                <c:pt idx="217">
                  <c:v>215.37855301900015</c:v>
                </c:pt>
                <c:pt idx="218">
                  <c:v>213.54603630405018</c:v>
                </c:pt>
                <c:pt idx="219">
                  <c:v>144.09308716687994</c:v>
                </c:pt>
                <c:pt idx="220">
                  <c:v>152.03226607305021</c:v>
                </c:pt>
                <c:pt idx="221">
                  <c:v>150.84430642581015</c:v>
                </c:pt>
                <c:pt idx="222">
                  <c:v>148.60924192181986</c:v>
                </c:pt>
                <c:pt idx="223">
                  <c:v>149.33414867121004</c:v>
                </c:pt>
                <c:pt idx="224">
                  <c:v>154.1477087933801</c:v>
                </c:pt>
                <c:pt idx="225">
                  <c:v>178.3714161922598</c:v>
                </c:pt>
                <c:pt idx="226">
                  <c:v>176.47259771036977</c:v>
                </c:pt>
                <c:pt idx="227">
                  <c:v>177.33337650487996</c:v>
                </c:pt>
                <c:pt idx="228">
                  <c:v>174.75361678526005</c:v>
                </c:pt>
                <c:pt idx="229">
                  <c:v>193.98048357298018</c:v>
                </c:pt>
                <c:pt idx="230">
                  <c:v>213.70365541066002</c:v>
                </c:pt>
                <c:pt idx="231">
                  <c:v>212.53252733635003</c:v>
                </c:pt>
                <c:pt idx="232">
                  <c:v>206.55120696784994</c:v>
                </c:pt>
                <c:pt idx="233">
                  <c:v>222.77083889864997</c:v>
                </c:pt>
                <c:pt idx="234">
                  <c:v>172.40116125332017</c:v>
                </c:pt>
                <c:pt idx="235">
                  <c:v>172.53875991721989</c:v>
                </c:pt>
                <c:pt idx="236">
                  <c:v>168.64744220185</c:v>
                </c:pt>
                <c:pt idx="237">
                  <c:v>164.1133620193998</c:v>
                </c:pt>
                <c:pt idx="238">
                  <c:v>151.64532408967986</c:v>
                </c:pt>
                <c:pt idx="239">
                  <c:v>174.22314420480009</c:v>
                </c:pt>
                <c:pt idx="240">
                  <c:v>179.20729557110997</c:v>
                </c:pt>
                <c:pt idx="241">
                  <c:v>173.91713489117967</c:v>
                </c:pt>
                <c:pt idx="242">
                  <c:v>177.61832681124997</c:v>
                </c:pt>
                <c:pt idx="243">
                  <c:v>182.98577363912975</c:v>
                </c:pt>
                <c:pt idx="244">
                  <c:v>192.13055903286991</c:v>
                </c:pt>
                <c:pt idx="245">
                  <c:v>193.90390404034011</c:v>
                </c:pt>
                <c:pt idx="246">
                  <c:v>202.11175891636975</c:v>
                </c:pt>
                <c:pt idx="247">
                  <c:v>209.8515605130298</c:v>
                </c:pt>
                <c:pt idx="248">
                  <c:v>198.67182664948996</c:v>
                </c:pt>
                <c:pt idx="249">
                  <c:v>208.15083407464016</c:v>
                </c:pt>
                <c:pt idx="250">
                  <c:v>197.46851956396006</c:v>
                </c:pt>
                <c:pt idx="251">
                  <c:v>221.55313605556998</c:v>
                </c:pt>
                <c:pt idx="252">
                  <c:v>240.73441857709003</c:v>
                </c:pt>
              </c:numCache>
            </c:numRef>
          </c:val>
          <c:smooth val="0"/>
        </c:ser>
        <c:ser>
          <c:idx val="0"/>
          <c:order val="1"/>
          <c:tx>
            <c:strRef>
              <c:f>List1!$A$2</c:f>
              <c:strCache>
                <c:ptCount val="1"/>
                <c:pt idx="0">
                  <c:v>2016</c:v>
                </c:pt>
              </c:strCache>
            </c:strRef>
          </c:tx>
          <c:spPr>
            <a:ln w="27940">
              <a:solidFill>
                <a:schemeClr val="tx1"/>
              </a:solidFill>
              <a:prstDash val="sysDot"/>
            </a:ln>
          </c:spPr>
          <c:marker>
            <c:symbol val="none"/>
          </c:marker>
          <c:cat>
            <c:numRef>
              <c:f>List1!$B$1:$IT$1</c:f>
              <c:numCache>
                <c:formatCode>m/d/yyyy</c:formatCode>
                <c:ptCount val="253"/>
                <c:pt idx="0">
                  <c:v>42736</c:v>
                </c:pt>
                <c:pt idx="1">
                  <c:v>42737</c:v>
                </c:pt>
                <c:pt idx="2">
                  <c:v>42738</c:v>
                </c:pt>
                <c:pt idx="3">
                  <c:v>42739</c:v>
                </c:pt>
                <c:pt idx="4">
                  <c:v>42740</c:v>
                </c:pt>
                <c:pt idx="5">
                  <c:v>42741</c:v>
                </c:pt>
                <c:pt idx="6">
                  <c:v>42744</c:v>
                </c:pt>
                <c:pt idx="7">
                  <c:v>42745</c:v>
                </c:pt>
                <c:pt idx="8">
                  <c:v>42746</c:v>
                </c:pt>
                <c:pt idx="9">
                  <c:v>42747</c:v>
                </c:pt>
                <c:pt idx="10">
                  <c:v>42748</c:v>
                </c:pt>
                <c:pt idx="11">
                  <c:v>42751</c:v>
                </c:pt>
                <c:pt idx="12">
                  <c:v>42752</c:v>
                </c:pt>
                <c:pt idx="13">
                  <c:v>42753</c:v>
                </c:pt>
                <c:pt idx="14">
                  <c:v>42754</c:v>
                </c:pt>
                <c:pt idx="15">
                  <c:v>42755</c:v>
                </c:pt>
                <c:pt idx="16">
                  <c:v>42758</c:v>
                </c:pt>
                <c:pt idx="17">
                  <c:v>42759</c:v>
                </c:pt>
                <c:pt idx="18">
                  <c:v>42760</c:v>
                </c:pt>
                <c:pt idx="19">
                  <c:v>42761</c:v>
                </c:pt>
                <c:pt idx="20">
                  <c:v>42762</c:v>
                </c:pt>
                <c:pt idx="21">
                  <c:v>42765</c:v>
                </c:pt>
                <c:pt idx="22">
                  <c:v>42766</c:v>
                </c:pt>
                <c:pt idx="23">
                  <c:v>42767</c:v>
                </c:pt>
                <c:pt idx="24">
                  <c:v>42768</c:v>
                </c:pt>
                <c:pt idx="25">
                  <c:v>42769</c:v>
                </c:pt>
                <c:pt idx="26">
                  <c:v>42772</c:v>
                </c:pt>
                <c:pt idx="27">
                  <c:v>42773</c:v>
                </c:pt>
                <c:pt idx="28">
                  <c:v>42774</c:v>
                </c:pt>
                <c:pt idx="29">
                  <c:v>42775</c:v>
                </c:pt>
                <c:pt idx="30">
                  <c:v>42776</c:v>
                </c:pt>
                <c:pt idx="31">
                  <c:v>42779</c:v>
                </c:pt>
                <c:pt idx="32">
                  <c:v>42780</c:v>
                </c:pt>
                <c:pt idx="33">
                  <c:v>42781</c:v>
                </c:pt>
                <c:pt idx="34">
                  <c:v>42782</c:v>
                </c:pt>
                <c:pt idx="35">
                  <c:v>42783</c:v>
                </c:pt>
                <c:pt idx="36">
                  <c:v>42786</c:v>
                </c:pt>
                <c:pt idx="37">
                  <c:v>42787</c:v>
                </c:pt>
                <c:pt idx="38">
                  <c:v>42788</c:v>
                </c:pt>
                <c:pt idx="39">
                  <c:v>42789</c:v>
                </c:pt>
                <c:pt idx="40">
                  <c:v>42790</c:v>
                </c:pt>
                <c:pt idx="41">
                  <c:v>42793</c:v>
                </c:pt>
                <c:pt idx="42">
                  <c:v>42794</c:v>
                </c:pt>
                <c:pt idx="43">
                  <c:v>42795</c:v>
                </c:pt>
                <c:pt idx="44">
                  <c:v>42796</c:v>
                </c:pt>
                <c:pt idx="45">
                  <c:v>42797</c:v>
                </c:pt>
                <c:pt idx="46">
                  <c:v>42800</c:v>
                </c:pt>
                <c:pt idx="47">
                  <c:v>42801</c:v>
                </c:pt>
                <c:pt idx="48">
                  <c:v>42802</c:v>
                </c:pt>
                <c:pt idx="49">
                  <c:v>42803</c:v>
                </c:pt>
                <c:pt idx="50">
                  <c:v>42804</c:v>
                </c:pt>
                <c:pt idx="51">
                  <c:v>42807</c:v>
                </c:pt>
                <c:pt idx="52">
                  <c:v>42808</c:v>
                </c:pt>
                <c:pt idx="53">
                  <c:v>42809</c:v>
                </c:pt>
                <c:pt idx="54">
                  <c:v>42810</c:v>
                </c:pt>
                <c:pt idx="55">
                  <c:v>42811</c:v>
                </c:pt>
                <c:pt idx="56">
                  <c:v>42814</c:v>
                </c:pt>
                <c:pt idx="57">
                  <c:v>42815</c:v>
                </c:pt>
                <c:pt idx="58">
                  <c:v>42816</c:v>
                </c:pt>
                <c:pt idx="59">
                  <c:v>42817</c:v>
                </c:pt>
                <c:pt idx="60">
                  <c:v>42818</c:v>
                </c:pt>
                <c:pt idx="61">
                  <c:v>42821</c:v>
                </c:pt>
                <c:pt idx="62">
                  <c:v>42822</c:v>
                </c:pt>
                <c:pt idx="63">
                  <c:v>42823</c:v>
                </c:pt>
                <c:pt idx="64">
                  <c:v>42824</c:v>
                </c:pt>
                <c:pt idx="65">
                  <c:v>42825</c:v>
                </c:pt>
                <c:pt idx="66">
                  <c:v>42828</c:v>
                </c:pt>
                <c:pt idx="67">
                  <c:v>42829</c:v>
                </c:pt>
                <c:pt idx="68">
                  <c:v>42830</c:v>
                </c:pt>
                <c:pt idx="69">
                  <c:v>42831</c:v>
                </c:pt>
                <c:pt idx="70">
                  <c:v>42832</c:v>
                </c:pt>
                <c:pt idx="71">
                  <c:v>42835</c:v>
                </c:pt>
                <c:pt idx="72">
                  <c:v>42836</c:v>
                </c:pt>
                <c:pt idx="73">
                  <c:v>42837</c:v>
                </c:pt>
                <c:pt idx="74">
                  <c:v>42838</c:v>
                </c:pt>
                <c:pt idx="75">
                  <c:v>42843</c:v>
                </c:pt>
                <c:pt idx="76">
                  <c:v>42844</c:v>
                </c:pt>
                <c:pt idx="77">
                  <c:v>42845</c:v>
                </c:pt>
                <c:pt idx="78">
                  <c:v>42846</c:v>
                </c:pt>
                <c:pt idx="79">
                  <c:v>42849</c:v>
                </c:pt>
                <c:pt idx="80">
                  <c:v>42850</c:v>
                </c:pt>
                <c:pt idx="81">
                  <c:v>42851</c:v>
                </c:pt>
                <c:pt idx="82">
                  <c:v>42852</c:v>
                </c:pt>
                <c:pt idx="83">
                  <c:v>42853</c:v>
                </c:pt>
                <c:pt idx="84">
                  <c:v>42857</c:v>
                </c:pt>
                <c:pt idx="85">
                  <c:v>42858</c:v>
                </c:pt>
                <c:pt idx="86">
                  <c:v>42859</c:v>
                </c:pt>
                <c:pt idx="87">
                  <c:v>42860</c:v>
                </c:pt>
                <c:pt idx="88">
                  <c:v>42864</c:v>
                </c:pt>
                <c:pt idx="89">
                  <c:v>42865</c:v>
                </c:pt>
                <c:pt idx="90">
                  <c:v>42866</c:v>
                </c:pt>
                <c:pt idx="91">
                  <c:v>42867</c:v>
                </c:pt>
                <c:pt idx="92">
                  <c:v>42870</c:v>
                </c:pt>
                <c:pt idx="93">
                  <c:v>42871</c:v>
                </c:pt>
                <c:pt idx="94">
                  <c:v>42872</c:v>
                </c:pt>
                <c:pt idx="95">
                  <c:v>42873</c:v>
                </c:pt>
                <c:pt idx="96">
                  <c:v>42874</c:v>
                </c:pt>
                <c:pt idx="97">
                  <c:v>42877</c:v>
                </c:pt>
                <c:pt idx="98">
                  <c:v>42878</c:v>
                </c:pt>
                <c:pt idx="99">
                  <c:v>42879</c:v>
                </c:pt>
                <c:pt idx="100">
                  <c:v>42880</c:v>
                </c:pt>
                <c:pt idx="101">
                  <c:v>42881</c:v>
                </c:pt>
                <c:pt idx="102">
                  <c:v>42884</c:v>
                </c:pt>
                <c:pt idx="103">
                  <c:v>42885</c:v>
                </c:pt>
                <c:pt idx="104">
                  <c:v>42886</c:v>
                </c:pt>
                <c:pt idx="105">
                  <c:v>42887</c:v>
                </c:pt>
                <c:pt idx="106">
                  <c:v>42888</c:v>
                </c:pt>
                <c:pt idx="107">
                  <c:v>42891</c:v>
                </c:pt>
                <c:pt idx="108">
                  <c:v>42892</c:v>
                </c:pt>
                <c:pt idx="109">
                  <c:v>42893</c:v>
                </c:pt>
                <c:pt idx="110">
                  <c:v>42894</c:v>
                </c:pt>
                <c:pt idx="111">
                  <c:v>42895</c:v>
                </c:pt>
                <c:pt idx="112">
                  <c:v>42898</c:v>
                </c:pt>
                <c:pt idx="113">
                  <c:v>42899</c:v>
                </c:pt>
                <c:pt idx="114">
                  <c:v>42900</c:v>
                </c:pt>
                <c:pt idx="115">
                  <c:v>42901</c:v>
                </c:pt>
                <c:pt idx="116">
                  <c:v>42902</c:v>
                </c:pt>
                <c:pt idx="117">
                  <c:v>42905</c:v>
                </c:pt>
                <c:pt idx="118">
                  <c:v>42906</c:v>
                </c:pt>
                <c:pt idx="119">
                  <c:v>42907</c:v>
                </c:pt>
                <c:pt idx="120">
                  <c:v>42908</c:v>
                </c:pt>
                <c:pt idx="121">
                  <c:v>42909</c:v>
                </c:pt>
                <c:pt idx="122">
                  <c:v>42912</c:v>
                </c:pt>
                <c:pt idx="123">
                  <c:v>42913</c:v>
                </c:pt>
                <c:pt idx="124">
                  <c:v>42914</c:v>
                </c:pt>
                <c:pt idx="125">
                  <c:v>42915</c:v>
                </c:pt>
                <c:pt idx="126">
                  <c:v>42916</c:v>
                </c:pt>
                <c:pt idx="127">
                  <c:v>42919</c:v>
                </c:pt>
                <c:pt idx="128">
                  <c:v>42920</c:v>
                </c:pt>
                <c:pt idx="129">
                  <c:v>42923</c:v>
                </c:pt>
                <c:pt idx="130">
                  <c:v>42926</c:v>
                </c:pt>
                <c:pt idx="131">
                  <c:v>42927</c:v>
                </c:pt>
                <c:pt idx="132">
                  <c:v>42928</c:v>
                </c:pt>
                <c:pt idx="133">
                  <c:v>42929</c:v>
                </c:pt>
                <c:pt idx="134">
                  <c:v>42930</c:v>
                </c:pt>
                <c:pt idx="135">
                  <c:v>42933</c:v>
                </c:pt>
                <c:pt idx="136">
                  <c:v>42934</c:v>
                </c:pt>
                <c:pt idx="137">
                  <c:v>42935</c:v>
                </c:pt>
                <c:pt idx="138">
                  <c:v>42936</c:v>
                </c:pt>
                <c:pt idx="139">
                  <c:v>42937</c:v>
                </c:pt>
                <c:pt idx="140">
                  <c:v>42940</c:v>
                </c:pt>
                <c:pt idx="141">
                  <c:v>42941</c:v>
                </c:pt>
                <c:pt idx="142">
                  <c:v>42942</c:v>
                </c:pt>
                <c:pt idx="143">
                  <c:v>42943</c:v>
                </c:pt>
                <c:pt idx="144">
                  <c:v>42944</c:v>
                </c:pt>
                <c:pt idx="145">
                  <c:v>42947</c:v>
                </c:pt>
                <c:pt idx="146">
                  <c:v>42948</c:v>
                </c:pt>
                <c:pt idx="147">
                  <c:v>42949</c:v>
                </c:pt>
                <c:pt idx="148">
                  <c:v>42950</c:v>
                </c:pt>
                <c:pt idx="149">
                  <c:v>42951</c:v>
                </c:pt>
                <c:pt idx="150">
                  <c:v>42954</c:v>
                </c:pt>
                <c:pt idx="151">
                  <c:v>42955</c:v>
                </c:pt>
                <c:pt idx="152">
                  <c:v>42956</c:v>
                </c:pt>
                <c:pt idx="153">
                  <c:v>42957</c:v>
                </c:pt>
                <c:pt idx="154">
                  <c:v>42958</c:v>
                </c:pt>
                <c:pt idx="155">
                  <c:v>42961</c:v>
                </c:pt>
                <c:pt idx="156">
                  <c:v>42962</c:v>
                </c:pt>
                <c:pt idx="157">
                  <c:v>42963</c:v>
                </c:pt>
                <c:pt idx="158">
                  <c:v>42964</c:v>
                </c:pt>
                <c:pt idx="159">
                  <c:v>42965</c:v>
                </c:pt>
                <c:pt idx="160">
                  <c:v>42968</c:v>
                </c:pt>
                <c:pt idx="161">
                  <c:v>42969</c:v>
                </c:pt>
                <c:pt idx="162">
                  <c:v>42970</c:v>
                </c:pt>
                <c:pt idx="163">
                  <c:v>42971</c:v>
                </c:pt>
                <c:pt idx="164">
                  <c:v>42972</c:v>
                </c:pt>
                <c:pt idx="165">
                  <c:v>42975</c:v>
                </c:pt>
                <c:pt idx="166">
                  <c:v>42976</c:v>
                </c:pt>
                <c:pt idx="167">
                  <c:v>42977</c:v>
                </c:pt>
                <c:pt idx="168">
                  <c:v>42978</c:v>
                </c:pt>
                <c:pt idx="169">
                  <c:v>42979</c:v>
                </c:pt>
                <c:pt idx="170">
                  <c:v>42982</c:v>
                </c:pt>
                <c:pt idx="171">
                  <c:v>42983</c:v>
                </c:pt>
                <c:pt idx="172">
                  <c:v>42984</c:v>
                </c:pt>
                <c:pt idx="173">
                  <c:v>42985</c:v>
                </c:pt>
                <c:pt idx="174">
                  <c:v>42986</c:v>
                </c:pt>
                <c:pt idx="175">
                  <c:v>42989</c:v>
                </c:pt>
                <c:pt idx="176">
                  <c:v>42990</c:v>
                </c:pt>
                <c:pt idx="177">
                  <c:v>42991</c:v>
                </c:pt>
                <c:pt idx="178">
                  <c:v>42992</c:v>
                </c:pt>
                <c:pt idx="179">
                  <c:v>42993</c:v>
                </c:pt>
                <c:pt idx="180">
                  <c:v>42996</c:v>
                </c:pt>
                <c:pt idx="181">
                  <c:v>42997</c:v>
                </c:pt>
                <c:pt idx="182">
                  <c:v>42998</c:v>
                </c:pt>
                <c:pt idx="183">
                  <c:v>42999</c:v>
                </c:pt>
                <c:pt idx="184">
                  <c:v>43000</c:v>
                </c:pt>
                <c:pt idx="185">
                  <c:v>43001</c:v>
                </c:pt>
                <c:pt idx="186">
                  <c:v>43002</c:v>
                </c:pt>
                <c:pt idx="187">
                  <c:v>43003</c:v>
                </c:pt>
                <c:pt idx="188">
                  <c:v>43004</c:v>
                </c:pt>
                <c:pt idx="189">
                  <c:v>43005</c:v>
                </c:pt>
                <c:pt idx="190">
                  <c:v>43007</c:v>
                </c:pt>
                <c:pt idx="191">
                  <c:v>43010</c:v>
                </c:pt>
                <c:pt idx="192">
                  <c:v>43011</c:v>
                </c:pt>
                <c:pt idx="193">
                  <c:v>43012</c:v>
                </c:pt>
                <c:pt idx="194">
                  <c:v>43013</c:v>
                </c:pt>
                <c:pt idx="195">
                  <c:v>43014</c:v>
                </c:pt>
                <c:pt idx="196">
                  <c:v>43017</c:v>
                </c:pt>
                <c:pt idx="197">
                  <c:v>43018</c:v>
                </c:pt>
                <c:pt idx="198">
                  <c:v>43019</c:v>
                </c:pt>
                <c:pt idx="199">
                  <c:v>43020</c:v>
                </c:pt>
                <c:pt idx="200">
                  <c:v>43021</c:v>
                </c:pt>
                <c:pt idx="201">
                  <c:v>43024</c:v>
                </c:pt>
                <c:pt idx="202">
                  <c:v>43025</c:v>
                </c:pt>
                <c:pt idx="203">
                  <c:v>43026</c:v>
                </c:pt>
                <c:pt idx="204">
                  <c:v>43027</c:v>
                </c:pt>
                <c:pt idx="205">
                  <c:v>43028</c:v>
                </c:pt>
                <c:pt idx="206">
                  <c:v>43031</c:v>
                </c:pt>
                <c:pt idx="207">
                  <c:v>43032</c:v>
                </c:pt>
                <c:pt idx="208">
                  <c:v>43033</c:v>
                </c:pt>
                <c:pt idx="209">
                  <c:v>43034</c:v>
                </c:pt>
                <c:pt idx="210">
                  <c:v>43035</c:v>
                </c:pt>
                <c:pt idx="211">
                  <c:v>43038</c:v>
                </c:pt>
                <c:pt idx="212">
                  <c:v>43039</c:v>
                </c:pt>
                <c:pt idx="213">
                  <c:v>43040</c:v>
                </c:pt>
                <c:pt idx="214">
                  <c:v>43041</c:v>
                </c:pt>
                <c:pt idx="215">
                  <c:v>43042</c:v>
                </c:pt>
                <c:pt idx="216">
                  <c:v>43045</c:v>
                </c:pt>
                <c:pt idx="217">
                  <c:v>43046</c:v>
                </c:pt>
                <c:pt idx="218">
                  <c:v>43047</c:v>
                </c:pt>
                <c:pt idx="219">
                  <c:v>43048</c:v>
                </c:pt>
                <c:pt idx="220">
                  <c:v>43049</c:v>
                </c:pt>
                <c:pt idx="221">
                  <c:v>43052</c:v>
                </c:pt>
                <c:pt idx="222">
                  <c:v>43053</c:v>
                </c:pt>
                <c:pt idx="223">
                  <c:v>43054</c:v>
                </c:pt>
                <c:pt idx="224">
                  <c:v>43055</c:v>
                </c:pt>
                <c:pt idx="225">
                  <c:v>43059</c:v>
                </c:pt>
                <c:pt idx="226">
                  <c:v>43060</c:v>
                </c:pt>
                <c:pt idx="227">
                  <c:v>43061</c:v>
                </c:pt>
                <c:pt idx="228">
                  <c:v>43062</c:v>
                </c:pt>
                <c:pt idx="229">
                  <c:v>43063</c:v>
                </c:pt>
                <c:pt idx="230">
                  <c:v>43066</c:v>
                </c:pt>
                <c:pt idx="231">
                  <c:v>43067</c:v>
                </c:pt>
                <c:pt idx="232">
                  <c:v>43068</c:v>
                </c:pt>
                <c:pt idx="233">
                  <c:v>43069</c:v>
                </c:pt>
                <c:pt idx="234">
                  <c:v>43070</c:v>
                </c:pt>
                <c:pt idx="235">
                  <c:v>43073</c:v>
                </c:pt>
                <c:pt idx="236">
                  <c:v>43074</c:v>
                </c:pt>
                <c:pt idx="237">
                  <c:v>43075</c:v>
                </c:pt>
                <c:pt idx="238">
                  <c:v>43076</c:v>
                </c:pt>
                <c:pt idx="239">
                  <c:v>43077</c:v>
                </c:pt>
                <c:pt idx="240">
                  <c:v>43080</c:v>
                </c:pt>
                <c:pt idx="241">
                  <c:v>43081</c:v>
                </c:pt>
                <c:pt idx="242">
                  <c:v>43082</c:v>
                </c:pt>
                <c:pt idx="243">
                  <c:v>43083</c:v>
                </c:pt>
                <c:pt idx="244">
                  <c:v>43084</c:v>
                </c:pt>
                <c:pt idx="245">
                  <c:v>43087</c:v>
                </c:pt>
                <c:pt idx="246">
                  <c:v>43088</c:v>
                </c:pt>
                <c:pt idx="247">
                  <c:v>43089</c:v>
                </c:pt>
                <c:pt idx="248">
                  <c:v>43090</c:v>
                </c:pt>
                <c:pt idx="249">
                  <c:v>43091</c:v>
                </c:pt>
                <c:pt idx="250">
                  <c:v>43096</c:v>
                </c:pt>
                <c:pt idx="251">
                  <c:v>43097</c:v>
                </c:pt>
                <c:pt idx="252">
                  <c:v>43098</c:v>
                </c:pt>
              </c:numCache>
            </c:numRef>
          </c:cat>
          <c:val>
            <c:numRef>
              <c:f>List1!$B$2:$IT$2</c:f>
              <c:numCache>
                <c:formatCode>0.000</c:formatCode>
                <c:ptCount val="253"/>
                <c:pt idx="0">
                  <c:v>143.50360956933997</c:v>
                </c:pt>
                <c:pt idx="1">
                  <c:v>145.44547916027997</c:v>
                </c:pt>
                <c:pt idx="2">
                  <c:v>150.41416634129001</c:v>
                </c:pt>
                <c:pt idx="3">
                  <c:v>151.49577119242997</c:v>
                </c:pt>
                <c:pt idx="4">
                  <c:v>145.31322180382</c:v>
                </c:pt>
                <c:pt idx="5">
                  <c:v>121.54953239307</c:v>
                </c:pt>
                <c:pt idx="6">
                  <c:v>122.57217417250999</c:v>
                </c:pt>
                <c:pt idx="7">
                  <c:v>124.58080101300999</c:v>
                </c:pt>
                <c:pt idx="8">
                  <c:v>121.86959817862999</c:v>
                </c:pt>
                <c:pt idx="9">
                  <c:v>120.50157287341</c:v>
                </c:pt>
                <c:pt idx="10">
                  <c:v>132.49350722119999</c:v>
                </c:pt>
                <c:pt idx="11">
                  <c:v>136.78412249113001</c:v>
                </c:pt>
                <c:pt idx="12">
                  <c:v>140.16867675382002</c:v>
                </c:pt>
                <c:pt idx="13">
                  <c:v>145.66723788526997</c:v>
                </c:pt>
                <c:pt idx="14">
                  <c:v>146.47768022534001</c:v>
                </c:pt>
                <c:pt idx="15">
                  <c:v>172.15833471951001</c:v>
                </c:pt>
                <c:pt idx="16">
                  <c:v>193.65262219040002</c:v>
                </c:pt>
                <c:pt idx="17">
                  <c:v>170.88753339697001</c:v>
                </c:pt>
                <c:pt idx="18">
                  <c:v>147.04386921356001</c:v>
                </c:pt>
                <c:pt idx="19">
                  <c:v>144.93109486107002</c:v>
                </c:pt>
                <c:pt idx="20">
                  <c:v>163.39482788506001</c:v>
                </c:pt>
                <c:pt idx="21">
                  <c:v>155.96628498638</c:v>
                </c:pt>
                <c:pt idx="22">
                  <c:v>157.50255018253003</c:v>
                </c:pt>
                <c:pt idx="23">
                  <c:v>163.79269454239002</c:v>
                </c:pt>
                <c:pt idx="24">
                  <c:v>156.97791681059996</c:v>
                </c:pt>
                <c:pt idx="25">
                  <c:v>146.02447347475001</c:v>
                </c:pt>
                <c:pt idx="26">
                  <c:v>143.92179695690001</c:v>
                </c:pt>
                <c:pt idx="27">
                  <c:v>145.20405143551</c:v>
                </c:pt>
                <c:pt idx="28">
                  <c:v>144.72111127895005</c:v>
                </c:pt>
                <c:pt idx="29">
                  <c:v>149.56998499746999</c:v>
                </c:pt>
                <c:pt idx="30">
                  <c:v>155.60331563854999</c:v>
                </c:pt>
                <c:pt idx="31">
                  <c:v>158.14818318981003</c:v>
                </c:pt>
                <c:pt idx="32">
                  <c:v>162.03044562498999</c:v>
                </c:pt>
                <c:pt idx="33">
                  <c:v>159.83671257797999</c:v>
                </c:pt>
                <c:pt idx="34">
                  <c:v>160.92054175140001</c:v>
                </c:pt>
                <c:pt idx="35">
                  <c:v>158.19878971846995</c:v>
                </c:pt>
                <c:pt idx="36">
                  <c:v>160.37824854585003</c:v>
                </c:pt>
                <c:pt idx="37">
                  <c:v>161.8195464369</c:v>
                </c:pt>
                <c:pt idx="38">
                  <c:v>140.02344770451</c:v>
                </c:pt>
                <c:pt idx="39">
                  <c:v>150.34239702855999</c:v>
                </c:pt>
                <c:pt idx="40">
                  <c:v>153.92934410157994</c:v>
                </c:pt>
                <c:pt idx="41">
                  <c:v>158.26974361608004</c:v>
                </c:pt>
                <c:pt idx="42">
                  <c:v>155.10008232255001</c:v>
                </c:pt>
                <c:pt idx="43">
                  <c:v>154.38730248597997</c:v>
                </c:pt>
                <c:pt idx="44">
                  <c:v>152.25788417175002</c:v>
                </c:pt>
                <c:pt idx="45">
                  <c:v>149.79391731556998</c:v>
                </c:pt>
                <c:pt idx="46">
                  <c:v>144.38822113348996</c:v>
                </c:pt>
                <c:pt idx="47">
                  <c:v>144.91879508824996</c:v>
                </c:pt>
                <c:pt idx="48">
                  <c:v>144.79729966020997</c:v>
                </c:pt>
                <c:pt idx="49">
                  <c:v>144.98824940986</c:v>
                </c:pt>
                <c:pt idx="50">
                  <c:v>143.74511262197998</c:v>
                </c:pt>
                <c:pt idx="51">
                  <c:v>152.30029617256997</c:v>
                </c:pt>
                <c:pt idx="52">
                  <c:v>162.59772719296006</c:v>
                </c:pt>
                <c:pt idx="53">
                  <c:v>177.03906781676005</c:v>
                </c:pt>
                <c:pt idx="54">
                  <c:v>173.46745947954</c:v>
                </c:pt>
                <c:pt idx="55">
                  <c:v>174.87283394655003</c:v>
                </c:pt>
                <c:pt idx="56">
                  <c:v>169.85006829437998</c:v>
                </c:pt>
                <c:pt idx="57">
                  <c:v>162.79235852698002</c:v>
                </c:pt>
                <c:pt idx="58">
                  <c:v>161.76951655873003</c:v>
                </c:pt>
                <c:pt idx="59">
                  <c:v>147.6627716416001</c:v>
                </c:pt>
                <c:pt idx="60">
                  <c:v>163.79838655973001</c:v>
                </c:pt>
                <c:pt idx="61">
                  <c:v>167.36244334092004</c:v>
                </c:pt>
                <c:pt idx="62">
                  <c:v>178.17289100286004</c:v>
                </c:pt>
                <c:pt idx="63" formatCode="General">
                  <c:v>164.79231357555003</c:v>
                </c:pt>
                <c:pt idx="64" formatCode="General">
                  <c:v>168.82616115416994</c:v>
                </c:pt>
                <c:pt idx="65" formatCode="General">
                  <c:v>165.48381616141995</c:v>
                </c:pt>
                <c:pt idx="66" formatCode="General">
                  <c:v>161.19907993310005</c:v>
                </c:pt>
                <c:pt idx="67" formatCode="General">
                  <c:v>149.89719595686998</c:v>
                </c:pt>
                <c:pt idx="68" formatCode="General">
                  <c:v>152.92397212494006</c:v>
                </c:pt>
                <c:pt idx="69" formatCode="General">
                  <c:v>146.21712489273997</c:v>
                </c:pt>
                <c:pt idx="70" formatCode="General">
                  <c:v>145.92386062392995</c:v>
                </c:pt>
                <c:pt idx="71" formatCode="General">
                  <c:v>142.21490137655999</c:v>
                </c:pt>
                <c:pt idx="72" formatCode="General">
                  <c:v>141.14549618594998</c:v>
                </c:pt>
                <c:pt idx="73" formatCode="General">
                  <c:v>145.78671415138996</c:v>
                </c:pt>
                <c:pt idx="74" formatCode="General">
                  <c:v>145.08548129837996</c:v>
                </c:pt>
                <c:pt idx="75" formatCode="General">
                  <c:v>147.97706604589996</c:v>
                </c:pt>
                <c:pt idx="76" formatCode="General">
                  <c:v>152.26444333833996</c:v>
                </c:pt>
                <c:pt idx="77" formatCode="General">
                  <c:v>150.66281897577005</c:v>
                </c:pt>
                <c:pt idx="78" formatCode="General">
                  <c:v>145.03300035843003</c:v>
                </c:pt>
                <c:pt idx="79" formatCode="General">
                  <c:v>162.70992556506002</c:v>
                </c:pt>
                <c:pt idx="80" formatCode="General">
                  <c:v>172.27711278463997</c:v>
                </c:pt>
                <c:pt idx="81" formatCode="General">
                  <c:v>172.07561971478003</c:v>
                </c:pt>
                <c:pt idx="82" formatCode="General">
                  <c:v>150.88766942467998</c:v>
                </c:pt>
                <c:pt idx="83" formatCode="General">
                  <c:v>161.24695716698</c:v>
                </c:pt>
                <c:pt idx="84" formatCode="General">
                  <c:v>159.28265968141</c:v>
                </c:pt>
                <c:pt idx="85" formatCode="General">
                  <c:v>158.26158078882003</c:v>
                </c:pt>
                <c:pt idx="86" formatCode="General">
                  <c:v>149.96404817969002</c:v>
                </c:pt>
                <c:pt idx="87" formatCode="General">
                  <c:v>140.77433353134998</c:v>
                </c:pt>
                <c:pt idx="88" formatCode="General">
                  <c:v>128.89242515655994</c:v>
                </c:pt>
                <c:pt idx="89" formatCode="General">
                  <c:v>129.45115711065998</c:v>
                </c:pt>
                <c:pt idx="90" formatCode="General">
                  <c:v>131.88154739428001</c:v>
                </c:pt>
                <c:pt idx="91" formatCode="General">
                  <c:v>127.94710004515005</c:v>
                </c:pt>
                <c:pt idx="92" formatCode="General">
                  <c:v>126.99987020824997</c:v>
                </c:pt>
                <c:pt idx="93" formatCode="General">
                  <c:v>123.95684428980999</c:v>
                </c:pt>
                <c:pt idx="94" formatCode="General">
                  <c:v>125.40098380222994</c:v>
                </c:pt>
                <c:pt idx="95" formatCode="General">
                  <c:v>125.19272995902006</c:v>
                </c:pt>
                <c:pt idx="96" formatCode="General">
                  <c:v>126.33660302330999</c:v>
                </c:pt>
                <c:pt idx="97" formatCode="General">
                  <c:v>126.35554960634001</c:v>
                </c:pt>
                <c:pt idx="98" formatCode="General">
                  <c:v>135.14607680245001</c:v>
                </c:pt>
                <c:pt idx="99" formatCode="General">
                  <c:v>134.16715563064002</c:v>
                </c:pt>
                <c:pt idx="100" formatCode="General">
                  <c:v>138.74514077888003</c:v>
                </c:pt>
                <c:pt idx="101" formatCode="General">
                  <c:v>128.77707887959997</c:v>
                </c:pt>
                <c:pt idx="102" formatCode="General">
                  <c:v>134.81359703891005</c:v>
                </c:pt>
                <c:pt idx="103" formatCode="General">
                  <c:v>132.19190093635996</c:v>
                </c:pt>
                <c:pt idx="104" formatCode="General">
                  <c:v>131.96512181930993</c:v>
                </c:pt>
                <c:pt idx="105" formatCode="General">
                  <c:v>148.50577464784996</c:v>
                </c:pt>
                <c:pt idx="106" formatCode="General">
                  <c:v>145.60672240226998</c:v>
                </c:pt>
                <c:pt idx="107" formatCode="General">
                  <c:v>148.28983701809994</c:v>
                </c:pt>
                <c:pt idx="108" formatCode="General">
                  <c:v>145.23664644220997</c:v>
                </c:pt>
                <c:pt idx="109" formatCode="General">
                  <c:v>141.08512425343005</c:v>
                </c:pt>
                <c:pt idx="110" formatCode="General">
                  <c:v>132.6444373198299</c:v>
                </c:pt>
                <c:pt idx="111" formatCode="General">
                  <c:v>134.6518617367899</c:v>
                </c:pt>
                <c:pt idx="112" formatCode="General">
                  <c:v>134.06783051625004</c:v>
                </c:pt>
                <c:pt idx="113" formatCode="General">
                  <c:v>127.54706211113006</c:v>
                </c:pt>
                <c:pt idx="114" formatCode="General">
                  <c:v>120.03026187084005</c:v>
                </c:pt>
                <c:pt idx="115" formatCode="General">
                  <c:v>127.29317036473992</c:v>
                </c:pt>
                <c:pt idx="116" formatCode="General">
                  <c:v>137.04125951287992</c:v>
                </c:pt>
                <c:pt idx="117" formatCode="General">
                  <c:v>141.3125273835</c:v>
                </c:pt>
                <c:pt idx="118" formatCode="General">
                  <c:v>142.43257209730001</c:v>
                </c:pt>
                <c:pt idx="119" formatCode="General">
                  <c:v>149.47071203011998</c:v>
                </c:pt>
                <c:pt idx="120" formatCode="General">
                  <c:v>145.00124478401008</c:v>
                </c:pt>
                <c:pt idx="121" formatCode="General">
                  <c:v>138.04318175293002</c:v>
                </c:pt>
                <c:pt idx="122" formatCode="General">
                  <c:v>139.59819087414004</c:v>
                </c:pt>
                <c:pt idx="123" formatCode="General">
                  <c:v>126.35779705058998</c:v>
                </c:pt>
                <c:pt idx="124" formatCode="General">
                  <c:v>142.85073680981012</c:v>
                </c:pt>
                <c:pt idx="125" formatCode="General">
                  <c:v>150.06851311299997</c:v>
                </c:pt>
                <c:pt idx="126" formatCode="General">
                  <c:v>153.41348139881995</c:v>
                </c:pt>
                <c:pt idx="127" formatCode="General">
                  <c:v>175.46303049749002</c:v>
                </c:pt>
                <c:pt idx="128" formatCode="General">
                  <c:v>175.99674468441012</c:v>
                </c:pt>
                <c:pt idx="129" formatCode="General">
                  <c:v>179.85984615713002</c:v>
                </c:pt>
                <c:pt idx="130" formatCode="General">
                  <c:v>177.76034837593005</c:v>
                </c:pt>
                <c:pt idx="131" formatCode="General">
                  <c:v>168.90222216093989</c:v>
                </c:pt>
                <c:pt idx="132" formatCode="General">
                  <c:v>161.92210493779984</c:v>
                </c:pt>
                <c:pt idx="133" formatCode="General">
                  <c:v>163.28292332089006</c:v>
                </c:pt>
                <c:pt idx="134" formatCode="General">
                  <c:v>159.46796465549988</c:v>
                </c:pt>
                <c:pt idx="135" formatCode="General">
                  <c:v>157.6259383383499</c:v>
                </c:pt>
                <c:pt idx="136" formatCode="General">
                  <c:v>155.84062036924993</c:v>
                </c:pt>
                <c:pt idx="137" formatCode="General">
                  <c:v>160.62069517302001</c:v>
                </c:pt>
                <c:pt idx="138" formatCode="General">
                  <c:v>164.03616838308994</c:v>
                </c:pt>
                <c:pt idx="139" formatCode="General">
                  <c:v>168.47424084540006</c:v>
                </c:pt>
                <c:pt idx="140" formatCode="General">
                  <c:v>167.98414977198999</c:v>
                </c:pt>
                <c:pt idx="141" formatCode="General">
                  <c:v>168.59194751804006</c:v>
                </c:pt>
                <c:pt idx="142" formatCode="General">
                  <c:v>189.21263297135997</c:v>
                </c:pt>
                <c:pt idx="143" formatCode="General">
                  <c:v>210.59458658241994</c:v>
                </c:pt>
                <c:pt idx="144" formatCode="General">
                  <c:v>192.36323661969004</c:v>
                </c:pt>
                <c:pt idx="145" formatCode="General">
                  <c:v>165.19827104979987</c:v>
                </c:pt>
                <c:pt idx="146" formatCode="General">
                  <c:v>164.60788229791984</c:v>
                </c:pt>
                <c:pt idx="147" formatCode="General">
                  <c:v>169.10327503461002</c:v>
                </c:pt>
                <c:pt idx="148" formatCode="General">
                  <c:v>169.29706087248996</c:v>
                </c:pt>
                <c:pt idx="149" formatCode="General">
                  <c:v>168.55499380370998</c:v>
                </c:pt>
                <c:pt idx="150" formatCode="General">
                  <c:v>159.28700395854997</c:v>
                </c:pt>
                <c:pt idx="151" formatCode="General">
                  <c:v>149.55084908335004</c:v>
                </c:pt>
                <c:pt idx="152" formatCode="General">
                  <c:v>151.01921152478999</c:v>
                </c:pt>
                <c:pt idx="153" formatCode="General">
                  <c:v>151.01865784815993</c:v>
                </c:pt>
                <c:pt idx="154" formatCode="General">
                  <c:v>150.8406712899</c:v>
                </c:pt>
                <c:pt idx="155" formatCode="General">
                  <c:v>150.3994870503999</c:v>
                </c:pt>
                <c:pt idx="156" formatCode="General">
                  <c:v>148.88743225950003</c:v>
                </c:pt>
                <c:pt idx="157" formatCode="General">
                  <c:v>148.34944349593013</c:v>
                </c:pt>
                <c:pt idx="158" formatCode="General">
                  <c:v>149.13120304902012</c:v>
                </c:pt>
                <c:pt idx="159" formatCode="General">
                  <c:v>153.98153567533012</c:v>
                </c:pt>
                <c:pt idx="160" formatCode="General">
                  <c:v>152.17638928619004</c:v>
                </c:pt>
                <c:pt idx="161" formatCode="General">
                  <c:v>145.89118927353007</c:v>
                </c:pt>
                <c:pt idx="162" formatCode="General">
                  <c:v>145.2124284217</c:v>
                </c:pt>
                <c:pt idx="163" formatCode="General">
                  <c:v>147.41264005260987</c:v>
                </c:pt>
                <c:pt idx="164" formatCode="General">
                  <c:v>131.73562793144998</c:v>
                </c:pt>
                <c:pt idx="165" formatCode="General">
                  <c:v>145.37533760055999</c:v>
                </c:pt>
                <c:pt idx="166" formatCode="General">
                  <c:v>166.59101759916993</c:v>
                </c:pt>
                <c:pt idx="167" formatCode="General">
                  <c:v>167.03021477349995</c:v>
                </c:pt>
                <c:pt idx="168" formatCode="General">
                  <c:v>164.98396773527003</c:v>
                </c:pt>
                <c:pt idx="169" formatCode="General">
                  <c:v>167.89728407937994</c:v>
                </c:pt>
                <c:pt idx="170" formatCode="General">
                  <c:v>163.17042255369003</c:v>
                </c:pt>
                <c:pt idx="171" formatCode="General">
                  <c:v>155.83523430862004</c:v>
                </c:pt>
                <c:pt idx="172" formatCode="General">
                  <c:v>154.10454819715</c:v>
                </c:pt>
                <c:pt idx="173" formatCode="General">
                  <c:v>152.48035403825995</c:v>
                </c:pt>
                <c:pt idx="174" formatCode="General">
                  <c:v>141.82225538386004</c:v>
                </c:pt>
                <c:pt idx="175" formatCode="General">
                  <c:v>143.70388984818007</c:v>
                </c:pt>
                <c:pt idx="176" formatCode="General">
                  <c:v>147.23477552072995</c:v>
                </c:pt>
                <c:pt idx="177" formatCode="General">
                  <c:v>146.57632628168005</c:v>
                </c:pt>
                <c:pt idx="178" formatCode="General">
                  <c:v>149.53329181807004</c:v>
                </c:pt>
                <c:pt idx="179" formatCode="General">
                  <c:v>155.42161116092004</c:v>
                </c:pt>
                <c:pt idx="180" formatCode="General">
                  <c:v>164.42593752372014</c:v>
                </c:pt>
                <c:pt idx="181" formatCode="General">
                  <c:v>169.66125081998999</c:v>
                </c:pt>
                <c:pt idx="182" formatCode="General">
                  <c:v>169.76540591705012</c:v>
                </c:pt>
                <c:pt idx="183" formatCode="General">
                  <c:v>174.61742544993001</c:v>
                </c:pt>
                <c:pt idx="184" formatCode="General">
                  <c:v>168.04714799449999</c:v>
                </c:pt>
                <c:pt idx="185" formatCode="General">
                  <c:v>156.67361275680005</c:v>
                </c:pt>
                <c:pt idx="186" formatCode="General">
                  <c:v>153.32206200959007</c:v>
                </c:pt>
                <c:pt idx="187" formatCode="General">
                  <c:v>169.86080629443998</c:v>
                </c:pt>
                <c:pt idx="188" formatCode="General">
                  <c:v>177.31272432648009</c:v>
                </c:pt>
                <c:pt idx="189" formatCode="General">
                  <c:v>175.07824244513</c:v>
                </c:pt>
                <c:pt idx="190" formatCode="General">
                  <c:v>182.84597205775998</c:v>
                </c:pt>
                <c:pt idx="191" formatCode="General">
                  <c:v>163.36796490954004</c:v>
                </c:pt>
                <c:pt idx="192" formatCode="General">
                  <c:v>163.28176709595007</c:v>
                </c:pt>
                <c:pt idx="193" formatCode="General">
                  <c:v>160.6654639225801</c:v>
                </c:pt>
                <c:pt idx="194" formatCode="General">
                  <c:v>155.2971106357401</c:v>
                </c:pt>
                <c:pt idx="195" formatCode="General">
                  <c:v>160.51674801263007</c:v>
                </c:pt>
                <c:pt idx="196" formatCode="General">
                  <c:v>168.29638219429</c:v>
                </c:pt>
                <c:pt idx="197" formatCode="General">
                  <c:v>169.49002792566006</c:v>
                </c:pt>
                <c:pt idx="198" formatCode="General">
                  <c:v>170.15538735867995</c:v>
                </c:pt>
                <c:pt idx="199" formatCode="General">
                  <c:v>167.69231096195006</c:v>
                </c:pt>
                <c:pt idx="200" formatCode="General">
                  <c:v>168.79917631373996</c:v>
                </c:pt>
                <c:pt idx="201" formatCode="General">
                  <c:v>169.15876730990999</c:v>
                </c:pt>
                <c:pt idx="202" formatCode="General">
                  <c:v>171.99464071949996</c:v>
                </c:pt>
                <c:pt idx="203" formatCode="General">
                  <c:v>174.43447505465994</c:v>
                </c:pt>
                <c:pt idx="204" formatCode="General">
                  <c:v>182.08078605008993</c:v>
                </c:pt>
                <c:pt idx="205" formatCode="General">
                  <c:v>194.68224888661999</c:v>
                </c:pt>
                <c:pt idx="206" formatCode="General">
                  <c:v>206.91370214426991</c:v>
                </c:pt>
                <c:pt idx="207" formatCode="General">
                  <c:v>231.04319487069992</c:v>
                </c:pt>
                <c:pt idx="208" formatCode="General">
                  <c:v>222.60276009651997</c:v>
                </c:pt>
                <c:pt idx="209" formatCode="General">
                  <c:v>162.74641214059005</c:v>
                </c:pt>
                <c:pt idx="210" formatCode="General">
                  <c:v>174.83028164104994</c:v>
                </c:pt>
                <c:pt idx="211" formatCode="General">
                  <c:v>166.66321231427995</c:v>
                </c:pt>
                <c:pt idx="212" formatCode="General">
                  <c:v>166.09111890492991</c:v>
                </c:pt>
                <c:pt idx="213" formatCode="General">
                  <c:v>164.02807074897004</c:v>
                </c:pt>
                <c:pt idx="214" formatCode="General">
                  <c:v>154.82890091927999</c:v>
                </c:pt>
                <c:pt idx="215" formatCode="General">
                  <c:v>139.29630523180006</c:v>
                </c:pt>
                <c:pt idx="216" formatCode="General">
                  <c:v>141.41827548752988</c:v>
                </c:pt>
                <c:pt idx="217" formatCode="General">
                  <c:v>140.28317205189995</c:v>
                </c:pt>
                <c:pt idx="218" formatCode="General">
                  <c:v>139.47891595466027</c:v>
                </c:pt>
                <c:pt idx="219" formatCode="General">
                  <c:v>137.8724283986098</c:v>
                </c:pt>
                <c:pt idx="220" formatCode="General">
                  <c:v>135.66951912439001</c:v>
                </c:pt>
                <c:pt idx="221" formatCode="General">
                  <c:v>136.22077231907011</c:v>
                </c:pt>
                <c:pt idx="222" formatCode="General">
                  <c:v>138.98388281118997</c:v>
                </c:pt>
                <c:pt idx="223" formatCode="General">
                  <c:v>139.63494343882024</c:v>
                </c:pt>
                <c:pt idx="224" formatCode="General">
                  <c:v>142.28803566816015</c:v>
                </c:pt>
                <c:pt idx="225" formatCode="General">
                  <c:v>143.88832251242991</c:v>
                </c:pt>
                <c:pt idx="226" formatCode="General">
                  <c:v>130.95733510724995</c:v>
                </c:pt>
                <c:pt idx="227" formatCode="General">
                  <c:v>114.67614221275008</c:v>
                </c:pt>
                <c:pt idx="228" formatCode="General">
                  <c:v>132.83478072261028</c:v>
                </c:pt>
                <c:pt idx="229" formatCode="General">
                  <c:v>136.4402998912301</c:v>
                </c:pt>
                <c:pt idx="230" formatCode="General">
                  <c:v>127.80334173715988</c:v>
                </c:pt>
                <c:pt idx="231" formatCode="General">
                  <c:v>122.58768135718003</c:v>
                </c:pt>
                <c:pt idx="232" formatCode="General">
                  <c:v>119.26024064118999</c:v>
                </c:pt>
                <c:pt idx="233" formatCode="General">
                  <c:v>129.44172315844011</c:v>
                </c:pt>
                <c:pt idx="234" formatCode="General">
                  <c:v>127.3534157550401</c:v>
                </c:pt>
                <c:pt idx="235" formatCode="General">
                  <c:v>119.54026529096012</c:v>
                </c:pt>
                <c:pt idx="236" formatCode="General">
                  <c:v>110.38668703349012</c:v>
                </c:pt>
                <c:pt idx="237" formatCode="General">
                  <c:v>106.41237181044993</c:v>
                </c:pt>
                <c:pt idx="238" formatCode="General">
                  <c:v>110.62881294308987</c:v>
                </c:pt>
                <c:pt idx="239" formatCode="General">
                  <c:v>111.60570449269025</c:v>
                </c:pt>
                <c:pt idx="240" formatCode="General">
                  <c:v>113.07395430350012</c:v>
                </c:pt>
                <c:pt idx="241" formatCode="General">
                  <c:v>120.50397897481</c:v>
                </c:pt>
                <c:pt idx="242" formatCode="General">
                  <c:v>131.03004704609006</c:v>
                </c:pt>
                <c:pt idx="243" formatCode="General">
                  <c:v>133.50385518041998</c:v>
                </c:pt>
                <c:pt idx="244" formatCode="General">
                  <c:v>131.51204680580989</c:v>
                </c:pt>
                <c:pt idx="245" formatCode="General">
                  <c:v>143.37102858773022</c:v>
                </c:pt>
                <c:pt idx="246" formatCode="General">
                  <c:v>126.13443837641002</c:v>
                </c:pt>
                <c:pt idx="247" formatCode="General">
                  <c:v>129.80198746718008</c:v>
                </c:pt>
                <c:pt idx="248" formatCode="General">
                  <c:v>122.66506161164027</c:v>
                </c:pt>
                <c:pt idx="249" formatCode="General">
                  <c:v>140.35215361553975</c:v>
                </c:pt>
                <c:pt idx="250" formatCode="General">
                  <c:v>138.29960010320011</c:v>
                </c:pt>
                <c:pt idx="251" formatCode="General">
                  <c:v>142.04530100402997</c:v>
                </c:pt>
                <c:pt idx="252" formatCode="General">
                  <c:v>155.29060613007999</c:v>
                </c:pt>
              </c:numCache>
            </c:numRef>
          </c:val>
          <c:smooth val="0"/>
        </c:ser>
        <c:dLbls>
          <c:showLegendKey val="0"/>
          <c:showVal val="0"/>
          <c:showCatName val="0"/>
          <c:showSerName val="0"/>
          <c:showPercent val="0"/>
          <c:showBubbleSize val="0"/>
        </c:dLbls>
        <c:marker val="1"/>
        <c:smooth val="0"/>
        <c:axId val="190921728"/>
        <c:axId val="200901376"/>
      </c:lineChart>
      <c:dateAx>
        <c:axId val="190921728"/>
        <c:scaling>
          <c:orientation val="minMax"/>
        </c:scaling>
        <c:delete val="0"/>
        <c:axPos val="b"/>
        <c:numFmt formatCode="d/\ m/" sourceLinked="0"/>
        <c:majorTickMark val="out"/>
        <c:minorTickMark val="none"/>
        <c:tickLblPos val="nextTo"/>
        <c:txPr>
          <a:bodyPr rot="-2460000"/>
          <a:lstStyle/>
          <a:p>
            <a:pPr>
              <a:defRPr/>
            </a:pPr>
            <a:endParaRPr lang="cs-CZ"/>
          </a:p>
        </c:txPr>
        <c:crossAx val="200901376"/>
        <c:crosses val="autoZero"/>
        <c:auto val="1"/>
        <c:lblOffset val="100"/>
        <c:baseTimeUnit val="days"/>
      </c:dateAx>
      <c:valAx>
        <c:axId val="200901376"/>
        <c:scaling>
          <c:orientation val="minMax"/>
        </c:scaling>
        <c:delete val="0"/>
        <c:axPos val="l"/>
        <c:majorGridlines>
          <c:spPr>
            <a:ln>
              <a:prstDash val="dash"/>
            </a:ln>
          </c:spPr>
        </c:majorGridlines>
        <c:numFmt formatCode="General" sourceLinked="1"/>
        <c:majorTickMark val="out"/>
        <c:minorTickMark val="none"/>
        <c:tickLblPos val="nextTo"/>
        <c:spPr>
          <a:ln>
            <a:noFill/>
          </a:ln>
        </c:spPr>
        <c:crossAx val="190921728"/>
        <c:crossesAt val="42370"/>
        <c:crossBetween val="between"/>
      </c:valAx>
    </c:plotArea>
    <c:legend>
      <c:legendPos val="t"/>
      <c:layout>
        <c:manualLayout>
          <c:xMode val="edge"/>
          <c:yMode val="edge"/>
          <c:x val="4.4765015943255021E-2"/>
          <c:y val="1.7957329591226839E-2"/>
          <c:w val="0.91732552439209558"/>
          <c:h val="0.14531539253795808"/>
        </c:manualLayout>
      </c:layout>
      <c:overlay val="0"/>
    </c:legend>
    <c:plotVisOnly val="1"/>
    <c:dispBlanksAs val="gap"/>
    <c:showDLblsOverMax val="0"/>
  </c:chart>
  <c:spPr>
    <a:ln>
      <a:noFill/>
    </a:ln>
  </c:spPr>
  <c:txPr>
    <a:bodyPr/>
    <a:lstStyle/>
    <a:p>
      <a:pPr>
        <a:defRPr sz="1200"/>
      </a:pPr>
      <a:endParaRPr lang="cs-CZ"/>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1"/>
          <c:order val="0"/>
          <c:tx>
            <c:strRef>
              <c:f>List1!$A$3</c:f>
              <c:strCache>
                <c:ptCount val="1"/>
                <c:pt idx="0">
                  <c:v>2017</c:v>
                </c:pt>
              </c:strCache>
            </c:strRef>
          </c:tx>
          <c:spPr>
            <a:ln w="19050">
              <a:solidFill>
                <a:schemeClr val="tx2">
                  <a:lumMod val="60000"/>
                  <a:lumOff val="40000"/>
                </a:schemeClr>
              </a:solidFill>
            </a:ln>
          </c:spPr>
          <c:marker>
            <c:symbol val="none"/>
          </c:marker>
          <c:cat>
            <c:numRef>
              <c:f>List1!$B$1:$IT$1</c:f>
              <c:numCache>
                <c:formatCode>m/d/yyyy</c:formatCode>
                <c:ptCount val="253"/>
                <c:pt idx="0">
                  <c:v>42736</c:v>
                </c:pt>
                <c:pt idx="1">
                  <c:v>42737</c:v>
                </c:pt>
                <c:pt idx="2">
                  <c:v>42738</c:v>
                </c:pt>
                <c:pt idx="3">
                  <c:v>42739</c:v>
                </c:pt>
                <c:pt idx="4">
                  <c:v>42740</c:v>
                </c:pt>
                <c:pt idx="5">
                  <c:v>42741</c:v>
                </c:pt>
                <c:pt idx="6">
                  <c:v>42744</c:v>
                </c:pt>
                <c:pt idx="7">
                  <c:v>42745</c:v>
                </c:pt>
                <c:pt idx="8">
                  <c:v>42746</c:v>
                </c:pt>
                <c:pt idx="9">
                  <c:v>42747</c:v>
                </c:pt>
                <c:pt idx="10">
                  <c:v>42748</c:v>
                </c:pt>
                <c:pt idx="11">
                  <c:v>42751</c:v>
                </c:pt>
                <c:pt idx="12">
                  <c:v>42752</c:v>
                </c:pt>
                <c:pt idx="13">
                  <c:v>42753</c:v>
                </c:pt>
                <c:pt idx="14">
                  <c:v>42754</c:v>
                </c:pt>
                <c:pt idx="15">
                  <c:v>42755</c:v>
                </c:pt>
                <c:pt idx="16">
                  <c:v>42758</c:v>
                </c:pt>
                <c:pt idx="17">
                  <c:v>42759</c:v>
                </c:pt>
                <c:pt idx="18">
                  <c:v>42760</c:v>
                </c:pt>
                <c:pt idx="19">
                  <c:v>42761</c:v>
                </c:pt>
                <c:pt idx="20">
                  <c:v>42762</c:v>
                </c:pt>
                <c:pt idx="21">
                  <c:v>42765</c:v>
                </c:pt>
                <c:pt idx="22">
                  <c:v>42766</c:v>
                </c:pt>
                <c:pt idx="23">
                  <c:v>42767</c:v>
                </c:pt>
                <c:pt idx="24">
                  <c:v>42768</c:v>
                </c:pt>
                <c:pt idx="25">
                  <c:v>42769</c:v>
                </c:pt>
                <c:pt idx="26">
                  <c:v>42772</c:v>
                </c:pt>
                <c:pt idx="27">
                  <c:v>42773</c:v>
                </c:pt>
                <c:pt idx="28">
                  <c:v>42774</c:v>
                </c:pt>
                <c:pt idx="29">
                  <c:v>42775</c:v>
                </c:pt>
                <c:pt idx="30">
                  <c:v>42776</c:v>
                </c:pt>
                <c:pt idx="31">
                  <c:v>42779</c:v>
                </c:pt>
                <c:pt idx="32">
                  <c:v>42780</c:v>
                </c:pt>
                <c:pt idx="33">
                  <c:v>42781</c:v>
                </c:pt>
                <c:pt idx="34">
                  <c:v>42782</c:v>
                </c:pt>
                <c:pt idx="35">
                  <c:v>42783</c:v>
                </c:pt>
                <c:pt idx="36">
                  <c:v>42786</c:v>
                </c:pt>
                <c:pt idx="37">
                  <c:v>42787</c:v>
                </c:pt>
                <c:pt idx="38">
                  <c:v>42788</c:v>
                </c:pt>
                <c:pt idx="39">
                  <c:v>42789</c:v>
                </c:pt>
                <c:pt idx="40">
                  <c:v>42790</c:v>
                </c:pt>
                <c:pt idx="41">
                  <c:v>42793</c:v>
                </c:pt>
                <c:pt idx="42">
                  <c:v>42794</c:v>
                </c:pt>
                <c:pt idx="43">
                  <c:v>42795</c:v>
                </c:pt>
                <c:pt idx="44">
                  <c:v>42796</c:v>
                </c:pt>
                <c:pt idx="45">
                  <c:v>42797</c:v>
                </c:pt>
                <c:pt idx="46">
                  <c:v>42800</c:v>
                </c:pt>
                <c:pt idx="47">
                  <c:v>42801</c:v>
                </c:pt>
                <c:pt idx="48">
                  <c:v>42802</c:v>
                </c:pt>
                <c:pt idx="49">
                  <c:v>42803</c:v>
                </c:pt>
                <c:pt idx="50">
                  <c:v>42804</c:v>
                </c:pt>
                <c:pt idx="51">
                  <c:v>42807</c:v>
                </c:pt>
                <c:pt idx="52">
                  <c:v>42808</c:v>
                </c:pt>
                <c:pt idx="53">
                  <c:v>42809</c:v>
                </c:pt>
                <c:pt idx="54">
                  <c:v>42810</c:v>
                </c:pt>
                <c:pt idx="55">
                  <c:v>42811</c:v>
                </c:pt>
                <c:pt idx="56">
                  <c:v>42814</c:v>
                </c:pt>
                <c:pt idx="57">
                  <c:v>42815</c:v>
                </c:pt>
                <c:pt idx="58">
                  <c:v>42816</c:v>
                </c:pt>
                <c:pt idx="59">
                  <c:v>42817</c:v>
                </c:pt>
                <c:pt idx="60">
                  <c:v>42818</c:v>
                </c:pt>
                <c:pt idx="61">
                  <c:v>42821</c:v>
                </c:pt>
                <c:pt idx="62">
                  <c:v>42822</c:v>
                </c:pt>
                <c:pt idx="63">
                  <c:v>42823</c:v>
                </c:pt>
                <c:pt idx="64">
                  <c:v>42824</c:v>
                </c:pt>
                <c:pt idx="65">
                  <c:v>42825</c:v>
                </c:pt>
                <c:pt idx="66">
                  <c:v>42828</c:v>
                </c:pt>
                <c:pt idx="67">
                  <c:v>42829</c:v>
                </c:pt>
                <c:pt idx="68">
                  <c:v>42830</c:v>
                </c:pt>
                <c:pt idx="69">
                  <c:v>42831</c:v>
                </c:pt>
                <c:pt idx="70">
                  <c:v>42832</c:v>
                </c:pt>
                <c:pt idx="71">
                  <c:v>42835</c:v>
                </c:pt>
                <c:pt idx="72">
                  <c:v>42836</c:v>
                </c:pt>
                <c:pt idx="73">
                  <c:v>42837</c:v>
                </c:pt>
                <c:pt idx="74">
                  <c:v>42838</c:v>
                </c:pt>
                <c:pt idx="75">
                  <c:v>42843</c:v>
                </c:pt>
                <c:pt idx="76">
                  <c:v>42844</c:v>
                </c:pt>
                <c:pt idx="77">
                  <c:v>42845</c:v>
                </c:pt>
                <c:pt idx="78">
                  <c:v>42846</c:v>
                </c:pt>
                <c:pt idx="79">
                  <c:v>42849</c:v>
                </c:pt>
                <c:pt idx="80">
                  <c:v>42850</c:v>
                </c:pt>
                <c:pt idx="81">
                  <c:v>42851</c:v>
                </c:pt>
                <c:pt idx="82">
                  <c:v>42852</c:v>
                </c:pt>
                <c:pt idx="83">
                  <c:v>42853</c:v>
                </c:pt>
                <c:pt idx="84">
                  <c:v>42857</c:v>
                </c:pt>
                <c:pt idx="85">
                  <c:v>42858</c:v>
                </c:pt>
                <c:pt idx="86">
                  <c:v>42859</c:v>
                </c:pt>
                <c:pt idx="87">
                  <c:v>42860</c:v>
                </c:pt>
                <c:pt idx="88">
                  <c:v>42864</c:v>
                </c:pt>
                <c:pt idx="89">
                  <c:v>42865</c:v>
                </c:pt>
                <c:pt idx="90">
                  <c:v>42866</c:v>
                </c:pt>
                <c:pt idx="91">
                  <c:v>42867</c:v>
                </c:pt>
                <c:pt idx="92">
                  <c:v>42870</c:v>
                </c:pt>
                <c:pt idx="93">
                  <c:v>42871</c:v>
                </c:pt>
                <c:pt idx="94">
                  <c:v>42872</c:v>
                </c:pt>
                <c:pt idx="95">
                  <c:v>42873</c:v>
                </c:pt>
                <c:pt idx="96">
                  <c:v>42874</c:v>
                </c:pt>
                <c:pt idx="97">
                  <c:v>42877</c:v>
                </c:pt>
                <c:pt idx="98">
                  <c:v>42878</c:v>
                </c:pt>
                <c:pt idx="99">
                  <c:v>42879</c:v>
                </c:pt>
                <c:pt idx="100">
                  <c:v>42880</c:v>
                </c:pt>
                <c:pt idx="101">
                  <c:v>42881</c:v>
                </c:pt>
                <c:pt idx="102">
                  <c:v>42884</c:v>
                </c:pt>
                <c:pt idx="103">
                  <c:v>42885</c:v>
                </c:pt>
                <c:pt idx="104">
                  <c:v>42886</c:v>
                </c:pt>
                <c:pt idx="105">
                  <c:v>42887</c:v>
                </c:pt>
                <c:pt idx="106">
                  <c:v>42888</c:v>
                </c:pt>
                <c:pt idx="107">
                  <c:v>42891</c:v>
                </c:pt>
                <c:pt idx="108">
                  <c:v>42892</c:v>
                </c:pt>
                <c:pt idx="109">
                  <c:v>42893</c:v>
                </c:pt>
                <c:pt idx="110">
                  <c:v>42894</c:v>
                </c:pt>
                <c:pt idx="111">
                  <c:v>42895</c:v>
                </c:pt>
                <c:pt idx="112">
                  <c:v>42898</c:v>
                </c:pt>
                <c:pt idx="113">
                  <c:v>42899</c:v>
                </c:pt>
                <c:pt idx="114">
                  <c:v>42900</c:v>
                </c:pt>
                <c:pt idx="115">
                  <c:v>42901</c:v>
                </c:pt>
                <c:pt idx="116">
                  <c:v>42902</c:v>
                </c:pt>
                <c:pt idx="117">
                  <c:v>42905</c:v>
                </c:pt>
                <c:pt idx="118">
                  <c:v>42906</c:v>
                </c:pt>
                <c:pt idx="119">
                  <c:v>42907</c:v>
                </c:pt>
                <c:pt idx="120">
                  <c:v>42908</c:v>
                </c:pt>
                <c:pt idx="121">
                  <c:v>42909</c:v>
                </c:pt>
                <c:pt idx="122">
                  <c:v>42912</c:v>
                </c:pt>
                <c:pt idx="123">
                  <c:v>42913</c:v>
                </c:pt>
                <c:pt idx="124">
                  <c:v>42914</c:v>
                </c:pt>
                <c:pt idx="125">
                  <c:v>42915</c:v>
                </c:pt>
                <c:pt idx="126">
                  <c:v>42916</c:v>
                </c:pt>
                <c:pt idx="127">
                  <c:v>42919</c:v>
                </c:pt>
                <c:pt idx="128">
                  <c:v>42920</c:v>
                </c:pt>
                <c:pt idx="129">
                  <c:v>42923</c:v>
                </c:pt>
                <c:pt idx="130">
                  <c:v>42926</c:v>
                </c:pt>
                <c:pt idx="131">
                  <c:v>42927</c:v>
                </c:pt>
                <c:pt idx="132">
                  <c:v>42928</c:v>
                </c:pt>
                <c:pt idx="133">
                  <c:v>42929</c:v>
                </c:pt>
                <c:pt idx="134">
                  <c:v>42930</c:v>
                </c:pt>
                <c:pt idx="135">
                  <c:v>42933</c:v>
                </c:pt>
                <c:pt idx="136">
                  <c:v>42934</c:v>
                </c:pt>
                <c:pt idx="137">
                  <c:v>42935</c:v>
                </c:pt>
                <c:pt idx="138">
                  <c:v>42936</c:v>
                </c:pt>
                <c:pt idx="139">
                  <c:v>42937</c:v>
                </c:pt>
                <c:pt idx="140">
                  <c:v>42940</c:v>
                </c:pt>
                <c:pt idx="141">
                  <c:v>42941</c:v>
                </c:pt>
                <c:pt idx="142">
                  <c:v>42942</c:v>
                </c:pt>
                <c:pt idx="143">
                  <c:v>42943</c:v>
                </c:pt>
                <c:pt idx="144">
                  <c:v>42944</c:v>
                </c:pt>
                <c:pt idx="145">
                  <c:v>42947</c:v>
                </c:pt>
                <c:pt idx="146">
                  <c:v>42948</c:v>
                </c:pt>
                <c:pt idx="147">
                  <c:v>42949</c:v>
                </c:pt>
                <c:pt idx="148">
                  <c:v>42950</c:v>
                </c:pt>
                <c:pt idx="149">
                  <c:v>42951</c:v>
                </c:pt>
                <c:pt idx="150">
                  <c:v>42954</c:v>
                </c:pt>
                <c:pt idx="151">
                  <c:v>42955</c:v>
                </c:pt>
                <c:pt idx="152">
                  <c:v>42956</c:v>
                </c:pt>
                <c:pt idx="153">
                  <c:v>42957</c:v>
                </c:pt>
                <c:pt idx="154">
                  <c:v>42958</c:v>
                </c:pt>
                <c:pt idx="155">
                  <c:v>42961</c:v>
                </c:pt>
                <c:pt idx="156">
                  <c:v>42962</c:v>
                </c:pt>
                <c:pt idx="157">
                  <c:v>42963</c:v>
                </c:pt>
                <c:pt idx="158">
                  <c:v>42964</c:v>
                </c:pt>
                <c:pt idx="159">
                  <c:v>42965</c:v>
                </c:pt>
                <c:pt idx="160">
                  <c:v>42968</c:v>
                </c:pt>
                <c:pt idx="161">
                  <c:v>42969</c:v>
                </c:pt>
                <c:pt idx="162">
                  <c:v>42970</c:v>
                </c:pt>
                <c:pt idx="163">
                  <c:v>42971</c:v>
                </c:pt>
                <c:pt idx="164">
                  <c:v>42972</c:v>
                </c:pt>
                <c:pt idx="165">
                  <c:v>42975</c:v>
                </c:pt>
                <c:pt idx="166">
                  <c:v>42976</c:v>
                </c:pt>
                <c:pt idx="167">
                  <c:v>42977</c:v>
                </c:pt>
                <c:pt idx="168">
                  <c:v>42978</c:v>
                </c:pt>
                <c:pt idx="169">
                  <c:v>42979</c:v>
                </c:pt>
                <c:pt idx="170">
                  <c:v>42982</c:v>
                </c:pt>
                <c:pt idx="171">
                  <c:v>42983</c:v>
                </c:pt>
                <c:pt idx="172">
                  <c:v>42984</c:v>
                </c:pt>
                <c:pt idx="173">
                  <c:v>42985</c:v>
                </c:pt>
                <c:pt idx="174">
                  <c:v>42986</c:v>
                </c:pt>
                <c:pt idx="175">
                  <c:v>42989</c:v>
                </c:pt>
                <c:pt idx="176">
                  <c:v>42990</c:v>
                </c:pt>
                <c:pt idx="177">
                  <c:v>42991</c:v>
                </c:pt>
                <c:pt idx="178">
                  <c:v>42992</c:v>
                </c:pt>
                <c:pt idx="179">
                  <c:v>42993</c:v>
                </c:pt>
                <c:pt idx="180">
                  <c:v>42996</c:v>
                </c:pt>
                <c:pt idx="181">
                  <c:v>42997</c:v>
                </c:pt>
                <c:pt idx="182">
                  <c:v>42998</c:v>
                </c:pt>
                <c:pt idx="183">
                  <c:v>42999</c:v>
                </c:pt>
                <c:pt idx="184">
                  <c:v>43000</c:v>
                </c:pt>
                <c:pt idx="185">
                  <c:v>43003</c:v>
                </c:pt>
                <c:pt idx="186">
                  <c:v>43004</c:v>
                </c:pt>
                <c:pt idx="187">
                  <c:v>43005</c:v>
                </c:pt>
                <c:pt idx="188">
                  <c:v>43007</c:v>
                </c:pt>
                <c:pt idx="189">
                  <c:v>43010</c:v>
                </c:pt>
                <c:pt idx="190">
                  <c:v>43011</c:v>
                </c:pt>
                <c:pt idx="191">
                  <c:v>43012</c:v>
                </c:pt>
                <c:pt idx="192">
                  <c:v>43013</c:v>
                </c:pt>
                <c:pt idx="193">
                  <c:v>43014</c:v>
                </c:pt>
                <c:pt idx="194">
                  <c:v>43017</c:v>
                </c:pt>
                <c:pt idx="195">
                  <c:v>43018</c:v>
                </c:pt>
                <c:pt idx="196">
                  <c:v>43019</c:v>
                </c:pt>
                <c:pt idx="197">
                  <c:v>43020</c:v>
                </c:pt>
                <c:pt idx="198">
                  <c:v>43021</c:v>
                </c:pt>
                <c:pt idx="199">
                  <c:v>43024</c:v>
                </c:pt>
                <c:pt idx="200">
                  <c:v>43025</c:v>
                </c:pt>
                <c:pt idx="201">
                  <c:v>43026</c:v>
                </c:pt>
                <c:pt idx="202">
                  <c:v>43027</c:v>
                </c:pt>
                <c:pt idx="203">
                  <c:v>43028</c:v>
                </c:pt>
                <c:pt idx="204">
                  <c:v>43031</c:v>
                </c:pt>
                <c:pt idx="205">
                  <c:v>43032</c:v>
                </c:pt>
                <c:pt idx="206">
                  <c:v>43033</c:v>
                </c:pt>
                <c:pt idx="207">
                  <c:v>43034</c:v>
                </c:pt>
                <c:pt idx="208">
                  <c:v>43035</c:v>
                </c:pt>
                <c:pt idx="209">
                  <c:v>43038</c:v>
                </c:pt>
                <c:pt idx="210">
                  <c:v>43039</c:v>
                </c:pt>
                <c:pt idx="211">
                  <c:v>43040</c:v>
                </c:pt>
                <c:pt idx="212">
                  <c:v>43041</c:v>
                </c:pt>
                <c:pt idx="213">
                  <c:v>43042</c:v>
                </c:pt>
                <c:pt idx="214">
                  <c:v>43045</c:v>
                </c:pt>
                <c:pt idx="215">
                  <c:v>43046</c:v>
                </c:pt>
                <c:pt idx="216">
                  <c:v>43047</c:v>
                </c:pt>
                <c:pt idx="217">
                  <c:v>43048</c:v>
                </c:pt>
                <c:pt idx="218">
                  <c:v>43049</c:v>
                </c:pt>
                <c:pt idx="219">
                  <c:v>43052</c:v>
                </c:pt>
                <c:pt idx="220">
                  <c:v>43053</c:v>
                </c:pt>
                <c:pt idx="221">
                  <c:v>43054</c:v>
                </c:pt>
                <c:pt idx="222">
                  <c:v>43055</c:v>
                </c:pt>
                <c:pt idx="223">
                  <c:v>43059</c:v>
                </c:pt>
                <c:pt idx="224">
                  <c:v>43060</c:v>
                </c:pt>
                <c:pt idx="225">
                  <c:v>43061</c:v>
                </c:pt>
                <c:pt idx="226">
                  <c:v>43062</c:v>
                </c:pt>
                <c:pt idx="227">
                  <c:v>43063</c:v>
                </c:pt>
                <c:pt idx="228">
                  <c:v>43066</c:v>
                </c:pt>
                <c:pt idx="229">
                  <c:v>43067</c:v>
                </c:pt>
                <c:pt idx="230">
                  <c:v>43068</c:v>
                </c:pt>
                <c:pt idx="231">
                  <c:v>43069</c:v>
                </c:pt>
                <c:pt idx="232">
                  <c:v>43070</c:v>
                </c:pt>
                <c:pt idx="233">
                  <c:v>43073</c:v>
                </c:pt>
                <c:pt idx="234">
                  <c:v>43074</c:v>
                </c:pt>
                <c:pt idx="235">
                  <c:v>43075</c:v>
                </c:pt>
                <c:pt idx="236">
                  <c:v>43076</c:v>
                </c:pt>
                <c:pt idx="237">
                  <c:v>43077</c:v>
                </c:pt>
                <c:pt idx="238">
                  <c:v>43080</c:v>
                </c:pt>
                <c:pt idx="239">
                  <c:v>43081</c:v>
                </c:pt>
                <c:pt idx="240">
                  <c:v>43082</c:v>
                </c:pt>
                <c:pt idx="241">
                  <c:v>43083</c:v>
                </c:pt>
                <c:pt idx="242">
                  <c:v>43084</c:v>
                </c:pt>
                <c:pt idx="243">
                  <c:v>43087</c:v>
                </c:pt>
                <c:pt idx="244">
                  <c:v>43088</c:v>
                </c:pt>
                <c:pt idx="245">
                  <c:v>43089</c:v>
                </c:pt>
                <c:pt idx="246">
                  <c:v>43090</c:v>
                </c:pt>
                <c:pt idx="247">
                  <c:v>43091</c:v>
                </c:pt>
                <c:pt idx="248">
                  <c:v>43096</c:v>
                </c:pt>
                <c:pt idx="249">
                  <c:v>43097</c:v>
                </c:pt>
                <c:pt idx="250">
                  <c:v>43098</c:v>
                </c:pt>
                <c:pt idx="251">
                  <c:v>43099</c:v>
                </c:pt>
                <c:pt idx="252">
                  <c:v>43100</c:v>
                </c:pt>
              </c:numCache>
            </c:numRef>
          </c:cat>
          <c:val>
            <c:numRef>
              <c:f>List1!$B$3:$IR$3</c:f>
              <c:numCache>
                <c:formatCode>General</c:formatCode>
                <c:ptCount val="251"/>
                <c:pt idx="0">
                  <c:v>0</c:v>
                </c:pt>
                <c:pt idx="1">
                  <c:v>-1.5939152755500001</c:v>
                </c:pt>
                <c:pt idx="2">
                  <c:v>-2.1901470236900007</c:v>
                </c:pt>
                <c:pt idx="3">
                  <c:v>4.4647718584599989</c:v>
                </c:pt>
                <c:pt idx="4">
                  <c:v>2.6579926320799991</c:v>
                </c:pt>
                <c:pt idx="5">
                  <c:v>2.16976019154</c:v>
                </c:pt>
                <c:pt idx="6">
                  <c:v>8.0997161806500024</c:v>
                </c:pt>
                <c:pt idx="7">
                  <c:v>8.7352827348300046</c:v>
                </c:pt>
                <c:pt idx="8">
                  <c:v>10.006815851169996</c:v>
                </c:pt>
                <c:pt idx="9">
                  <c:v>5.8057176763399951</c:v>
                </c:pt>
                <c:pt idx="10">
                  <c:v>5.0972624067299961</c:v>
                </c:pt>
                <c:pt idx="11">
                  <c:v>7.6312163594700024</c:v>
                </c:pt>
                <c:pt idx="12">
                  <c:v>7.0891716888899978</c:v>
                </c:pt>
                <c:pt idx="13">
                  <c:v>8.3765768743499933</c:v>
                </c:pt>
                <c:pt idx="14">
                  <c:v>11.75378882398001</c:v>
                </c:pt>
                <c:pt idx="15">
                  <c:v>-7.3603555167200057</c:v>
                </c:pt>
                <c:pt idx="16">
                  <c:v>-5.4404805519399986</c:v>
                </c:pt>
                <c:pt idx="17">
                  <c:v>3.8164710957099999</c:v>
                </c:pt>
                <c:pt idx="18">
                  <c:v>24.451295250080008</c:v>
                </c:pt>
                <c:pt idx="19">
                  <c:v>3.8699285621000001</c:v>
                </c:pt>
                <c:pt idx="20">
                  <c:v>9.8621730424100065</c:v>
                </c:pt>
                <c:pt idx="21">
                  <c:v>10.060750554529989</c:v>
                </c:pt>
                <c:pt idx="22">
                  <c:v>9.1000830023599946</c:v>
                </c:pt>
                <c:pt idx="23">
                  <c:v>-3.7958869543000162</c:v>
                </c:pt>
                <c:pt idx="24">
                  <c:v>1.2511762056799967</c:v>
                </c:pt>
                <c:pt idx="25">
                  <c:v>-4.4588120635700079</c:v>
                </c:pt>
                <c:pt idx="26">
                  <c:v>-6.3959627955200062</c:v>
                </c:pt>
                <c:pt idx="27">
                  <c:v>-7.4085485713499963</c:v>
                </c:pt>
                <c:pt idx="28">
                  <c:v>-6.596633232610003</c:v>
                </c:pt>
                <c:pt idx="29">
                  <c:v>-6.0916606844899945</c:v>
                </c:pt>
                <c:pt idx="30">
                  <c:v>-6.1570596617700346</c:v>
                </c:pt>
                <c:pt idx="31">
                  <c:v>-11.031517302800012</c:v>
                </c:pt>
                <c:pt idx="32">
                  <c:v>-9.7290591782699778</c:v>
                </c:pt>
                <c:pt idx="33">
                  <c:v>-10.690046553169964</c:v>
                </c:pt>
                <c:pt idx="34">
                  <c:v>-10.063189752179994</c:v>
                </c:pt>
                <c:pt idx="35">
                  <c:v>-9.6871590292699921</c:v>
                </c:pt>
                <c:pt idx="36">
                  <c:v>-2.5400940956000113</c:v>
                </c:pt>
                <c:pt idx="37">
                  <c:v>-4.4110077335600124</c:v>
                </c:pt>
                <c:pt idx="38">
                  <c:v>-3.9866339810199918</c:v>
                </c:pt>
                <c:pt idx="39">
                  <c:v>-0.19449628865999102</c:v>
                </c:pt>
                <c:pt idx="40">
                  <c:v>-19.664045985850009</c:v>
                </c:pt>
                <c:pt idx="41">
                  <c:v>-3.5237853496099945</c:v>
                </c:pt>
                <c:pt idx="42">
                  <c:v>3.6743889812299813</c:v>
                </c:pt>
                <c:pt idx="43">
                  <c:v>-6.881555405819995</c:v>
                </c:pt>
                <c:pt idx="44">
                  <c:v>-20.156704679499995</c:v>
                </c:pt>
                <c:pt idx="45">
                  <c:v>-24.624442949669998</c:v>
                </c:pt>
                <c:pt idx="46">
                  <c:v>-23.341050690760028</c:v>
                </c:pt>
                <c:pt idx="47">
                  <c:v>-25.48709661850998</c:v>
                </c:pt>
                <c:pt idx="48">
                  <c:v>-27.626276280740001</c:v>
                </c:pt>
                <c:pt idx="49">
                  <c:v>-28.582263168720004</c:v>
                </c:pt>
                <c:pt idx="50">
                  <c:v>-25.81204738740999</c:v>
                </c:pt>
                <c:pt idx="51">
                  <c:v>-27.472538086659995</c:v>
                </c:pt>
                <c:pt idx="52">
                  <c:v>-20.191046332460019</c:v>
                </c:pt>
                <c:pt idx="53">
                  <c:v>-12.353584829400006</c:v>
                </c:pt>
                <c:pt idx="54">
                  <c:v>-15.264943279640022</c:v>
                </c:pt>
                <c:pt idx="55">
                  <c:v>-15.245791932830002</c:v>
                </c:pt>
                <c:pt idx="56">
                  <c:v>-8.3684902954699965</c:v>
                </c:pt>
                <c:pt idx="57">
                  <c:v>-9.2237103616599825</c:v>
                </c:pt>
                <c:pt idx="58">
                  <c:v>-7.558218533119998</c:v>
                </c:pt>
                <c:pt idx="59">
                  <c:v>-2.2790082824100182</c:v>
                </c:pt>
                <c:pt idx="60">
                  <c:v>4.9032120933200076</c:v>
                </c:pt>
                <c:pt idx="61">
                  <c:v>15.498971040719994</c:v>
                </c:pt>
                <c:pt idx="62">
                  <c:v>17.099172459589965</c:v>
                </c:pt>
                <c:pt idx="63">
                  <c:v>-1.3804296629899682</c:v>
                </c:pt>
                <c:pt idx="64">
                  <c:v>4.2817401421000341</c:v>
                </c:pt>
                <c:pt idx="65">
                  <c:v>4.6803051448399628</c:v>
                </c:pt>
                <c:pt idx="66">
                  <c:v>0.65684987321003518</c:v>
                </c:pt>
                <c:pt idx="67">
                  <c:v>4.682899147119997</c:v>
                </c:pt>
                <c:pt idx="68">
                  <c:v>3.0163105832500037</c:v>
                </c:pt>
                <c:pt idx="69">
                  <c:v>-0.36750412392996168</c:v>
                </c:pt>
                <c:pt idx="70">
                  <c:v>-3.3508958977699876</c:v>
                </c:pt>
                <c:pt idx="71">
                  <c:v>-2.2758046839800272</c:v>
                </c:pt>
                <c:pt idx="72">
                  <c:v>-5.8564250079999738</c:v>
                </c:pt>
                <c:pt idx="73">
                  <c:v>-5.4719642255299732</c:v>
                </c:pt>
                <c:pt idx="74">
                  <c:v>-7.61396942442002</c:v>
                </c:pt>
                <c:pt idx="75">
                  <c:v>-10.771618388599961</c:v>
                </c:pt>
                <c:pt idx="76">
                  <c:v>-7.9962884400900407</c:v>
                </c:pt>
                <c:pt idx="77">
                  <c:v>-4.5574923920399897</c:v>
                </c:pt>
                <c:pt idx="78">
                  <c:v>-4.1345570811799917</c:v>
                </c:pt>
                <c:pt idx="79">
                  <c:v>3.0824812173299847</c:v>
                </c:pt>
                <c:pt idx="80">
                  <c:v>23.008683650450052</c:v>
                </c:pt>
                <c:pt idx="81">
                  <c:v>5.3698605934699799</c:v>
                </c:pt>
                <c:pt idx="82">
                  <c:v>15.164028385430015</c:v>
                </c:pt>
                <c:pt idx="83">
                  <c:v>6.2727836674999935</c:v>
                </c:pt>
                <c:pt idx="84">
                  <c:v>-5.5356101694200106</c:v>
                </c:pt>
                <c:pt idx="85">
                  <c:v>-23.103235195799982</c:v>
                </c:pt>
                <c:pt idx="86">
                  <c:v>-25.876453808199983</c:v>
                </c:pt>
                <c:pt idx="87">
                  <c:v>-23.583643021680018</c:v>
                </c:pt>
                <c:pt idx="88">
                  <c:v>-27.227410210299979</c:v>
                </c:pt>
                <c:pt idx="89">
                  <c:v>-21.46267205459003</c:v>
                </c:pt>
                <c:pt idx="90">
                  <c:v>-21.48806794699999</c:v>
                </c:pt>
                <c:pt idx="91">
                  <c:v>-20.377003648319999</c:v>
                </c:pt>
                <c:pt idx="92">
                  <c:v>-20.975759213299966</c:v>
                </c:pt>
                <c:pt idx="93">
                  <c:v>-20.58682033040003</c:v>
                </c:pt>
                <c:pt idx="94">
                  <c:v>-22.47382180296006</c:v>
                </c:pt>
                <c:pt idx="95">
                  <c:v>-19.969061860709928</c:v>
                </c:pt>
                <c:pt idx="96">
                  <c:v>-16.816228718129992</c:v>
                </c:pt>
                <c:pt idx="97">
                  <c:v>-13.078520211360058</c:v>
                </c:pt>
                <c:pt idx="98">
                  <c:v>-11.673705026090033</c:v>
                </c:pt>
                <c:pt idx="99">
                  <c:v>-4.2778982549199895</c:v>
                </c:pt>
                <c:pt idx="100">
                  <c:v>-14.955379915650042</c:v>
                </c:pt>
                <c:pt idx="101">
                  <c:v>-6.3794022185700214</c:v>
                </c:pt>
                <c:pt idx="102">
                  <c:v>-9.6551405611599534</c:v>
                </c:pt>
                <c:pt idx="103">
                  <c:v>-10.222034262169984</c:v>
                </c:pt>
                <c:pt idx="104">
                  <c:v>-18.706252074610006</c:v>
                </c:pt>
                <c:pt idx="105">
                  <c:v>-28.751505037029972</c:v>
                </c:pt>
                <c:pt idx="106">
                  <c:v>-29.619978918179982</c:v>
                </c:pt>
                <c:pt idx="107">
                  <c:v>-31.381176586409993</c:v>
                </c:pt>
                <c:pt idx="108">
                  <c:v>-32.000277765300041</c:v>
                </c:pt>
                <c:pt idx="109">
                  <c:v>-31.764871787670131</c:v>
                </c:pt>
                <c:pt idx="110">
                  <c:v>-32.189879081029972</c:v>
                </c:pt>
                <c:pt idx="111">
                  <c:v>-27.328877396529947</c:v>
                </c:pt>
                <c:pt idx="112">
                  <c:v>-21.530578346350012</c:v>
                </c:pt>
                <c:pt idx="113">
                  <c:v>-37.834992706269986</c:v>
                </c:pt>
                <c:pt idx="114">
                  <c:v>-28.214391702289845</c:v>
                </c:pt>
                <c:pt idx="115">
                  <c:v>-18.123707438580027</c:v>
                </c:pt>
                <c:pt idx="116">
                  <c:v>-12.907817410260009</c:v>
                </c:pt>
                <c:pt idx="117">
                  <c:v>-20.328483884890034</c:v>
                </c:pt>
                <c:pt idx="118">
                  <c:v>-13.6223073346099</c:v>
                </c:pt>
                <c:pt idx="119">
                  <c:v>-13.592622960550102</c:v>
                </c:pt>
                <c:pt idx="120">
                  <c:v>-12.286385107869933</c:v>
                </c:pt>
                <c:pt idx="121">
                  <c:v>-24.674355081649992</c:v>
                </c:pt>
                <c:pt idx="122">
                  <c:v>-4.3017350631699856</c:v>
                </c:pt>
                <c:pt idx="123">
                  <c:v>-0.86537071952000133</c:v>
                </c:pt>
                <c:pt idx="124">
                  <c:v>-1.3780772132998891</c:v>
                </c:pt>
                <c:pt idx="125">
                  <c:v>2.1053887200000645</c:v>
                </c:pt>
                <c:pt idx="126">
                  <c:v>4.6212698419799381</c:v>
                </c:pt>
                <c:pt idx="127">
                  <c:v>3.0681231064201029</c:v>
                </c:pt>
                <c:pt idx="128">
                  <c:v>2.3158640196099896</c:v>
                </c:pt>
                <c:pt idx="129">
                  <c:v>-0.98919909368999015</c:v>
                </c:pt>
                <c:pt idx="130">
                  <c:v>5.5768915052700549</c:v>
                </c:pt>
                <c:pt idx="131">
                  <c:v>5.6087775380899529</c:v>
                </c:pt>
                <c:pt idx="132">
                  <c:v>2.0185047625799371</c:v>
                </c:pt>
                <c:pt idx="133">
                  <c:v>1.8690904238700341</c:v>
                </c:pt>
                <c:pt idx="134">
                  <c:v>1.2826433229801069</c:v>
                </c:pt>
                <c:pt idx="135">
                  <c:v>0.76857869218008545</c:v>
                </c:pt>
                <c:pt idx="136">
                  <c:v>2.8174375322199694</c:v>
                </c:pt>
                <c:pt idx="137">
                  <c:v>7.1370656419499028</c:v>
                </c:pt>
                <c:pt idx="138">
                  <c:v>10.293997568780014</c:v>
                </c:pt>
                <c:pt idx="139">
                  <c:v>12.00245359718997</c:v>
                </c:pt>
                <c:pt idx="140">
                  <c:v>18.042732161429967</c:v>
                </c:pt>
                <c:pt idx="141">
                  <c:v>35.485907674889972</c:v>
                </c:pt>
                <c:pt idx="142">
                  <c:v>16.169742264719957</c:v>
                </c:pt>
                <c:pt idx="143">
                  <c:v>22.114219643529964</c:v>
                </c:pt>
                <c:pt idx="144">
                  <c:v>20.480109226660034</c:v>
                </c:pt>
                <c:pt idx="145">
                  <c:v>24.97427800615003</c:v>
                </c:pt>
                <c:pt idx="146">
                  <c:v>14.48002710621995</c:v>
                </c:pt>
                <c:pt idx="147">
                  <c:v>13.934747539589921</c:v>
                </c:pt>
                <c:pt idx="148">
                  <c:v>11.497939765540082</c:v>
                </c:pt>
                <c:pt idx="149">
                  <c:v>9.8966643102201033</c:v>
                </c:pt>
                <c:pt idx="150">
                  <c:v>7.6257362578099901</c:v>
                </c:pt>
                <c:pt idx="151">
                  <c:v>11.772217599380042</c:v>
                </c:pt>
                <c:pt idx="152">
                  <c:v>12.858601997059964</c:v>
                </c:pt>
                <c:pt idx="153">
                  <c:v>12.442797682790001</c:v>
                </c:pt>
                <c:pt idx="154">
                  <c:v>6.6694123750501149</c:v>
                </c:pt>
                <c:pt idx="155">
                  <c:v>9.6235906835299829</c:v>
                </c:pt>
                <c:pt idx="156">
                  <c:v>9.3358697301200664</c:v>
                </c:pt>
                <c:pt idx="157">
                  <c:v>10.407226612320073</c:v>
                </c:pt>
                <c:pt idx="158">
                  <c:v>12.710586285459954</c:v>
                </c:pt>
                <c:pt idx="159">
                  <c:v>16.678559463790066</c:v>
                </c:pt>
                <c:pt idx="160">
                  <c:v>16.828437263819978</c:v>
                </c:pt>
                <c:pt idx="161">
                  <c:v>18.982226959010063</c:v>
                </c:pt>
                <c:pt idx="162">
                  <c:v>18.567718324010002</c:v>
                </c:pt>
                <c:pt idx="163">
                  <c:v>1.2047260536101021</c:v>
                </c:pt>
                <c:pt idx="164">
                  <c:v>20.786049354329975</c:v>
                </c:pt>
                <c:pt idx="165">
                  <c:v>20.641434610879969</c:v>
                </c:pt>
                <c:pt idx="166">
                  <c:v>18.777778701910051</c:v>
                </c:pt>
                <c:pt idx="167">
                  <c:v>17.81623501501997</c:v>
                </c:pt>
                <c:pt idx="168">
                  <c:v>15.631695497929968</c:v>
                </c:pt>
                <c:pt idx="169">
                  <c:v>-6.9623109392400693</c:v>
                </c:pt>
                <c:pt idx="170">
                  <c:v>-6.8605810261200304</c:v>
                </c:pt>
                <c:pt idx="171">
                  <c:v>-8.9579063273200745</c:v>
                </c:pt>
                <c:pt idx="172">
                  <c:v>-9.8658506452500205</c:v>
                </c:pt>
                <c:pt idx="173">
                  <c:v>-10.170963806439886</c:v>
                </c:pt>
                <c:pt idx="174">
                  <c:v>-11.287024314989935</c:v>
                </c:pt>
                <c:pt idx="175">
                  <c:v>-6.9568717633000006</c:v>
                </c:pt>
                <c:pt idx="176">
                  <c:v>-3.2179314749799914</c:v>
                </c:pt>
                <c:pt idx="177">
                  <c:v>-3.5691974656500634</c:v>
                </c:pt>
                <c:pt idx="178">
                  <c:v>1.2230722461599726</c:v>
                </c:pt>
                <c:pt idx="179">
                  <c:v>8.9731645464999019</c:v>
                </c:pt>
                <c:pt idx="180">
                  <c:v>11.179591754260059</c:v>
                </c:pt>
                <c:pt idx="181">
                  <c:v>14.755287577849913</c:v>
                </c:pt>
                <c:pt idx="182">
                  <c:v>19.701231601459881</c:v>
                </c:pt>
                <c:pt idx="183">
                  <c:v>20.400448125620073</c:v>
                </c:pt>
                <c:pt idx="184">
                  <c:v>5.3110977406599886</c:v>
                </c:pt>
                <c:pt idx="185">
                  <c:v>23.949511306640034</c:v>
                </c:pt>
                <c:pt idx="186">
                  <c:v>28.821810748420035</c:v>
                </c:pt>
                <c:pt idx="187">
                  <c:v>27.661990855320028</c:v>
                </c:pt>
                <c:pt idx="188">
                  <c:v>17.397559782259918</c:v>
                </c:pt>
                <c:pt idx="189">
                  <c:v>17.234527946610001</c:v>
                </c:pt>
                <c:pt idx="190">
                  <c:v>14.83983110167992</c:v>
                </c:pt>
                <c:pt idx="191">
                  <c:v>13.796288596039972</c:v>
                </c:pt>
                <c:pt idx="192">
                  <c:v>11.88776310158994</c:v>
                </c:pt>
                <c:pt idx="193">
                  <c:v>10.059498775679913</c:v>
                </c:pt>
                <c:pt idx="194">
                  <c:v>9.635051639119979</c:v>
                </c:pt>
                <c:pt idx="195">
                  <c:v>15.235318375809925</c:v>
                </c:pt>
                <c:pt idx="196">
                  <c:v>10.902045991220007</c:v>
                </c:pt>
                <c:pt idx="197">
                  <c:v>11.940826479120005</c:v>
                </c:pt>
                <c:pt idx="198">
                  <c:v>5.8056657367500293</c:v>
                </c:pt>
                <c:pt idx="199">
                  <c:v>8.4953397202200449</c:v>
                </c:pt>
                <c:pt idx="200">
                  <c:v>7.5583590525199043</c:v>
                </c:pt>
                <c:pt idx="201">
                  <c:v>9.2868666787001075</c:v>
                </c:pt>
                <c:pt idx="202">
                  <c:v>12.823196619390046</c:v>
                </c:pt>
                <c:pt idx="203">
                  <c:v>16.84999481549994</c:v>
                </c:pt>
                <c:pt idx="204">
                  <c:v>18.552693407099923</c:v>
                </c:pt>
                <c:pt idx="205">
                  <c:v>28.738820094390121</c:v>
                </c:pt>
                <c:pt idx="206">
                  <c:v>25.545730195650094</c:v>
                </c:pt>
                <c:pt idx="207">
                  <c:v>33.313212247909973</c:v>
                </c:pt>
                <c:pt idx="208">
                  <c:v>35.606874620330018</c:v>
                </c:pt>
                <c:pt idx="209">
                  <c:v>32.279814120749961</c:v>
                </c:pt>
                <c:pt idx="210">
                  <c:v>26.45825722550012</c:v>
                </c:pt>
                <c:pt idx="211">
                  <c:v>13.582170475219982</c:v>
                </c:pt>
                <c:pt idx="212">
                  <c:v>12.2007245693801</c:v>
                </c:pt>
                <c:pt idx="213">
                  <c:v>10.315592129519928</c:v>
                </c:pt>
                <c:pt idx="214">
                  <c:v>12.690978830910126</c:v>
                </c:pt>
                <c:pt idx="215">
                  <c:v>12.062403085030155</c:v>
                </c:pt>
                <c:pt idx="216">
                  <c:v>9.5691061879001609</c:v>
                </c:pt>
                <c:pt idx="217">
                  <c:v>-7.7425286124100694</c:v>
                </c:pt>
                <c:pt idx="218">
                  <c:v>-13.222429944209807</c:v>
                </c:pt>
                <c:pt idx="219">
                  <c:v>-17.250187890669849</c:v>
                </c:pt>
                <c:pt idx="220">
                  <c:v>-18.43531601610016</c:v>
                </c:pt>
                <c:pt idx="221">
                  <c:v>-22.75749004292993</c:v>
                </c:pt>
                <c:pt idx="222">
                  <c:v>-20.46105660822991</c:v>
                </c:pt>
                <c:pt idx="223">
                  <c:v>-12.835909737300199</c:v>
                </c:pt>
                <c:pt idx="224">
                  <c:v>-16.706735059400216</c:v>
                </c:pt>
                <c:pt idx="225">
                  <c:v>-13.858200877680019</c:v>
                </c:pt>
                <c:pt idx="226">
                  <c:v>-10.26263237229</c:v>
                </c:pt>
                <c:pt idx="227">
                  <c:v>-21.073655701069811</c:v>
                </c:pt>
                <c:pt idx="228">
                  <c:v>-7.159463426020011</c:v>
                </c:pt>
                <c:pt idx="229">
                  <c:v>-9.2972639204499501</c:v>
                </c:pt>
                <c:pt idx="230">
                  <c:v>-11.177134074710011</c:v>
                </c:pt>
                <c:pt idx="231">
                  <c:v>-11.618106158869978</c:v>
                </c:pt>
                <c:pt idx="232">
                  <c:v>-16.820306726399849</c:v>
                </c:pt>
                <c:pt idx="233">
                  <c:v>-15.291833153230073</c:v>
                </c:pt>
                <c:pt idx="234">
                  <c:v>-17.930749984089971</c:v>
                </c:pt>
                <c:pt idx="235">
                  <c:v>-19.615127791290206</c:v>
                </c:pt>
                <c:pt idx="236">
                  <c:v>-26.944097550390097</c:v>
                </c:pt>
                <c:pt idx="237">
                  <c:v>-21.338177889789904</c:v>
                </c:pt>
                <c:pt idx="238">
                  <c:v>-17.578705446620006</c:v>
                </c:pt>
                <c:pt idx="239">
                  <c:v>-13.138198718690319</c:v>
                </c:pt>
                <c:pt idx="240">
                  <c:v>-17.294450300779999</c:v>
                </c:pt>
                <c:pt idx="241">
                  <c:v>-12.041999866140259</c:v>
                </c:pt>
                <c:pt idx="242">
                  <c:v>-5.8827915408301124</c:v>
                </c:pt>
                <c:pt idx="243">
                  <c:v>-5.5915010563198848</c:v>
                </c:pt>
                <c:pt idx="244">
                  <c:v>-1.4272496161502204</c:v>
                </c:pt>
                <c:pt idx="245">
                  <c:v>0.36843669729978501</c:v>
                </c:pt>
                <c:pt idx="246">
                  <c:v>-0.64492372888003047</c:v>
                </c:pt>
                <c:pt idx="247">
                  <c:v>7.2244614072401419</c:v>
                </c:pt>
                <c:pt idx="248">
                  <c:v>-6.3009975075399325</c:v>
                </c:pt>
                <c:pt idx="249">
                  <c:v>-2.4443370074200175</c:v>
                </c:pt>
                <c:pt idx="250">
                  <c:v>-6.1512739194400003</c:v>
                </c:pt>
              </c:numCache>
            </c:numRef>
          </c:val>
          <c:smooth val="0"/>
        </c:ser>
        <c:ser>
          <c:idx val="0"/>
          <c:order val="1"/>
          <c:tx>
            <c:strRef>
              <c:f>List1!$A$2</c:f>
              <c:strCache>
                <c:ptCount val="1"/>
                <c:pt idx="0">
                  <c:v>2016</c:v>
                </c:pt>
              </c:strCache>
            </c:strRef>
          </c:tx>
          <c:spPr>
            <a:ln w="27940">
              <a:solidFill>
                <a:schemeClr val="tx1"/>
              </a:solidFill>
              <a:prstDash val="sysDot"/>
            </a:ln>
          </c:spPr>
          <c:marker>
            <c:symbol val="none"/>
          </c:marker>
          <c:cat>
            <c:numRef>
              <c:f>List1!$B$1:$IT$1</c:f>
              <c:numCache>
                <c:formatCode>m/d/yyyy</c:formatCode>
                <c:ptCount val="253"/>
                <c:pt idx="0">
                  <c:v>42736</c:v>
                </c:pt>
                <c:pt idx="1">
                  <c:v>42737</c:v>
                </c:pt>
                <c:pt idx="2">
                  <c:v>42738</c:v>
                </c:pt>
                <c:pt idx="3">
                  <c:v>42739</c:v>
                </c:pt>
                <c:pt idx="4">
                  <c:v>42740</c:v>
                </c:pt>
                <c:pt idx="5">
                  <c:v>42741</c:v>
                </c:pt>
                <c:pt idx="6">
                  <c:v>42744</c:v>
                </c:pt>
                <c:pt idx="7">
                  <c:v>42745</c:v>
                </c:pt>
                <c:pt idx="8">
                  <c:v>42746</c:v>
                </c:pt>
                <c:pt idx="9">
                  <c:v>42747</c:v>
                </c:pt>
                <c:pt idx="10">
                  <c:v>42748</c:v>
                </c:pt>
                <c:pt idx="11">
                  <c:v>42751</c:v>
                </c:pt>
                <c:pt idx="12">
                  <c:v>42752</c:v>
                </c:pt>
                <c:pt idx="13">
                  <c:v>42753</c:v>
                </c:pt>
                <c:pt idx="14">
                  <c:v>42754</c:v>
                </c:pt>
                <c:pt idx="15">
                  <c:v>42755</c:v>
                </c:pt>
                <c:pt idx="16">
                  <c:v>42758</c:v>
                </c:pt>
                <c:pt idx="17">
                  <c:v>42759</c:v>
                </c:pt>
                <c:pt idx="18">
                  <c:v>42760</c:v>
                </c:pt>
                <c:pt idx="19">
                  <c:v>42761</c:v>
                </c:pt>
                <c:pt idx="20">
                  <c:v>42762</c:v>
                </c:pt>
                <c:pt idx="21">
                  <c:v>42765</c:v>
                </c:pt>
                <c:pt idx="22">
                  <c:v>42766</c:v>
                </c:pt>
                <c:pt idx="23">
                  <c:v>42767</c:v>
                </c:pt>
                <c:pt idx="24">
                  <c:v>42768</c:v>
                </c:pt>
                <c:pt idx="25">
                  <c:v>42769</c:v>
                </c:pt>
                <c:pt idx="26">
                  <c:v>42772</c:v>
                </c:pt>
                <c:pt idx="27">
                  <c:v>42773</c:v>
                </c:pt>
                <c:pt idx="28">
                  <c:v>42774</c:v>
                </c:pt>
                <c:pt idx="29">
                  <c:v>42775</c:v>
                </c:pt>
                <c:pt idx="30">
                  <c:v>42776</c:v>
                </c:pt>
                <c:pt idx="31">
                  <c:v>42779</c:v>
                </c:pt>
                <c:pt idx="32">
                  <c:v>42780</c:v>
                </c:pt>
                <c:pt idx="33">
                  <c:v>42781</c:v>
                </c:pt>
                <c:pt idx="34">
                  <c:v>42782</c:v>
                </c:pt>
                <c:pt idx="35">
                  <c:v>42783</c:v>
                </c:pt>
                <c:pt idx="36">
                  <c:v>42786</c:v>
                </c:pt>
                <c:pt idx="37">
                  <c:v>42787</c:v>
                </c:pt>
                <c:pt idx="38">
                  <c:v>42788</c:v>
                </c:pt>
                <c:pt idx="39">
                  <c:v>42789</c:v>
                </c:pt>
                <c:pt idx="40">
                  <c:v>42790</c:v>
                </c:pt>
                <c:pt idx="41">
                  <c:v>42793</c:v>
                </c:pt>
                <c:pt idx="42">
                  <c:v>42794</c:v>
                </c:pt>
                <c:pt idx="43">
                  <c:v>42795</c:v>
                </c:pt>
                <c:pt idx="44">
                  <c:v>42796</c:v>
                </c:pt>
                <c:pt idx="45">
                  <c:v>42797</c:v>
                </c:pt>
                <c:pt idx="46">
                  <c:v>42800</c:v>
                </c:pt>
                <c:pt idx="47">
                  <c:v>42801</c:v>
                </c:pt>
                <c:pt idx="48">
                  <c:v>42802</c:v>
                </c:pt>
                <c:pt idx="49">
                  <c:v>42803</c:v>
                </c:pt>
                <c:pt idx="50">
                  <c:v>42804</c:v>
                </c:pt>
                <c:pt idx="51">
                  <c:v>42807</c:v>
                </c:pt>
                <c:pt idx="52">
                  <c:v>42808</c:v>
                </c:pt>
                <c:pt idx="53">
                  <c:v>42809</c:v>
                </c:pt>
                <c:pt idx="54">
                  <c:v>42810</c:v>
                </c:pt>
                <c:pt idx="55">
                  <c:v>42811</c:v>
                </c:pt>
                <c:pt idx="56">
                  <c:v>42814</c:v>
                </c:pt>
                <c:pt idx="57">
                  <c:v>42815</c:v>
                </c:pt>
                <c:pt idx="58">
                  <c:v>42816</c:v>
                </c:pt>
                <c:pt idx="59">
                  <c:v>42817</c:v>
                </c:pt>
                <c:pt idx="60">
                  <c:v>42818</c:v>
                </c:pt>
                <c:pt idx="61">
                  <c:v>42821</c:v>
                </c:pt>
                <c:pt idx="62">
                  <c:v>42822</c:v>
                </c:pt>
                <c:pt idx="63">
                  <c:v>42823</c:v>
                </c:pt>
                <c:pt idx="64">
                  <c:v>42824</c:v>
                </c:pt>
                <c:pt idx="65">
                  <c:v>42825</c:v>
                </c:pt>
                <c:pt idx="66">
                  <c:v>42828</c:v>
                </c:pt>
                <c:pt idx="67">
                  <c:v>42829</c:v>
                </c:pt>
                <c:pt idx="68">
                  <c:v>42830</c:v>
                </c:pt>
                <c:pt idx="69">
                  <c:v>42831</c:v>
                </c:pt>
                <c:pt idx="70">
                  <c:v>42832</c:v>
                </c:pt>
                <c:pt idx="71">
                  <c:v>42835</c:v>
                </c:pt>
                <c:pt idx="72">
                  <c:v>42836</c:v>
                </c:pt>
                <c:pt idx="73">
                  <c:v>42837</c:v>
                </c:pt>
                <c:pt idx="74">
                  <c:v>42838</c:v>
                </c:pt>
                <c:pt idx="75">
                  <c:v>42843</c:v>
                </c:pt>
                <c:pt idx="76">
                  <c:v>42844</c:v>
                </c:pt>
                <c:pt idx="77">
                  <c:v>42845</c:v>
                </c:pt>
                <c:pt idx="78">
                  <c:v>42846</c:v>
                </c:pt>
                <c:pt idx="79">
                  <c:v>42849</c:v>
                </c:pt>
                <c:pt idx="80">
                  <c:v>42850</c:v>
                </c:pt>
                <c:pt idx="81">
                  <c:v>42851</c:v>
                </c:pt>
                <c:pt idx="82">
                  <c:v>42852</c:v>
                </c:pt>
                <c:pt idx="83">
                  <c:v>42853</c:v>
                </c:pt>
                <c:pt idx="84">
                  <c:v>42857</c:v>
                </c:pt>
                <c:pt idx="85">
                  <c:v>42858</c:v>
                </c:pt>
                <c:pt idx="86">
                  <c:v>42859</c:v>
                </c:pt>
                <c:pt idx="87">
                  <c:v>42860</c:v>
                </c:pt>
                <c:pt idx="88">
                  <c:v>42864</c:v>
                </c:pt>
                <c:pt idx="89">
                  <c:v>42865</c:v>
                </c:pt>
                <c:pt idx="90">
                  <c:v>42866</c:v>
                </c:pt>
                <c:pt idx="91">
                  <c:v>42867</c:v>
                </c:pt>
                <c:pt idx="92">
                  <c:v>42870</c:v>
                </c:pt>
                <c:pt idx="93">
                  <c:v>42871</c:v>
                </c:pt>
                <c:pt idx="94">
                  <c:v>42872</c:v>
                </c:pt>
                <c:pt idx="95">
                  <c:v>42873</c:v>
                </c:pt>
                <c:pt idx="96">
                  <c:v>42874</c:v>
                </c:pt>
                <c:pt idx="97">
                  <c:v>42877</c:v>
                </c:pt>
                <c:pt idx="98">
                  <c:v>42878</c:v>
                </c:pt>
                <c:pt idx="99">
                  <c:v>42879</c:v>
                </c:pt>
                <c:pt idx="100">
                  <c:v>42880</c:v>
                </c:pt>
                <c:pt idx="101">
                  <c:v>42881</c:v>
                </c:pt>
                <c:pt idx="102">
                  <c:v>42884</c:v>
                </c:pt>
                <c:pt idx="103">
                  <c:v>42885</c:v>
                </c:pt>
                <c:pt idx="104">
                  <c:v>42886</c:v>
                </c:pt>
                <c:pt idx="105">
                  <c:v>42887</c:v>
                </c:pt>
                <c:pt idx="106">
                  <c:v>42888</c:v>
                </c:pt>
                <c:pt idx="107">
                  <c:v>42891</c:v>
                </c:pt>
                <c:pt idx="108">
                  <c:v>42892</c:v>
                </c:pt>
                <c:pt idx="109">
                  <c:v>42893</c:v>
                </c:pt>
                <c:pt idx="110">
                  <c:v>42894</c:v>
                </c:pt>
                <c:pt idx="111">
                  <c:v>42895</c:v>
                </c:pt>
                <c:pt idx="112">
                  <c:v>42898</c:v>
                </c:pt>
                <c:pt idx="113">
                  <c:v>42899</c:v>
                </c:pt>
                <c:pt idx="114">
                  <c:v>42900</c:v>
                </c:pt>
                <c:pt idx="115">
                  <c:v>42901</c:v>
                </c:pt>
                <c:pt idx="116">
                  <c:v>42902</c:v>
                </c:pt>
                <c:pt idx="117">
                  <c:v>42905</c:v>
                </c:pt>
                <c:pt idx="118">
                  <c:v>42906</c:v>
                </c:pt>
                <c:pt idx="119">
                  <c:v>42907</c:v>
                </c:pt>
                <c:pt idx="120">
                  <c:v>42908</c:v>
                </c:pt>
                <c:pt idx="121">
                  <c:v>42909</c:v>
                </c:pt>
                <c:pt idx="122">
                  <c:v>42912</c:v>
                </c:pt>
                <c:pt idx="123">
                  <c:v>42913</c:v>
                </c:pt>
                <c:pt idx="124">
                  <c:v>42914</c:v>
                </c:pt>
                <c:pt idx="125">
                  <c:v>42915</c:v>
                </c:pt>
                <c:pt idx="126">
                  <c:v>42916</c:v>
                </c:pt>
                <c:pt idx="127">
                  <c:v>42919</c:v>
                </c:pt>
                <c:pt idx="128">
                  <c:v>42920</c:v>
                </c:pt>
                <c:pt idx="129">
                  <c:v>42923</c:v>
                </c:pt>
                <c:pt idx="130">
                  <c:v>42926</c:v>
                </c:pt>
                <c:pt idx="131">
                  <c:v>42927</c:v>
                </c:pt>
                <c:pt idx="132">
                  <c:v>42928</c:v>
                </c:pt>
                <c:pt idx="133">
                  <c:v>42929</c:v>
                </c:pt>
                <c:pt idx="134">
                  <c:v>42930</c:v>
                </c:pt>
                <c:pt idx="135">
                  <c:v>42933</c:v>
                </c:pt>
                <c:pt idx="136">
                  <c:v>42934</c:v>
                </c:pt>
                <c:pt idx="137">
                  <c:v>42935</c:v>
                </c:pt>
                <c:pt idx="138">
                  <c:v>42936</c:v>
                </c:pt>
                <c:pt idx="139">
                  <c:v>42937</c:v>
                </c:pt>
                <c:pt idx="140">
                  <c:v>42940</c:v>
                </c:pt>
                <c:pt idx="141">
                  <c:v>42941</c:v>
                </c:pt>
                <c:pt idx="142">
                  <c:v>42942</c:v>
                </c:pt>
                <c:pt idx="143">
                  <c:v>42943</c:v>
                </c:pt>
                <c:pt idx="144">
                  <c:v>42944</c:v>
                </c:pt>
                <c:pt idx="145">
                  <c:v>42947</c:v>
                </c:pt>
                <c:pt idx="146">
                  <c:v>42948</c:v>
                </c:pt>
                <c:pt idx="147">
                  <c:v>42949</c:v>
                </c:pt>
                <c:pt idx="148">
                  <c:v>42950</c:v>
                </c:pt>
                <c:pt idx="149">
                  <c:v>42951</c:v>
                </c:pt>
                <c:pt idx="150">
                  <c:v>42954</c:v>
                </c:pt>
                <c:pt idx="151">
                  <c:v>42955</c:v>
                </c:pt>
                <c:pt idx="152">
                  <c:v>42956</c:v>
                </c:pt>
                <c:pt idx="153">
                  <c:v>42957</c:v>
                </c:pt>
                <c:pt idx="154">
                  <c:v>42958</c:v>
                </c:pt>
                <c:pt idx="155">
                  <c:v>42961</c:v>
                </c:pt>
                <c:pt idx="156">
                  <c:v>42962</c:v>
                </c:pt>
                <c:pt idx="157">
                  <c:v>42963</c:v>
                </c:pt>
                <c:pt idx="158">
                  <c:v>42964</c:v>
                </c:pt>
                <c:pt idx="159">
                  <c:v>42965</c:v>
                </c:pt>
                <c:pt idx="160">
                  <c:v>42968</c:v>
                </c:pt>
                <c:pt idx="161">
                  <c:v>42969</c:v>
                </c:pt>
                <c:pt idx="162">
                  <c:v>42970</c:v>
                </c:pt>
                <c:pt idx="163">
                  <c:v>42971</c:v>
                </c:pt>
                <c:pt idx="164">
                  <c:v>42972</c:v>
                </c:pt>
                <c:pt idx="165">
                  <c:v>42975</c:v>
                </c:pt>
                <c:pt idx="166">
                  <c:v>42976</c:v>
                </c:pt>
                <c:pt idx="167">
                  <c:v>42977</c:v>
                </c:pt>
                <c:pt idx="168">
                  <c:v>42978</c:v>
                </c:pt>
                <c:pt idx="169">
                  <c:v>42979</c:v>
                </c:pt>
                <c:pt idx="170">
                  <c:v>42982</c:v>
                </c:pt>
                <c:pt idx="171">
                  <c:v>42983</c:v>
                </c:pt>
                <c:pt idx="172">
                  <c:v>42984</c:v>
                </c:pt>
                <c:pt idx="173">
                  <c:v>42985</c:v>
                </c:pt>
                <c:pt idx="174">
                  <c:v>42986</c:v>
                </c:pt>
                <c:pt idx="175">
                  <c:v>42989</c:v>
                </c:pt>
                <c:pt idx="176">
                  <c:v>42990</c:v>
                </c:pt>
                <c:pt idx="177">
                  <c:v>42991</c:v>
                </c:pt>
                <c:pt idx="178">
                  <c:v>42992</c:v>
                </c:pt>
                <c:pt idx="179">
                  <c:v>42993</c:v>
                </c:pt>
                <c:pt idx="180">
                  <c:v>42996</c:v>
                </c:pt>
                <c:pt idx="181">
                  <c:v>42997</c:v>
                </c:pt>
                <c:pt idx="182">
                  <c:v>42998</c:v>
                </c:pt>
                <c:pt idx="183">
                  <c:v>42999</c:v>
                </c:pt>
                <c:pt idx="184">
                  <c:v>43000</c:v>
                </c:pt>
                <c:pt idx="185">
                  <c:v>43003</c:v>
                </c:pt>
                <c:pt idx="186">
                  <c:v>43004</c:v>
                </c:pt>
                <c:pt idx="187">
                  <c:v>43005</c:v>
                </c:pt>
                <c:pt idx="188">
                  <c:v>43007</c:v>
                </c:pt>
                <c:pt idx="189">
                  <c:v>43010</c:v>
                </c:pt>
                <c:pt idx="190">
                  <c:v>43011</c:v>
                </c:pt>
                <c:pt idx="191">
                  <c:v>43012</c:v>
                </c:pt>
                <c:pt idx="192">
                  <c:v>43013</c:v>
                </c:pt>
                <c:pt idx="193">
                  <c:v>43014</c:v>
                </c:pt>
                <c:pt idx="194">
                  <c:v>43017</c:v>
                </c:pt>
                <c:pt idx="195">
                  <c:v>43018</c:v>
                </c:pt>
                <c:pt idx="196">
                  <c:v>43019</c:v>
                </c:pt>
                <c:pt idx="197">
                  <c:v>43020</c:v>
                </c:pt>
                <c:pt idx="198">
                  <c:v>43021</c:v>
                </c:pt>
                <c:pt idx="199">
                  <c:v>43024</c:v>
                </c:pt>
                <c:pt idx="200">
                  <c:v>43025</c:v>
                </c:pt>
                <c:pt idx="201">
                  <c:v>43026</c:v>
                </c:pt>
                <c:pt idx="202">
                  <c:v>43027</c:v>
                </c:pt>
                <c:pt idx="203">
                  <c:v>43028</c:v>
                </c:pt>
                <c:pt idx="204">
                  <c:v>43031</c:v>
                </c:pt>
                <c:pt idx="205">
                  <c:v>43032</c:v>
                </c:pt>
                <c:pt idx="206">
                  <c:v>43033</c:v>
                </c:pt>
                <c:pt idx="207">
                  <c:v>43034</c:v>
                </c:pt>
                <c:pt idx="208">
                  <c:v>43035</c:v>
                </c:pt>
                <c:pt idx="209">
                  <c:v>43038</c:v>
                </c:pt>
                <c:pt idx="210">
                  <c:v>43039</c:v>
                </c:pt>
                <c:pt idx="211">
                  <c:v>43040</c:v>
                </c:pt>
                <c:pt idx="212">
                  <c:v>43041</c:v>
                </c:pt>
                <c:pt idx="213">
                  <c:v>43042</c:v>
                </c:pt>
                <c:pt idx="214">
                  <c:v>43045</c:v>
                </c:pt>
                <c:pt idx="215">
                  <c:v>43046</c:v>
                </c:pt>
                <c:pt idx="216">
                  <c:v>43047</c:v>
                </c:pt>
                <c:pt idx="217">
                  <c:v>43048</c:v>
                </c:pt>
                <c:pt idx="218">
                  <c:v>43049</c:v>
                </c:pt>
                <c:pt idx="219">
                  <c:v>43052</c:v>
                </c:pt>
                <c:pt idx="220">
                  <c:v>43053</c:v>
                </c:pt>
                <c:pt idx="221">
                  <c:v>43054</c:v>
                </c:pt>
                <c:pt idx="222">
                  <c:v>43055</c:v>
                </c:pt>
                <c:pt idx="223">
                  <c:v>43059</c:v>
                </c:pt>
                <c:pt idx="224">
                  <c:v>43060</c:v>
                </c:pt>
                <c:pt idx="225">
                  <c:v>43061</c:v>
                </c:pt>
                <c:pt idx="226">
                  <c:v>43062</c:v>
                </c:pt>
                <c:pt idx="227">
                  <c:v>43063</c:v>
                </c:pt>
                <c:pt idx="228">
                  <c:v>43066</c:v>
                </c:pt>
                <c:pt idx="229">
                  <c:v>43067</c:v>
                </c:pt>
                <c:pt idx="230">
                  <c:v>43068</c:v>
                </c:pt>
                <c:pt idx="231">
                  <c:v>43069</c:v>
                </c:pt>
                <c:pt idx="232">
                  <c:v>43070</c:v>
                </c:pt>
                <c:pt idx="233">
                  <c:v>43073</c:v>
                </c:pt>
                <c:pt idx="234">
                  <c:v>43074</c:v>
                </c:pt>
                <c:pt idx="235">
                  <c:v>43075</c:v>
                </c:pt>
                <c:pt idx="236">
                  <c:v>43076</c:v>
                </c:pt>
                <c:pt idx="237">
                  <c:v>43077</c:v>
                </c:pt>
                <c:pt idx="238">
                  <c:v>43080</c:v>
                </c:pt>
                <c:pt idx="239">
                  <c:v>43081</c:v>
                </c:pt>
                <c:pt idx="240">
                  <c:v>43082</c:v>
                </c:pt>
                <c:pt idx="241">
                  <c:v>43083</c:v>
                </c:pt>
                <c:pt idx="242">
                  <c:v>43084</c:v>
                </c:pt>
                <c:pt idx="243">
                  <c:v>43087</c:v>
                </c:pt>
                <c:pt idx="244">
                  <c:v>43088</c:v>
                </c:pt>
                <c:pt idx="245">
                  <c:v>43089</c:v>
                </c:pt>
                <c:pt idx="246">
                  <c:v>43090</c:v>
                </c:pt>
                <c:pt idx="247">
                  <c:v>43091</c:v>
                </c:pt>
                <c:pt idx="248">
                  <c:v>43096</c:v>
                </c:pt>
                <c:pt idx="249">
                  <c:v>43097</c:v>
                </c:pt>
                <c:pt idx="250">
                  <c:v>43098</c:v>
                </c:pt>
                <c:pt idx="251">
                  <c:v>43099</c:v>
                </c:pt>
                <c:pt idx="252">
                  <c:v>43100</c:v>
                </c:pt>
              </c:numCache>
            </c:numRef>
          </c:cat>
          <c:val>
            <c:numRef>
              <c:f>List1!$B$2:$IT$2</c:f>
              <c:numCache>
                <c:formatCode>General</c:formatCode>
                <c:ptCount val="253"/>
                <c:pt idx="0">
                  <c:v>0</c:v>
                </c:pt>
                <c:pt idx="1">
                  <c:v>0.50259272396999988</c:v>
                </c:pt>
                <c:pt idx="2">
                  <c:v>9.2734955411099982</c:v>
                </c:pt>
                <c:pt idx="3">
                  <c:v>10.527497826099999</c:v>
                </c:pt>
                <c:pt idx="4">
                  <c:v>12.94375516665</c:v>
                </c:pt>
                <c:pt idx="5">
                  <c:v>16.32559754991</c:v>
                </c:pt>
                <c:pt idx="6">
                  <c:v>22.225037681520007</c:v>
                </c:pt>
                <c:pt idx="7">
                  <c:v>24.167175902290005</c:v>
                </c:pt>
                <c:pt idx="8">
                  <c:v>24.635645336690001</c:v>
                </c:pt>
                <c:pt idx="9">
                  <c:v>13.377460099340006</c:v>
                </c:pt>
                <c:pt idx="10">
                  <c:v>15.432119171529997</c:v>
                </c:pt>
                <c:pt idx="11">
                  <c:v>21.651457146390001</c:v>
                </c:pt>
                <c:pt idx="12">
                  <c:v>24.75754403106</c:v>
                </c:pt>
                <c:pt idx="13">
                  <c:v>31.551906147890001</c:v>
                </c:pt>
                <c:pt idx="14">
                  <c:v>33.255933613710006</c:v>
                </c:pt>
                <c:pt idx="15">
                  <c:v>39.685699096780006</c:v>
                </c:pt>
                <c:pt idx="16">
                  <c:v>57.361557406110009</c:v>
                </c:pt>
                <c:pt idx="17">
                  <c:v>63.313789661600012</c:v>
                </c:pt>
                <c:pt idx="18">
                  <c:v>39.463288556059993</c:v>
                </c:pt>
                <c:pt idx="19">
                  <c:v>45.357822327300013</c:v>
                </c:pt>
                <c:pt idx="20">
                  <c:v>45.869479103390006</c:v>
                </c:pt>
                <c:pt idx="21">
                  <c:v>39.937515438080013</c:v>
                </c:pt>
                <c:pt idx="22">
                  <c:v>41.080671546960019</c:v>
                </c:pt>
                <c:pt idx="23">
                  <c:v>43.02391207249002</c:v>
                </c:pt>
                <c:pt idx="24">
                  <c:v>40.344041427969984</c:v>
                </c:pt>
                <c:pt idx="25">
                  <c:v>31.671340283190005</c:v>
                </c:pt>
                <c:pt idx="26">
                  <c:v>35.063861745329987</c:v>
                </c:pt>
                <c:pt idx="27">
                  <c:v>32.829038080520007</c:v>
                </c:pt>
                <c:pt idx="28">
                  <c:v>33.161230645130019</c:v>
                </c:pt>
                <c:pt idx="29">
                  <c:v>29.464140899779977</c:v>
                </c:pt>
                <c:pt idx="30">
                  <c:v>25.678567329599986</c:v>
                </c:pt>
                <c:pt idx="31">
                  <c:v>27.100159299430004</c:v>
                </c:pt>
                <c:pt idx="32">
                  <c:v>30.076774974759985</c:v>
                </c:pt>
                <c:pt idx="33">
                  <c:v>27.803846482479997</c:v>
                </c:pt>
                <c:pt idx="34">
                  <c:v>28.980177055040002</c:v>
                </c:pt>
                <c:pt idx="35">
                  <c:v>29.516826950109987</c:v>
                </c:pt>
                <c:pt idx="36">
                  <c:v>35.043636583400001</c:v>
                </c:pt>
                <c:pt idx="37">
                  <c:v>36.032045038509978</c:v>
                </c:pt>
                <c:pt idx="38">
                  <c:v>6.6315669640400188</c:v>
                </c:pt>
                <c:pt idx="39">
                  <c:v>25.872844027349998</c:v>
                </c:pt>
                <c:pt idx="40">
                  <c:v>27.836165439669998</c:v>
                </c:pt>
                <c:pt idx="41">
                  <c:v>27.69413411827</c:v>
                </c:pt>
                <c:pt idx="42">
                  <c:v>22.258236952559997</c:v>
                </c:pt>
                <c:pt idx="43">
                  <c:v>7.6037904876699827</c:v>
                </c:pt>
                <c:pt idx="44">
                  <c:v>4.6679314081499967</c:v>
                </c:pt>
                <c:pt idx="45">
                  <c:v>2.7524906583499842</c:v>
                </c:pt>
                <c:pt idx="46">
                  <c:v>0.71200057662997551</c:v>
                </c:pt>
                <c:pt idx="47">
                  <c:v>0.39780490297997062</c:v>
                </c:pt>
                <c:pt idx="48">
                  <c:v>0.24136819553999089</c:v>
                </c:pt>
                <c:pt idx="49">
                  <c:v>0.94357439849000002</c:v>
                </c:pt>
                <c:pt idx="50">
                  <c:v>2.3393105621699988</c:v>
                </c:pt>
                <c:pt idx="51">
                  <c:v>10.238396130159998</c:v>
                </c:pt>
                <c:pt idx="52">
                  <c:v>18.984590085360026</c:v>
                </c:pt>
                <c:pt idx="53">
                  <c:v>28.216796700190002</c:v>
                </c:pt>
                <c:pt idx="54">
                  <c:v>24.584283518859991</c:v>
                </c:pt>
                <c:pt idx="55">
                  <c:v>26.649773944010008</c:v>
                </c:pt>
                <c:pt idx="56">
                  <c:v>27.347832343279947</c:v>
                </c:pt>
                <c:pt idx="57">
                  <c:v>28.914712636080026</c:v>
                </c:pt>
                <c:pt idx="58">
                  <c:v>30.462889222350043</c:v>
                </c:pt>
                <c:pt idx="59">
                  <c:v>23.073540900060095</c:v>
                </c:pt>
                <c:pt idx="60">
                  <c:v>47.265297005560001</c:v>
                </c:pt>
                <c:pt idx="61">
                  <c:v>46.863866916700033</c:v>
                </c:pt>
                <c:pt idx="62">
                  <c:v>43.597067478090025</c:v>
                </c:pt>
                <c:pt idx="63">
                  <c:v>40.771873444410005</c:v>
                </c:pt>
                <c:pt idx="64">
                  <c:v>42.955559419769941</c:v>
                </c:pt>
                <c:pt idx="65">
                  <c:v>38.440977366659922</c:v>
                </c:pt>
                <c:pt idx="66">
                  <c:v>36.834022537100054</c:v>
                </c:pt>
                <c:pt idx="67">
                  <c:v>34.032073705630012</c:v>
                </c:pt>
                <c:pt idx="68">
                  <c:v>34.795958029420092</c:v>
                </c:pt>
                <c:pt idx="69">
                  <c:v>35.811266765819994</c:v>
                </c:pt>
                <c:pt idx="70">
                  <c:v>36.559323136969965</c:v>
                </c:pt>
                <c:pt idx="71">
                  <c:v>30.933990763410009</c:v>
                </c:pt>
                <c:pt idx="72">
                  <c:v>30.122594165939972</c:v>
                </c:pt>
                <c:pt idx="73">
                  <c:v>29.548820427199985</c:v>
                </c:pt>
                <c:pt idx="74">
                  <c:v>28.028335208349972</c:v>
                </c:pt>
                <c:pt idx="75">
                  <c:v>29.843375835039978</c:v>
                </c:pt>
                <c:pt idx="76">
                  <c:v>31.835245547999989</c:v>
                </c:pt>
                <c:pt idx="77">
                  <c:v>30.342868515030034</c:v>
                </c:pt>
                <c:pt idx="78">
                  <c:v>34.915068605880037</c:v>
                </c:pt>
                <c:pt idx="79">
                  <c:v>52.280690772510013</c:v>
                </c:pt>
                <c:pt idx="80">
                  <c:v>55.063128870319986</c:v>
                </c:pt>
                <c:pt idx="81">
                  <c:v>52.886560251330025</c:v>
                </c:pt>
                <c:pt idx="82">
                  <c:v>33.074854344799974</c:v>
                </c:pt>
                <c:pt idx="83">
                  <c:v>30.520332660179974</c:v>
                </c:pt>
                <c:pt idx="84">
                  <c:v>27.877634142259978</c:v>
                </c:pt>
                <c:pt idx="85">
                  <c:v>14.066744219960015</c:v>
                </c:pt>
                <c:pt idx="86">
                  <c:v>5.7965800287200295</c:v>
                </c:pt>
                <c:pt idx="87">
                  <c:v>3.440765204140007</c:v>
                </c:pt>
                <c:pt idx="88">
                  <c:v>0.39476131233993783</c:v>
                </c:pt>
                <c:pt idx="89">
                  <c:v>1.0650397774099929</c:v>
                </c:pt>
                <c:pt idx="90">
                  <c:v>3.9673838637200447</c:v>
                </c:pt>
                <c:pt idx="91">
                  <c:v>-0.95208260530995403</c:v>
                </c:pt>
                <c:pt idx="92">
                  <c:v>-0.88837183389000529</c:v>
                </c:pt>
                <c:pt idx="93">
                  <c:v>-2.0197626305799758</c:v>
                </c:pt>
                <c:pt idx="94">
                  <c:v>-0.21237390114004029</c:v>
                </c:pt>
                <c:pt idx="95">
                  <c:v>-0.88257760310995081</c:v>
                </c:pt>
                <c:pt idx="96">
                  <c:v>-0.28851899000000003</c:v>
                </c:pt>
                <c:pt idx="97">
                  <c:v>2.0549991186300076</c:v>
                </c:pt>
                <c:pt idx="98">
                  <c:v>8.3398297112699993</c:v>
                </c:pt>
                <c:pt idx="99">
                  <c:v>8.7918608514800098</c:v>
                </c:pt>
                <c:pt idx="100">
                  <c:v>16.702661644380044</c:v>
                </c:pt>
                <c:pt idx="101">
                  <c:v>9.3582610576600018</c:v>
                </c:pt>
                <c:pt idx="102">
                  <c:v>16.279905411980053</c:v>
                </c:pt>
                <c:pt idx="103">
                  <c:v>14.683018608409952</c:v>
                </c:pt>
                <c:pt idx="104">
                  <c:v>13.949730236269943</c:v>
                </c:pt>
                <c:pt idx="105">
                  <c:v>22.387465428719963</c:v>
                </c:pt>
                <c:pt idx="106">
                  <c:v>18.914636105</c:v>
                </c:pt>
                <c:pt idx="107">
                  <c:v>20.815503564239975</c:v>
                </c:pt>
                <c:pt idx="108">
                  <c:v>14.160237002609961</c:v>
                </c:pt>
                <c:pt idx="109">
                  <c:v>15.260616404950042</c:v>
                </c:pt>
                <c:pt idx="110">
                  <c:v>14.1450386875199</c:v>
                </c:pt>
                <c:pt idx="111">
                  <c:v>15.722275056669901</c:v>
                </c:pt>
                <c:pt idx="112">
                  <c:v>17.757233159210045</c:v>
                </c:pt>
                <c:pt idx="113">
                  <c:v>4.6989226432800706</c:v>
                </c:pt>
                <c:pt idx="114">
                  <c:v>5.4071262892200593</c:v>
                </c:pt>
                <c:pt idx="115">
                  <c:v>12.834098097799938</c:v>
                </c:pt>
                <c:pt idx="116">
                  <c:v>21.548050369989937</c:v>
                </c:pt>
                <c:pt idx="117">
                  <c:v>20.880411868250008</c:v>
                </c:pt>
                <c:pt idx="118">
                  <c:v>22.485562538110003</c:v>
                </c:pt>
                <c:pt idx="119">
                  <c:v>29.385676694869971</c:v>
                </c:pt>
                <c:pt idx="120">
                  <c:v>28.087900832270066</c:v>
                </c:pt>
                <c:pt idx="121">
                  <c:v>31.020977207600026</c:v>
                </c:pt>
                <c:pt idx="122">
                  <c:v>33.15814064899007</c:v>
                </c:pt>
                <c:pt idx="123">
                  <c:v>20.059564603189983</c:v>
                </c:pt>
                <c:pt idx="124">
                  <c:v>39.746334350280108</c:v>
                </c:pt>
                <c:pt idx="125">
                  <c:v>42.471000098739978</c:v>
                </c:pt>
                <c:pt idx="126">
                  <c:v>44.187461882719958</c:v>
                </c:pt>
                <c:pt idx="127">
                  <c:v>40.645017714660071</c:v>
                </c:pt>
                <c:pt idx="128">
                  <c:v>39.918729179450111</c:v>
                </c:pt>
                <c:pt idx="129">
                  <c:v>41.29374831138</c:v>
                </c:pt>
                <c:pt idx="130">
                  <c:v>37.817153215200051</c:v>
                </c:pt>
                <c:pt idx="131">
                  <c:v>42.548761881619953</c:v>
                </c:pt>
                <c:pt idx="132">
                  <c:v>44.862002359659868</c:v>
                </c:pt>
                <c:pt idx="133">
                  <c:v>47.576765353550059</c:v>
                </c:pt>
                <c:pt idx="134">
                  <c:v>42.862953719959933</c:v>
                </c:pt>
                <c:pt idx="135">
                  <c:v>43.411799894969931</c:v>
                </c:pt>
                <c:pt idx="136">
                  <c:v>42.997779372669925</c:v>
                </c:pt>
                <c:pt idx="137">
                  <c:v>46.774000000000001</c:v>
                </c:pt>
                <c:pt idx="138">
                  <c:v>49.480439593559936</c:v>
                </c:pt>
                <c:pt idx="139">
                  <c:v>53.580283535670105</c:v>
                </c:pt>
                <c:pt idx="140">
                  <c:v>54.882392443370009</c:v>
                </c:pt>
                <c:pt idx="141">
                  <c:v>59.764898151130069</c:v>
                </c:pt>
                <c:pt idx="142">
                  <c:v>78.381553127049983</c:v>
                </c:pt>
                <c:pt idx="143">
                  <c:v>92.58243243456991</c:v>
                </c:pt>
                <c:pt idx="144">
                  <c:v>71.376754584450055</c:v>
                </c:pt>
                <c:pt idx="145">
                  <c:v>77.305770037769889</c:v>
                </c:pt>
                <c:pt idx="146">
                  <c:v>75.628259848339894</c:v>
                </c:pt>
                <c:pt idx="147">
                  <c:v>66.790070841779993</c:v>
                </c:pt>
                <c:pt idx="148">
                  <c:v>67.187530340459944</c:v>
                </c:pt>
                <c:pt idx="149">
                  <c:v>60.575807807029946</c:v>
                </c:pt>
                <c:pt idx="150">
                  <c:v>60.667920530879996</c:v>
                </c:pt>
                <c:pt idx="151">
                  <c:v>63.397192282690071</c:v>
                </c:pt>
                <c:pt idx="152">
                  <c:v>64.234473837479982</c:v>
                </c:pt>
                <c:pt idx="153">
                  <c:v>65.238155626959951</c:v>
                </c:pt>
                <c:pt idx="154">
                  <c:v>64.954999999999998</c:v>
                </c:pt>
                <c:pt idx="155">
                  <c:v>62.327681999639935</c:v>
                </c:pt>
                <c:pt idx="156">
                  <c:v>63.685141053970028</c:v>
                </c:pt>
                <c:pt idx="157">
                  <c:v>62.61217366636015</c:v>
                </c:pt>
                <c:pt idx="158">
                  <c:v>63.542607095490098</c:v>
                </c:pt>
                <c:pt idx="159">
                  <c:v>68.422401217450101</c:v>
                </c:pt>
                <c:pt idx="160">
                  <c:v>69.997547621890021</c:v>
                </c:pt>
                <c:pt idx="161">
                  <c:v>72.879846655520055</c:v>
                </c:pt>
                <c:pt idx="162">
                  <c:v>79.046415764179983</c:v>
                </c:pt>
                <c:pt idx="163">
                  <c:v>80.681432641389847</c:v>
                </c:pt>
                <c:pt idx="164">
                  <c:v>63.996767207579978</c:v>
                </c:pt>
                <c:pt idx="165">
                  <c:v>83.714664463509962</c:v>
                </c:pt>
                <c:pt idx="166">
                  <c:v>86.918900026549977</c:v>
                </c:pt>
                <c:pt idx="167">
                  <c:v>84.975170254749969</c:v>
                </c:pt>
                <c:pt idx="168">
                  <c:v>83.599523921560035</c:v>
                </c:pt>
                <c:pt idx="169">
                  <c:v>81.188959600439944</c:v>
                </c:pt>
                <c:pt idx="170">
                  <c:v>60.572000000000003</c:v>
                </c:pt>
                <c:pt idx="171">
                  <c:v>61.194615435720038</c:v>
                </c:pt>
                <c:pt idx="172">
                  <c:v>58.817504537949958</c:v>
                </c:pt>
                <c:pt idx="173">
                  <c:v>58.357314764979947</c:v>
                </c:pt>
                <c:pt idx="174">
                  <c:v>55.132511165930055</c:v>
                </c:pt>
                <c:pt idx="175">
                  <c:v>55.849330115600083</c:v>
                </c:pt>
                <c:pt idx="176">
                  <c:v>59.251243413869929</c:v>
                </c:pt>
                <c:pt idx="177">
                  <c:v>64.152585999430016</c:v>
                </c:pt>
                <c:pt idx="178">
                  <c:v>63.674879865620028</c:v>
                </c:pt>
                <c:pt idx="179">
                  <c:v>69.879263592480015</c:v>
                </c:pt>
                <c:pt idx="180">
                  <c:v>76.858783492230145</c:v>
                </c:pt>
                <c:pt idx="181">
                  <c:v>77.294976814410006</c:v>
                </c:pt>
                <c:pt idx="182">
                  <c:v>79.158459326830098</c:v>
                </c:pt>
                <c:pt idx="183">
                  <c:v>84.622709774870032</c:v>
                </c:pt>
                <c:pt idx="184">
                  <c:v>81.910851235479981</c:v>
                </c:pt>
                <c:pt idx="185">
                  <c:v>83.744948230950058</c:v>
                </c:pt>
                <c:pt idx="186">
                  <c:v>72.89684333639002</c:v>
                </c:pt>
                <c:pt idx="187">
                  <c:v>91.985444094109994</c:v>
                </c:pt>
                <c:pt idx="188">
                  <c:v>91.266690892910106</c:v>
                </c:pt>
                <c:pt idx="189">
                  <c:v>89.357666094490014</c:v>
                </c:pt>
                <c:pt idx="190">
                  <c:v>82.273946356159968</c:v>
                </c:pt>
                <c:pt idx="191">
                  <c:v>77.789417131440018</c:v>
                </c:pt>
                <c:pt idx="192">
                  <c:v>76.651990982520033</c:v>
                </c:pt>
                <c:pt idx="193">
                  <c:v>73.744410742640071</c:v>
                </c:pt>
                <c:pt idx="194">
                  <c:v>70.938272898660102</c:v>
                </c:pt>
                <c:pt idx="195">
                  <c:v>69.90171270534006</c:v>
                </c:pt>
                <c:pt idx="196">
                  <c:v>78.57755217818999</c:v>
                </c:pt>
                <c:pt idx="197">
                  <c:v>77.915043523000008</c:v>
                </c:pt>
                <c:pt idx="198">
                  <c:v>75.395991171509991</c:v>
                </c:pt>
                <c:pt idx="199">
                  <c:v>74.116350687630074</c:v>
                </c:pt>
                <c:pt idx="200">
                  <c:v>73.550560844779966</c:v>
                </c:pt>
                <c:pt idx="201">
                  <c:v>73.862192640800004</c:v>
                </c:pt>
                <c:pt idx="202">
                  <c:v>85.081571700569953</c:v>
                </c:pt>
                <c:pt idx="203">
                  <c:v>79.200199136539936</c:v>
                </c:pt>
                <c:pt idx="204">
                  <c:v>83.226294630799885</c:v>
                </c:pt>
                <c:pt idx="205">
                  <c:v>84.152193798100029</c:v>
                </c:pt>
                <c:pt idx="206">
                  <c:v>93.912978709949925</c:v>
                </c:pt>
                <c:pt idx="207">
                  <c:v>113.65343134846989</c:v>
                </c:pt>
                <c:pt idx="208">
                  <c:v>96.291543193569964</c:v>
                </c:pt>
                <c:pt idx="209">
                  <c:v>96.704337305900026</c:v>
                </c:pt>
                <c:pt idx="210">
                  <c:v>98.335133034289925</c:v>
                </c:pt>
                <c:pt idx="211">
                  <c:v>88.812022565909956</c:v>
                </c:pt>
                <c:pt idx="212">
                  <c:v>84.43223475386992</c:v>
                </c:pt>
                <c:pt idx="213">
                  <c:v>82.136871922950036</c:v>
                </c:pt>
                <c:pt idx="214">
                  <c:v>78.403665471289969</c:v>
                </c:pt>
                <c:pt idx="215">
                  <c:v>75.712958392610062</c:v>
                </c:pt>
                <c:pt idx="216">
                  <c:v>63.609873404159885</c:v>
                </c:pt>
                <c:pt idx="217">
                  <c:v>63.830744678999963</c:v>
                </c:pt>
                <c:pt idx="218">
                  <c:v>63.60431259347024</c:v>
                </c:pt>
                <c:pt idx="219">
                  <c:v>57.993126929059827</c:v>
                </c:pt>
                <c:pt idx="220">
                  <c:v>56.329488431329992</c:v>
                </c:pt>
                <c:pt idx="221">
                  <c:v>55.618253646050107</c:v>
                </c:pt>
                <c:pt idx="222">
                  <c:v>56.462354102809968</c:v>
                </c:pt>
                <c:pt idx="223">
                  <c:v>58.510855516070251</c:v>
                </c:pt>
                <c:pt idx="224">
                  <c:v>48.398678812720163</c:v>
                </c:pt>
                <c:pt idx="225">
                  <c:v>50.458157685189917</c:v>
                </c:pt>
                <c:pt idx="226">
                  <c:v>50.560972510269949</c:v>
                </c:pt>
                <c:pt idx="227">
                  <c:v>37.174875906440093</c:v>
                </c:pt>
                <c:pt idx="228">
                  <c:v>60.891257985600305</c:v>
                </c:pt>
                <c:pt idx="229">
                  <c:v>59.393928353560113</c:v>
                </c:pt>
                <c:pt idx="230">
                  <c:v>56.988552098959872</c:v>
                </c:pt>
                <c:pt idx="231">
                  <c:v>55.451415565730031</c:v>
                </c:pt>
                <c:pt idx="232">
                  <c:v>50.599971114439995</c:v>
                </c:pt>
                <c:pt idx="233">
                  <c:v>49.066875643750109</c:v>
                </c:pt>
                <c:pt idx="234">
                  <c:v>47.485774452770102</c:v>
                </c:pt>
                <c:pt idx="235">
                  <c:v>46.551294971560083</c:v>
                </c:pt>
                <c:pt idx="236">
                  <c:v>42.549423779000108</c:v>
                </c:pt>
                <c:pt idx="237">
                  <c:v>37.001651351429928</c:v>
                </c:pt>
                <c:pt idx="238">
                  <c:v>36.407781874809871</c:v>
                </c:pt>
                <c:pt idx="239">
                  <c:v>47.937335740110257</c:v>
                </c:pt>
                <c:pt idx="240">
                  <c:v>46.818059196380091</c:v>
                </c:pt>
                <c:pt idx="241">
                  <c:v>56.098461078240007</c:v>
                </c:pt>
                <c:pt idx="242">
                  <c:v>61.12618302964006</c:v>
                </c:pt>
                <c:pt idx="243">
                  <c:v>56.988455667109974</c:v>
                </c:pt>
                <c:pt idx="244">
                  <c:v>56.305500291049839</c:v>
                </c:pt>
                <c:pt idx="245">
                  <c:v>68.125362011760217</c:v>
                </c:pt>
                <c:pt idx="246">
                  <c:v>64.308713896100016</c:v>
                </c:pt>
                <c:pt idx="247">
                  <c:v>66.041310695180073</c:v>
                </c:pt>
                <c:pt idx="248">
                  <c:v>51.35787675664028</c:v>
                </c:pt>
                <c:pt idx="249">
                  <c:v>66.016072903119721</c:v>
                </c:pt>
                <c:pt idx="250">
                  <c:v>63.432884580630116</c:v>
                </c:pt>
                <c:pt idx="251">
                  <c:v>62.368180921999965</c:v>
                </c:pt>
                <c:pt idx="252">
                  <c:v>61.774041352330002</c:v>
                </c:pt>
              </c:numCache>
            </c:numRef>
          </c:val>
          <c:smooth val="0"/>
        </c:ser>
        <c:dLbls>
          <c:showLegendKey val="0"/>
          <c:showVal val="0"/>
          <c:showCatName val="0"/>
          <c:showSerName val="0"/>
          <c:showPercent val="0"/>
          <c:showBubbleSize val="0"/>
        </c:dLbls>
        <c:marker val="1"/>
        <c:smooth val="0"/>
        <c:axId val="222766208"/>
        <c:axId val="222767744"/>
      </c:lineChart>
      <c:dateAx>
        <c:axId val="222766208"/>
        <c:scaling>
          <c:orientation val="minMax"/>
        </c:scaling>
        <c:delete val="0"/>
        <c:axPos val="b"/>
        <c:numFmt formatCode="d/\ m/" sourceLinked="0"/>
        <c:majorTickMark val="out"/>
        <c:minorTickMark val="none"/>
        <c:tickLblPos val="low"/>
        <c:txPr>
          <a:bodyPr rot="-2460000"/>
          <a:lstStyle/>
          <a:p>
            <a:pPr>
              <a:defRPr/>
            </a:pPr>
            <a:endParaRPr lang="cs-CZ"/>
          </a:p>
        </c:txPr>
        <c:crossAx val="222767744"/>
        <c:crosses val="autoZero"/>
        <c:auto val="1"/>
        <c:lblOffset val="100"/>
        <c:baseTimeUnit val="days"/>
      </c:dateAx>
      <c:valAx>
        <c:axId val="222767744"/>
        <c:scaling>
          <c:orientation val="minMax"/>
        </c:scaling>
        <c:delete val="0"/>
        <c:axPos val="l"/>
        <c:majorGridlines>
          <c:spPr>
            <a:ln>
              <a:prstDash val="dash"/>
            </a:ln>
          </c:spPr>
        </c:majorGridlines>
        <c:numFmt formatCode="General" sourceLinked="1"/>
        <c:majorTickMark val="out"/>
        <c:minorTickMark val="none"/>
        <c:tickLblPos val="nextTo"/>
        <c:spPr>
          <a:ln>
            <a:noFill/>
          </a:ln>
        </c:spPr>
        <c:crossAx val="222766208"/>
        <c:crosses val="autoZero"/>
        <c:crossBetween val="between"/>
      </c:valAx>
    </c:plotArea>
    <c:legend>
      <c:legendPos val="t"/>
      <c:layout>
        <c:manualLayout>
          <c:xMode val="edge"/>
          <c:yMode val="edge"/>
          <c:x val="4.4765015943255021E-2"/>
          <c:y val="1.7957329591226839E-2"/>
          <c:w val="0.91732552439209558"/>
          <c:h val="0.14531539253795808"/>
        </c:manualLayout>
      </c:layout>
      <c:overlay val="0"/>
    </c:legend>
    <c:plotVisOnly val="1"/>
    <c:dispBlanksAs val="gap"/>
    <c:showDLblsOverMax val="0"/>
  </c:chart>
  <c:spPr>
    <a:ln>
      <a:noFill/>
    </a:ln>
  </c:spPr>
  <c:txPr>
    <a:bodyPr/>
    <a:lstStyle/>
    <a:p>
      <a:pPr>
        <a:defRPr sz="1200"/>
      </a:pPr>
      <a:endParaRPr lang="cs-CZ"/>
    </a:p>
  </c:txPr>
  <c:externalData r:id="rId2">
    <c:autoUpdate val="0"/>
  </c:externalData>
</c:chartSpace>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95039-402A-46E3-8368-96A158074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26</Pages>
  <Words>6734</Words>
  <Characters>39733</Characters>
  <Application>Microsoft Office Word</Application>
  <DocSecurity>0</DocSecurity>
  <Lines>331</Lines>
  <Paragraphs>92</Paragraphs>
  <ScaleCrop>false</ScaleCrop>
  <HeadingPairs>
    <vt:vector size="2" baseType="variant">
      <vt:variant>
        <vt:lpstr>Název</vt:lpstr>
      </vt:variant>
      <vt:variant>
        <vt:i4>1</vt:i4>
      </vt:variant>
    </vt:vector>
  </HeadingPairs>
  <TitlesOfParts>
    <vt:vector size="1" baseType="lpstr">
      <vt:lpstr>Zpráva o řízení státního dluhu</vt:lpstr>
    </vt:vector>
  </TitlesOfParts>
  <Company>Ministerstvo financí</Company>
  <LinksUpToDate>false</LinksUpToDate>
  <CharactersWithSpaces>46375</CharactersWithSpaces>
  <SharedDoc>false</SharedDoc>
  <HLinks>
    <vt:vector size="186" baseType="variant">
      <vt:variant>
        <vt:i4>1900604</vt:i4>
      </vt:variant>
      <vt:variant>
        <vt:i4>182</vt:i4>
      </vt:variant>
      <vt:variant>
        <vt:i4>0</vt:i4>
      </vt:variant>
      <vt:variant>
        <vt:i4>5</vt:i4>
      </vt:variant>
      <vt:variant>
        <vt:lpwstr/>
      </vt:variant>
      <vt:variant>
        <vt:lpwstr>_Toc476668830</vt:lpwstr>
      </vt:variant>
      <vt:variant>
        <vt:i4>1835068</vt:i4>
      </vt:variant>
      <vt:variant>
        <vt:i4>176</vt:i4>
      </vt:variant>
      <vt:variant>
        <vt:i4>0</vt:i4>
      </vt:variant>
      <vt:variant>
        <vt:i4>5</vt:i4>
      </vt:variant>
      <vt:variant>
        <vt:lpwstr/>
      </vt:variant>
      <vt:variant>
        <vt:lpwstr>_Toc476668829</vt:lpwstr>
      </vt:variant>
      <vt:variant>
        <vt:i4>1835068</vt:i4>
      </vt:variant>
      <vt:variant>
        <vt:i4>170</vt:i4>
      </vt:variant>
      <vt:variant>
        <vt:i4>0</vt:i4>
      </vt:variant>
      <vt:variant>
        <vt:i4>5</vt:i4>
      </vt:variant>
      <vt:variant>
        <vt:lpwstr/>
      </vt:variant>
      <vt:variant>
        <vt:lpwstr>_Toc476668828</vt:lpwstr>
      </vt:variant>
      <vt:variant>
        <vt:i4>1835068</vt:i4>
      </vt:variant>
      <vt:variant>
        <vt:i4>164</vt:i4>
      </vt:variant>
      <vt:variant>
        <vt:i4>0</vt:i4>
      </vt:variant>
      <vt:variant>
        <vt:i4>5</vt:i4>
      </vt:variant>
      <vt:variant>
        <vt:lpwstr/>
      </vt:variant>
      <vt:variant>
        <vt:lpwstr>_Toc476668827</vt:lpwstr>
      </vt:variant>
      <vt:variant>
        <vt:i4>1835068</vt:i4>
      </vt:variant>
      <vt:variant>
        <vt:i4>158</vt:i4>
      </vt:variant>
      <vt:variant>
        <vt:i4>0</vt:i4>
      </vt:variant>
      <vt:variant>
        <vt:i4>5</vt:i4>
      </vt:variant>
      <vt:variant>
        <vt:lpwstr/>
      </vt:variant>
      <vt:variant>
        <vt:lpwstr>_Toc476668823</vt:lpwstr>
      </vt:variant>
      <vt:variant>
        <vt:i4>1835068</vt:i4>
      </vt:variant>
      <vt:variant>
        <vt:i4>152</vt:i4>
      </vt:variant>
      <vt:variant>
        <vt:i4>0</vt:i4>
      </vt:variant>
      <vt:variant>
        <vt:i4>5</vt:i4>
      </vt:variant>
      <vt:variant>
        <vt:lpwstr/>
      </vt:variant>
      <vt:variant>
        <vt:lpwstr>_Toc476668822</vt:lpwstr>
      </vt:variant>
      <vt:variant>
        <vt:i4>1835068</vt:i4>
      </vt:variant>
      <vt:variant>
        <vt:i4>146</vt:i4>
      </vt:variant>
      <vt:variant>
        <vt:i4>0</vt:i4>
      </vt:variant>
      <vt:variant>
        <vt:i4>5</vt:i4>
      </vt:variant>
      <vt:variant>
        <vt:lpwstr/>
      </vt:variant>
      <vt:variant>
        <vt:lpwstr>_Toc476668821</vt:lpwstr>
      </vt:variant>
      <vt:variant>
        <vt:i4>2031676</vt:i4>
      </vt:variant>
      <vt:variant>
        <vt:i4>140</vt:i4>
      </vt:variant>
      <vt:variant>
        <vt:i4>0</vt:i4>
      </vt:variant>
      <vt:variant>
        <vt:i4>5</vt:i4>
      </vt:variant>
      <vt:variant>
        <vt:lpwstr/>
      </vt:variant>
      <vt:variant>
        <vt:lpwstr>_Toc476668818</vt:lpwstr>
      </vt:variant>
      <vt:variant>
        <vt:i4>2031676</vt:i4>
      </vt:variant>
      <vt:variant>
        <vt:i4>134</vt:i4>
      </vt:variant>
      <vt:variant>
        <vt:i4>0</vt:i4>
      </vt:variant>
      <vt:variant>
        <vt:i4>5</vt:i4>
      </vt:variant>
      <vt:variant>
        <vt:lpwstr/>
      </vt:variant>
      <vt:variant>
        <vt:lpwstr>_Toc476668817</vt:lpwstr>
      </vt:variant>
      <vt:variant>
        <vt:i4>2031676</vt:i4>
      </vt:variant>
      <vt:variant>
        <vt:i4>128</vt:i4>
      </vt:variant>
      <vt:variant>
        <vt:i4>0</vt:i4>
      </vt:variant>
      <vt:variant>
        <vt:i4>5</vt:i4>
      </vt:variant>
      <vt:variant>
        <vt:lpwstr/>
      </vt:variant>
      <vt:variant>
        <vt:lpwstr>_Toc476668816</vt:lpwstr>
      </vt:variant>
      <vt:variant>
        <vt:i4>2031676</vt:i4>
      </vt:variant>
      <vt:variant>
        <vt:i4>122</vt:i4>
      </vt:variant>
      <vt:variant>
        <vt:i4>0</vt:i4>
      </vt:variant>
      <vt:variant>
        <vt:i4>5</vt:i4>
      </vt:variant>
      <vt:variant>
        <vt:lpwstr/>
      </vt:variant>
      <vt:variant>
        <vt:lpwstr>_Toc476668815</vt:lpwstr>
      </vt:variant>
      <vt:variant>
        <vt:i4>2031676</vt:i4>
      </vt:variant>
      <vt:variant>
        <vt:i4>116</vt:i4>
      </vt:variant>
      <vt:variant>
        <vt:i4>0</vt:i4>
      </vt:variant>
      <vt:variant>
        <vt:i4>5</vt:i4>
      </vt:variant>
      <vt:variant>
        <vt:lpwstr/>
      </vt:variant>
      <vt:variant>
        <vt:lpwstr>_Toc476668814</vt:lpwstr>
      </vt:variant>
      <vt:variant>
        <vt:i4>2031676</vt:i4>
      </vt:variant>
      <vt:variant>
        <vt:i4>110</vt:i4>
      </vt:variant>
      <vt:variant>
        <vt:i4>0</vt:i4>
      </vt:variant>
      <vt:variant>
        <vt:i4>5</vt:i4>
      </vt:variant>
      <vt:variant>
        <vt:lpwstr/>
      </vt:variant>
      <vt:variant>
        <vt:lpwstr>_Toc476668810</vt:lpwstr>
      </vt:variant>
      <vt:variant>
        <vt:i4>1966140</vt:i4>
      </vt:variant>
      <vt:variant>
        <vt:i4>104</vt:i4>
      </vt:variant>
      <vt:variant>
        <vt:i4>0</vt:i4>
      </vt:variant>
      <vt:variant>
        <vt:i4>5</vt:i4>
      </vt:variant>
      <vt:variant>
        <vt:lpwstr/>
      </vt:variant>
      <vt:variant>
        <vt:lpwstr>_Toc476668809</vt:lpwstr>
      </vt:variant>
      <vt:variant>
        <vt:i4>1966140</vt:i4>
      </vt:variant>
      <vt:variant>
        <vt:i4>98</vt:i4>
      </vt:variant>
      <vt:variant>
        <vt:i4>0</vt:i4>
      </vt:variant>
      <vt:variant>
        <vt:i4>5</vt:i4>
      </vt:variant>
      <vt:variant>
        <vt:lpwstr/>
      </vt:variant>
      <vt:variant>
        <vt:lpwstr>_Toc476668808</vt:lpwstr>
      </vt:variant>
      <vt:variant>
        <vt:i4>1966140</vt:i4>
      </vt:variant>
      <vt:variant>
        <vt:i4>92</vt:i4>
      </vt:variant>
      <vt:variant>
        <vt:i4>0</vt:i4>
      </vt:variant>
      <vt:variant>
        <vt:i4>5</vt:i4>
      </vt:variant>
      <vt:variant>
        <vt:lpwstr/>
      </vt:variant>
      <vt:variant>
        <vt:lpwstr>_Toc476668807</vt:lpwstr>
      </vt:variant>
      <vt:variant>
        <vt:i4>1966140</vt:i4>
      </vt:variant>
      <vt:variant>
        <vt:i4>86</vt:i4>
      </vt:variant>
      <vt:variant>
        <vt:i4>0</vt:i4>
      </vt:variant>
      <vt:variant>
        <vt:i4>5</vt:i4>
      </vt:variant>
      <vt:variant>
        <vt:lpwstr/>
      </vt:variant>
      <vt:variant>
        <vt:lpwstr>_Toc476668806</vt:lpwstr>
      </vt:variant>
      <vt:variant>
        <vt:i4>1966140</vt:i4>
      </vt:variant>
      <vt:variant>
        <vt:i4>80</vt:i4>
      </vt:variant>
      <vt:variant>
        <vt:i4>0</vt:i4>
      </vt:variant>
      <vt:variant>
        <vt:i4>5</vt:i4>
      </vt:variant>
      <vt:variant>
        <vt:lpwstr/>
      </vt:variant>
      <vt:variant>
        <vt:lpwstr>_Toc476668805</vt:lpwstr>
      </vt:variant>
      <vt:variant>
        <vt:i4>1966140</vt:i4>
      </vt:variant>
      <vt:variant>
        <vt:i4>74</vt:i4>
      </vt:variant>
      <vt:variant>
        <vt:i4>0</vt:i4>
      </vt:variant>
      <vt:variant>
        <vt:i4>5</vt:i4>
      </vt:variant>
      <vt:variant>
        <vt:lpwstr/>
      </vt:variant>
      <vt:variant>
        <vt:lpwstr>_Toc476668804</vt:lpwstr>
      </vt:variant>
      <vt:variant>
        <vt:i4>1966140</vt:i4>
      </vt:variant>
      <vt:variant>
        <vt:i4>68</vt:i4>
      </vt:variant>
      <vt:variant>
        <vt:i4>0</vt:i4>
      </vt:variant>
      <vt:variant>
        <vt:i4>5</vt:i4>
      </vt:variant>
      <vt:variant>
        <vt:lpwstr/>
      </vt:variant>
      <vt:variant>
        <vt:lpwstr>_Toc476668803</vt:lpwstr>
      </vt:variant>
      <vt:variant>
        <vt:i4>1966140</vt:i4>
      </vt:variant>
      <vt:variant>
        <vt:i4>62</vt:i4>
      </vt:variant>
      <vt:variant>
        <vt:i4>0</vt:i4>
      </vt:variant>
      <vt:variant>
        <vt:i4>5</vt:i4>
      </vt:variant>
      <vt:variant>
        <vt:lpwstr/>
      </vt:variant>
      <vt:variant>
        <vt:lpwstr>_Toc476668802</vt:lpwstr>
      </vt:variant>
      <vt:variant>
        <vt:i4>1966140</vt:i4>
      </vt:variant>
      <vt:variant>
        <vt:i4>56</vt:i4>
      </vt:variant>
      <vt:variant>
        <vt:i4>0</vt:i4>
      </vt:variant>
      <vt:variant>
        <vt:i4>5</vt:i4>
      </vt:variant>
      <vt:variant>
        <vt:lpwstr/>
      </vt:variant>
      <vt:variant>
        <vt:lpwstr>_Toc476668801</vt:lpwstr>
      </vt:variant>
      <vt:variant>
        <vt:i4>1966140</vt:i4>
      </vt:variant>
      <vt:variant>
        <vt:i4>50</vt:i4>
      </vt:variant>
      <vt:variant>
        <vt:i4>0</vt:i4>
      </vt:variant>
      <vt:variant>
        <vt:i4>5</vt:i4>
      </vt:variant>
      <vt:variant>
        <vt:lpwstr/>
      </vt:variant>
      <vt:variant>
        <vt:lpwstr>_Toc476668800</vt:lpwstr>
      </vt:variant>
      <vt:variant>
        <vt:i4>1507379</vt:i4>
      </vt:variant>
      <vt:variant>
        <vt:i4>44</vt:i4>
      </vt:variant>
      <vt:variant>
        <vt:i4>0</vt:i4>
      </vt:variant>
      <vt:variant>
        <vt:i4>5</vt:i4>
      </vt:variant>
      <vt:variant>
        <vt:lpwstr/>
      </vt:variant>
      <vt:variant>
        <vt:lpwstr>_Toc476668799</vt:lpwstr>
      </vt:variant>
      <vt:variant>
        <vt:i4>1507379</vt:i4>
      </vt:variant>
      <vt:variant>
        <vt:i4>38</vt:i4>
      </vt:variant>
      <vt:variant>
        <vt:i4>0</vt:i4>
      </vt:variant>
      <vt:variant>
        <vt:i4>5</vt:i4>
      </vt:variant>
      <vt:variant>
        <vt:lpwstr/>
      </vt:variant>
      <vt:variant>
        <vt:lpwstr>_Toc476668797</vt:lpwstr>
      </vt:variant>
      <vt:variant>
        <vt:i4>1507379</vt:i4>
      </vt:variant>
      <vt:variant>
        <vt:i4>32</vt:i4>
      </vt:variant>
      <vt:variant>
        <vt:i4>0</vt:i4>
      </vt:variant>
      <vt:variant>
        <vt:i4>5</vt:i4>
      </vt:variant>
      <vt:variant>
        <vt:lpwstr/>
      </vt:variant>
      <vt:variant>
        <vt:lpwstr>_Toc476668796</vt:lpwstr>
      </vt:variant>
      <vt:variant>
        <vt:i4>1507379</vt:i4>
      </vt:variant>
      <vt:variant>
        <vt:i4>26</vt:i4>
      </vt:variant>
      <vt:variant>
        <vt:i4>0</vt:i4>
      </vt:variant>
      <vt:variant>
        <vt:i4>5</vt:i4>
      </vt:variant>
      <vt:variant>
        <vt:lpwstr/>
      </vt:variant>
      <vt:variant>
        <vt:lpwstr>_Toc476668795</vt:lpwstr>
      </vt:variant>
      <vt:variant>
        <vt:i4>1507379</vt:i4>
      </vt:variant>
      <vt:variant>
        <vt:i4>20</vt:i4>
      </vt:variant>
      <vt:variant>
        <vt:i4>0</vt:i4>
      </vt:variant>
      <vt:variant>
        <vt:i4>5</vt:i4>
      </vt:variant>
      <vt:variant>
        <vt:lpwstr/>
      </vt:variant>
      <vt:variant>
        <vt:lpwstr>_Toc476668790</vt:lpwstr>
      </vt:variant>
      <vt:variant>
        <vt:i4>1441843</vt:i4>
      </vt:variant>
      <vt:variant>
        <vt:i4>14</vt:i4>
      </vt:variant>
      <vt:variant>
        <vt:i4>0</vt:i4>
      </vt:variant>
      <vt:variant>
        <vt:i4>5</vt:i4>
      </vt:variant>
      <vt:variant>
        <vt:lpwstr/>
      </vt:variant>
      <vt:variant>
        <vt:lpwstr>_Toc476668789</vt:lpwstr>
      </vt:variant>
      <vt:variant>
        <vt:i4>1441843</vt:i4>
      </vt:variant>
      <vt:variant>
        <vt:i4>8</vt:i4>
      </vt:variant>
      <vt:variant>
        <vt:i4>0</vt:i4>
      </vt:variant>
      <vt:variant>
        <vt:i4>5</vt:i4>
      </vt:variant>
      <vt:variant>
        <vt:lpwstr/>
      </vt:variant>
      <vt:variant>
        <vt:lpwstr>_Toc476668788</vt:lpwstr>
      </vt:variant>
      <vt:variant>
        <vt:i4>1441843</vt:i4>
      </vt:variant>
      <vt:variant>
        <vt:i4>2</vt:i4>
      </vt:variant>
      <vt:variant>
        <vt:i4>0</vt:i4>
      </vt:variant>
      <vt:variant>
        <vt:i4>5</vt:i4>
      </vt:variant>
      <vt:variant>
        <vt:lpwstr/>
      </vt:variant>
      <vt:variant>
        <vt:lpwstr>_Toc476668787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Zpráva o řízení státního dluhu</dc:title>
  <dc:creator>Ing. Jan Pavlíček</dc:creator>
  <cp:lastModifiedBy>Pavlíček Jan Ing.</cp:lastModifiedBy>
  <cp:revision>3</cp:revision>
  <cp:lastPrinted>2018-03-08T15:34:00Z</cp:lastPrinted>
  <dcterms:created xsi:type="dcterms:W3CDTF">2018-03-22T11:20:00Z</dcterms:created>
  <dcterms:modified xsi:type="dcterms:W3CDTF">2018-03-22T11:25:00Z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oznámka">
    <vt:lpwstr/>
  </property>
  <property fmtid="{D5CDD505-2E9C-101B-9397-08002B2CF9AE}" pid="3" name="_DCDateCreated">
    <vt:lpwstr>2011-05-03T08:25:00Z</vt:lpwstr>
  </property>
</Properties>
</file>