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0F5" w:rsidRPr="00441DEA" w:rsidRDefault="003C07B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1DEA">
        <w:rPr>
          <w:rFonts w:ascii="Times New Roman" w:hAnsi="Times New Roman" w:cs="Times New Roman"/>
          <w:b/>
          <w:sz w:val="24"/>
          <w:szCs w:val="24"/>
          <w:u w:val="single"/>
        </w:rPr>
        <w:t>Návrh na usnesení Poslanecké sněmovny k sněmovnímu tisku</w:t>
      </w:r>
    </w:p>
    <w:p w:rsidR="003C07BA" w:rsidRPr="003C07BA" w:rsidRDefault="003C07BA">
      <w:pPr>
        <w:rPr>
          <w:rFonts w:ascii="Times New Roman" w:hAnsi="Times New Roman" w:cs="Times New Roman"/>
          <w:sz w:val="24"/>
          <w:szCs w:val="24"/>
        </w:rPr>
      </w:pPr>
    </w:p>
    <w:p w:rsidR="003C07BA" w:rsidRPr="003C07BA" w:rsidRDefault="003C07BA">
      <w:pPr>
        <w:rPr>
          <w:rFonts w:ascii="Times New Roman" w:hAnsi="Times New Roman" w:cs="Times New Roman"/>
          <w:sz w:val="24"/>
          <w:szCs w:val="24"/>
        </w:rPr>
      </w:pPr>
      <w:r w:rsidRPr="003C07BA">
        <w:rPr>
          <w:rFonts w:ascii="Times New Roman" w:hAnsi="Times New Roman" w:cs="Times New Roman"/>
          <w:sz w:val="24"/>
          <w:szCs w:val="24"/>
        </w:rPr>
        <w:t>Poslanecká sněmovna</w:t>
      </w:r>
    </w:p>
    <w:p w:rsidR="003C07BA" w:rsidRDefault="003C07BA"/>
    <w:p w:rsidR="00441DEA" w:rsidRDefault="00441DEA" w:rsidP="00441DEA">
      <w:pPr>
        <w:numPr>
          <w:ilvl w:val="0"/>
          <w:numId w:val="1"/>
        </w:numPr>
        <w:spacing w:after="0"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bere na vědomí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ávrh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doporučení Rady o klíčových kompetencích pro celoživotní učení, </w:t>
      </w:r>
      <w:proofErr w:type="gramStart"/>
      <w:r>
        <w:rPr>
          <w:rFonts w:ascii="Times New Roman" w:eastAsia="Times New Roman" w:hAnsi="Times New Roman"/>
          <w:sz w:val="24"/>
          <w:szCs w:val="20"/>
          <w:lang w:eastAsia="zh-CN" w:bidi="hi-IN"/>
        </w:rPr>
        <w:t>KOM(2018</w:t>
      </w:r>
      <w:proofErr w:type="gramEnd"/>
      <w:r>
        <w:rPr>
          <w:rFonts w:ascii="Times New Roman" w:eastAsia="Times New Roman" w:hAnsi="Times New Roman"/>
          <w:sz w:val="24"/>
          <w:szCs w:val="20"/>
          <w:lang w:eastAsia="zh-CN" w:bidi="hi-IN"/>
        </w:rPr>
        <w:t>) 24 v konečném znění, kód Rady 5464/18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41DEA" w:rsidRDefault="00441DEA" w:rsidP="00441DEA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after="0"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Style w:val="rozen"/>
          <w:rFonts w:ascii="Times New Roman" w:hAnsi="Times New Roman"/>
          <w:sz w:val="24"/>
          <w:szCs w:val="24"/>
        </w:rPr>
        <w:t>vítá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důraz, který Evropská unie v rámci občanské kompetence klade na pojem zodpovědné občanství, které považuje za pojem nadřazený pojmu aktivní občanství. Jako hlavní cíl občanské kompetence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VEZ </w:t>
      </w:r>
      <w:r>
        <w:rPr>
          <w:rStyle w:val="rozen"/>
          <w:rFonts w:ascii="Times New Roman" w:hAnsi="Times New Roman"/>
          <w:sz w:val="24"/>
          <w:szCs w:val="24"/>
        </w:rPr>
        <w:t>doporučuje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používat pojem zodpovědného, nikoli aktivního občanství. Zároveň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cs-CZ"/>
        </w:rPr>
        <w:t>VEZ</w:t>
      </w:r>
      <w:r>
        <w:rPr>
          <w:rStyle w:val="rozen"/>
        </w:rPr>
        <w:t xml:space="preserve"> </w:t>
      </w:r>
      <w:r>
        <w:rPr>
          <w:rStyle w:val="rozen"/>
          <w:rFonts w:ascii="Times New Roman" w:hAnsi="Times New Roman"/>
          <w:sz w:val="24"/>
          <w:szCs w:val="24"/>
        </w:rPr>
        <w:t>shledává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že v základním výčtu oblastí, jimž je třeba porozumět pro zajištění plné účasti na občanském a společenském životě, v prvním odstavci textu o občanské kompetenci chybí oblast práva, kterou považujeme pro občanskou kompetenci za stejně klíčovou, jako porozumění sociálním, ekonomickým a politických pojmům a strukturám. Zároveň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cs-CZ"/>
        </w:rPr>
        <w:t>VEZ</w:t>
      </w:r>
      <w:r>
        <w:rPr>
          <w:rStyle w:val="rozen"/>
        </w:rPr>
        <w:t xml:space="preserve"> </w:t>
      </w:r>
      <w:r>
        <w:rPr>
          <w:rStyle w:val="rozen"/>
          <w:rFonts w:ascii="Times New Roman" w:hAnsi="Times New Roman"/>
          <w:sz w:val="24"/>
          <w:szCs w:val="24"/>
        </w:rPr>
        <w:t>doporučuje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změnit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cs-CZ"/>
        </w:rPr>
        <w:t>prioritizaci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oblastí následujícím způsobem: [porozumění] politickým, právním, sociálním a ekonomickým pojmům a strukturám. 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cs-CZ"/>
        </w:rPr>
        <w:t>VEZ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také </w:t>
      </w:r>
      <w:proofErr w:type="gramStart"/>
      <w:r>
        <w:rPr>
          <w:rStyle w:val="rozen"/>
          <w:rFonts w:ascii="Times New Roman" w:hAnsi="Times New Roman"/>
          <w:sz w:val="24"/>
          <w:szCs w:val="24"/>
        </w:rPr>
        <w:t>požaduje</w:t>
      </w:r>
      <w:proofErr w:type="gramEnd"/>
      <w:r>
        <w:rPr>
          <w:rFonts w:ascii="Times New Roman" w:hAnsi="Times New Roman"/>
          <w:sz w:val="24"/>
          <w:szCs w:val="24"/>
        </w:rPr>
        <w:t xml:space="preserve">, aby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jako základ pro občanskou kompetenci </w:t>
      </w:r>
      <w:r>
        <w:rPr>
          <w:rFonts w:ascii="Times New Roman" w:hAnsi="Times New Roman"/>
          <w:sz w:val="24"/>
          <w:szCs w:val="24"/>
        </w:rPr>
        <w:t>byla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explicitně uvedena znalost kulturních kořenů Evropy, kterými jsou mimo jiné židovsko-křesťanská kultura, řecko-římská tradice demokracie a právního státu, jakož i humanismus a osvícenství;</w:t>
      </w:r>
    </w:p>
    <w:p w:rsidR="00441DEA" w:rsidRDefault="00441DEA" w:rsidP="00441DEA">
      <w:pPr>
        <w:spacing w:after="0"/>
        <w:ind w:left="281" w:hanging="357"/>
        <w:rPr>
          <w:rFonts w:ascii="Times New Roman" w:hAnsi="Times New Roman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u kompetence občanské jakož i kompetence v oblasti kulturního povědomí a vyjadřování </w:t>
      </w:r>
      <w:r>
        <w:rPr>
          <w:rStyle w:val="rozen"/>
          <w:rFonts w:ascii="Times New Roman" w:hAnsi="Times New Roman"/>
          <w:sz w:val="24"/>
          <w:szCs w:val="24"/>
        </w:rPr>
        <w:t>požaduje konkretizovat</w:t>
      </w:r>
      <w:r>
        <w:rPr>
          <w:rFonts w:ascii="Times New Roman" w:hAnsi="Times New Roman"/>
          <w:sz w:val="24"/>
          <w:szCs w:val="24"/>
        </w:rPr>
        <w:t xml:space="preserve">, že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"podporou kulturní rozmanitosti" se rozumí podpora rozmanitosti pouze takových kultur, které jednoznačně a plně uznávají základní lidská práva a svobody a nejsou v rozporu s právními řády evropských zemí;</w:t>
      </w:r>
    </w:p>
    <w:p w:rsidR="00441DEA" w:rsidRDefault="00441DEA" w:rsidP="00441DEA">
      <w:pPr>
        <w:numPr>
          <w:ilvl w:val="0"/>
          <w:numId w:val="1"/>
        </w:numPr>
        <w:spacing w:after="0" w:line="252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rozen"/>
          <w:rFonts w:ascii="Times New Roman" w:hAnsi="Times New Roman"/>
          <w:sz w:val="24"/>
          <w:szCs w:val="24"/>
        </w:rPr>
        <w:t>připomíná</w:t>
      </w:r>
      <w:r>
        <w:rPr>
          <w:rFonts w:ascii="Times New Roman" w:hAnsi="Times New Roman"/>
          <w:sz w:val="24"/>
          <w:szCs w:val="24"/>
        </w:rPr>
        <w:t>,   že</w:t>
      </w:r>
      <w:proofErr w:type="gramEnd"/>
      <w:r>
        <w:rPr>
          <w:rFonts w:ascii="Times New Roman" w:hAnsi="Times New Roman"/>
          <w:sz w:val="24"/>
          <w:szCs w:val="24"/>
        </w:rPr>
        <w:t xml:space="preserve"> prvotní motivy evropské integrace po 2. světové válce, tj. zajistit mír, stabilitu a zamezit dalším ničivým konfliktům v Evropě, položily základ pro ekonomický a sociální rozvoj Evropy, a měly by být proto zdůrazňovány i v současnosti;</w:t>
      </w:r>
    </w:p>
    <w:p w:rsidR="00441DEA" w:rsidRDefault="00441DEA" w:rsidP="00441DEA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after="0"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Style w:val="rozen"/>
          <w:rFonts w:ascii="Times New Roman" w:hAnsi="Times New Roman"/>
          <w:sz w:val="24"/>
          <w:szCs w:val="24"/>
        </w:rPr>
        <w:t xml:space="preserve">podporuje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rozvoj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jazykové kompetence s důrazem jak na mateřský jazyk, tak i cizí jazyky. Znalost cizích jazyků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cs-CZ"/>
        </w:rPr>
        <w:t>považuje VEZ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za klíčovou kompetenci člověka v době globalizované ekonomiky 21. století.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cs-CZ"/>
        </w:rPr>
        <w:t>VEZ vyzývá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MŠMT, aby věnovalo zvýšenou pozornost jazykovému vzdělávání i s ohledem na skutečnost, že ČR v této kompetenci dlouhodobě zaostává;</w:t>
      </w:r>
    </w:p>
    <w:p w:rsidR="00441DEA" w:rsidRDefault="00441DEA" w:rsidP="00441DEA">
      <w:pPr>
        <w:spacing w:after="0"/>
        <w:ind w:left="281" w:hanging="357"/>
        <w:rPr>
          <w:rFonts w:ascii="Times New Roman" w:hAnsi="Times New Roman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after="0"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 xml:space="preserve">bere na </w:t>
      </w:r>
      <w:proofErr w:type="gramStart"/>
      <w:r>
        <w:rPr>
          <w:rFonts w:ascii="Times New Roman" w:hAnsi="Times New Roman"/>
          <w:b/>
          <w:spacing w:val="40"/>
          <w:sz w:val="24"/>
          <w:szCs w:val="24"/>
        </w:rPr>
        <w:t xml:space="preserve">vědomí  </w:t>
      </w:r>
      <w:r>
        <w:rPr>
          <w:rFonts w:ascii="Times New Roman" w:hAnsi="Times New Roman"/>
          <w:sz w:val="24"/>
          <w:szCs w:val="24"/>
        </w:rPr>
        <w:t>rámcovou</w:t>
      </w:r>
      <w:proofErr w:type="gramEnd"/>
      <w:r>
        <w:rPr>
          <w:rFonts w:ascii="Times New Roman" w:hAnsi="Times New Roman"/>
          <w:sz w:val="24"/>
          <w:szCs w:val="24"/>
        </w:rPr>
        <w:t xml:space="preserve"> pozici vlády k tomuto dokumentu; </w:t>
      </w:r>
    </w:p>
    <w:p w:rsidR="00441DEA" w:rsidRDefault="00441DEA" w:rsidP="00441DEA">
      <w:pPr>
        <w:ind w:left="354"/>
        <w:contextualSpacing/>
        <w:jc w:val="both"/>
        <w:rPr>
          <w:rFonts w:ascii="Times New Roman" w:hAnsi="Times New Roman"/>
          <w:sz w:val="24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after="0"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upozorňuje</w:t>
      </w:r>
      <w:r>
        <w:rPr>
          <w:rFonts w:ascii="Times New Roman" w:hAnsi="Times New Roman"/>
          <w:sz w:val="24"/>
          <w:szCs w:val="24"/>
        </w:rPr>
        <w:t>, že podle Zprávy o České republice 2018 předložené v rámci aktuálního cyklu evropského semestru je jedním z hlavních strukturálních problémů ČR přetrvávající nízká atraktivita učitelského povolání;</w:t>
      </w:r>
    </w:p>
    <w:p w:rsidR="00441DEA" w:rsidRDefault="00441DEA" w:rsidP="00441DEA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after="0" w:line="254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této souvislosti</w:t>
      </w:r>
      <w:r>
        <w:rPr>
          <w:rStyle w:val="rozen"/>
          <w:rFonts w:ascii="Times New Roman" w:hAnsi="Times New Roman"/>
          <w:sz w:val="24"/>
          <w:szCs w:val="24"/>
        </w:rPr>
        <w:t xml:space="preserve"> připomíná</w:t>
      </w:r>
      <w:r>
        <w:rPr>
          <w:rFonts w:ascii="Times New Roman" w:hAnsi="Times New Roman"/>
          <w:sz w:val="24"/>
          <w:szCs w:val="24"/>
        </w:rPr>
        <w:t xml:space="preserve"> nezbytnost systematické dlouhodobé podpory pedagogických pracovníků na všech úrovních vzdělávacího systému prostřednictvím zajištění odpovídajícího počátečního a pokračujícího vzdělávání, vhodných pracovních podmínek a odpovídajícího platového ohodnocení;</w:t>
      </w:r>
    </w:p>
    <w:p w:rsidR="00441DEA" w:rsidRDefault="00441DEA" w:rsidP="00441DEA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441DEA" w:rsidRDefault="00441DEA" w:rsidP="00441DEA">
      <w:pPr>
        <w:spacing w:after="0"/>
        <w:rPr>
          <w:rFonts w:ascii="Times New Roman" w:hAnsi="Times New Roman"/>
          <w:b/>
          <w:spacing w:val="40"/>
          <w:szCs w:val="24"/>
        </w:rPr>
      </w:pPr>
    </w:p>
    <w:p w:rsidR="00441DEA" w:rsidRDefault="00441DEA" w:rsidP="00441DEA">
      <w:pPr>
        <w:numPr>
          <w:ilvl w:val="0"/>
          <w:numId w:val="1"/>
        </w:numPr>
        <w:spacing w:before="120" w:line="252" w:lineRule="auto"/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Style w:val="rozen"/>
          <w:rFonts w:ascii="Times New Roman" w:hAnsi="Times New Roman"/>
          <w:sz w:val="24"/>
          <w:szCs w:val="24"/>
        </w:rPr>
        <w:t xml:space="preserve">pověřuje </w:t>
      </w:r>
      <w:r>
        <w:rPr>
          <w:rFonts w:ascii="Times New Roman" w:hAnsi="Times New Roman"/>
          <w:sz w:val="24"/>
          <w:szCs w:val="24"/>
        </w:rPr>
        <w:t xml:space="preserve"> předsedu</w:t>
      </w:r>
      <w:proofErr w:type="gramEnd"/>
      <w:r>
        <w:rPr>
          <w:rFonts w:ascii="Times New Roman" w:hAnsi="Times New Roman"/>
          <w:sz w:val="24"/>
          <w:szCs w:val="24"/>
        </w:rPr>
        <w:t xml:space="preserve"> Poslanecké sněmovny Parlamentu ČR, aby v rámci politického dialogu postoupil toto usnesení předsedovi Evropské komise.</w:t>
      </w:r>
    </w:p>
    <w:p w:rsidR="003C07BA" w:rsidRDefault="003C07BA"/>
    <w:p w:rsidR="009C05AF" w:rsidRDefault="009C05AF"/>
    <w:p w:rsidR="009C05AF" w:rsidRDefault="009C05AF"/>
    <w:p w:rsidR="009C05AF" w:rsidRDefault="009C05AF"/>
    <w:p w:rsidR="009C05AF" w:rsidRDefault="009C05AF"/>
    <w:p w:rsidR="009C05AF" w:rsidRDefault="009C05AF"/>
    <w:p w:rsidR="009C05AF" w:rsidRDefault="009C05AF"/>
    <w:p w:rsidR="009C05AF" w:rsidRPr="009C05AF" w:rsidRDefault="009C05AF" w:rsidP="009C0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C05AF">
        <w:rPr>
          <w:rFonts w:ascii="Times New Roman" w:hAnsi="Times New Roman" w:cs="Times New Roman"/>
          <w:sz w:val="24"/>
          <w:szCs w:val="24"/>
        </w:rPr>
        <w:t xml:space="preserve">Ondřej </w:t>
      </w:r>
      <w:proofErr w:type="spellStart"/>
      <w:r w:rsidRPr="009C05AF">
        <w:rPr>
          <w:rFonts w:ascii="Times New Roman" w:hAnsi="Times New Roman" w:cs="Times New Roman"/>
          <w:sz w:val="24"/>
          <w:szCs w:val="24"/>
        </w:rPr>
        <w:t>Benešík</w:t>
      </w:r>
      <w:proofErr w:type="spellEnd"/>
      <w:r w:rsidRPr="009C05AF"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9C05AF" w:rsidRPr="009C05AF" w:rsidRDefault="009C05AF" w:rsidP="009C0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9C05AF">
        <w:rPr>
          <w:rFonts w:ascii="Times New Roman" w:hAnsi="Times New Roman" w:cs="Times New Roman"/>
          <w:sz w:val="24"/>
          <w:szCs w:val="24"/>
        </w:rPr>
        <w:t>zpravodaj</w:t>
      </w:r>
    </w:p>
    <w:sectPr w:rsidR="009C05AF" w:rsidRPr="009C0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2C39D0"/>
    <w:multiLevelType w:val="hybridMultilevel"/>
    <w:tmpl w:val="627ED5AE"/>
    <w:lvl w:ilvl="0" w:tplc="10AC02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B"/>
    <w:rsid w:val="000920F5"/>
    <w:rsid w:val="003C07BA"/>
    <w:rsid w:val="00441DEA"/>
    <w:rsid w:val="009C05AF"/>
    <w:rsid w:val="00D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A81F9-52DA-43A3-A001-E98849BC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rozen">
    <w:name w:val="rozšířené"/>
    <w:uiPriority w:val="1"/>
    <w:qFormat/>
    <w:rsid w:val="00441DEA"/>
    <w:rPr>
      <w:b/>
      <w:bCs w:val="0"/>
      <w:spacing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48A78-CAF1-4A61-949D-9D7E0B77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4</cp:revision>
  <dcterms:created xsi:type="dcterms:W3CDTF">2018-04-03T08:52:00Z</dcterms:created>
  <dcterms:modified xsi:type="dcterms:W3CDTF">2018-04-03T13:32:00Z</dcterms:modified>
</cp:coreProperties>
</file>