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F0C30" w:rsidP="000E730C">
      <w:pPr>
        <w:pStyle w:val="PS-hlavika2"/>
      </w:pPr>
      <w:r>
        <w:t>2018</w:t>
      </w:r>
    </w:p>
    <w:p w:rsidR="00DC29E4" w:rsidRDefault="00EF0C30" w:rsidP="00377253">
      <w:pPr>
        <w:pStyle w:val="PS-hlavika1"/>
      </w:pPr>
      <w:r>
        <w:t>8</w:t>
      </w:r>
      <w:r w:rsidR="00DC29E4">
        <w:t>. volební období</w:t>
      </w:r>
    </w:p>
    <w:p w:rsidR="00DC29E4" w:rsidRDefault="006C585F" w:rsidP="000E730C">
      <w:pPr>
        <w:pStyle w:val="PS-slousnesen"/>
      </w:pPr>
      <w:r>
        <w:t>66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 xml:space="preserve">z </w:t>
      </w:r>
      <w:r w:rsidR="00CE7503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E7503">
        <w:t>28</w:t>
      </w:r>
      <w:r>
        <w:t xml:space="preserve">. </w:t>
      </w:r>
      <w:r w:rsidR="00CE7503">
        <w:t>března</w:t>
      </w:r>
      <w:r w:rsidR="00EF0C30">
        <w:t xml:space="preserve"> 2018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Pr="00136646" w:rsidRDefault="00136646" w:rsidP="00136646">
      <w:pPr>
        <w:pStyle w:val="Bezmezer"/>
      </w:pPr>
    </w:p>
    <w:p w:rsidR="00BA00F3" w:rsidRDefault="00BA00F3" w:rsidP="00A46CDA">
      <w:pPr>
        <w:pStyle w:val="PS-uvodnodstavec"/>
      </w:pPr>
    </w:p>
    <w:p w:rsidR="003D60D1" w:rsidRPr="003D60D1" w:rsidRDefault="00CE7503" w:rsidP="003D60D1">
      <w:pPr>
        <w:pStyle w:val="PS-uvodnodstavec"/>
        <w:pBdr>
          <w:bottom w:val="single" w:sz="4" w:space="1" w:color="auto"/>
        </w:pBdr>
        <w:ind w:firstLine="0"/>
        <w:jc w:val="center"/>
      </w:pPr>
      <w:r>
        <w:t>k </w:t>
      </w:r>
      <w:r w:rsidR="003D60D1">
        <w:t>n</w:t>
      </w:r>
      <w:r w:rsidR="003D60D1" w:rsidRPr="003D60D1">
        <w:t>ávrh</w:t>
      </w:r>
      <w:r w:rsidR="003D60D1">
        <w:t>u</w:t>
      </w:r>
      <w:r w:rsidR="003D60D1" w:rsidRPr="003D60D1">
        <w:t xml:space="preserve"> doporučení Rady o klíčových kompete</w:t>
      </w:r>
      <w:r w:rsidR="000E3CC6">
        <w:t>ncích pro celoživotní učení</w:t>
      </w:r>
      <w:r w:rsidR="003D60D1" w:rsidRPr="003D60D1">
        <w:t xml:space="preserve"> /kód dokumentu 5464/18, KOM(2018) 24 v konečném znění/</w:t>
      </w:r>
    </w:p>
    <w:p w:rsidR="00AD10FC" w:rsidRDefault="00AD10FC" w:rsidP="00AD10FC">
      <w:pPr>
        <w:pStyle w:val="PS-uvodnodstavec"/>
        <w:spacing w:after="0"/>
      </w:pPr>
    </w:p>
    <w:p w:rsidR="00DC29E4" w:rsidRDefault="00136646" w:rsidP="00AD10FC">
      <w:pPr>
        <w:pStyle w:val="PS-uvodnodstavec"/>
        <w:spacing w:before="240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 vyslechnutí</w:t>
      </w:r>
      <w:r w:rsidR="00A93982">
        <w:t xml:space="preserve"> informace</w:t>
      </w:r>
      <w:r w:rsidR="00914E2F">
        <w:t xml:space="preserve"> </w:t>
      </w:r>
      <w:r w:rsidR="00914E2F" w:rsidRPr="00914E2F">
        <w:t>náměstkyně ministra školství, mládeže a tělovýchovy Mgr. et Mgr. Dany Prudíkové, Ph.D.,</w:t>
      </w:r>
      <w:r>
        <w:t xml:space="preserve"> po vyslechnutí zpravodajské zprávy</w:t>
      </w:r>
      <w:r w:rsidR="00A93982">
        <w:t xml:space="preserve"> posl.</w:t>
      </w:r>
      <w:r w:rsidR="00AD10FC">
        <w:t xml:space="preserve"> Ondřeje Benešíka</w:t>
      </w:r>
      <w:r w:rsidR="00F21CAB">
        <w:t xml:space="preserve"> </w:t>
      </w:r>
      <w:r w:rsidR="00DC29E4">
        <w:t>a po rozpravě</w:t>
      </w:r>
    </w:p>
    <w:p w:rsidR="002B60B3" w:rsidRDefault="00A93982" w:rsidP="00A93982">
      <w:pPr>
        <w:pStyle w:val="PS-slovanseznam"/>
        <w:numPr>
          <w:ilvl w:val="0"/>
          <w:numId w:val="0"/>
        </w:numPr>
      </w:pPr>
      <w:r>
        <w:rPr>
          <w:rStyle w:val="proloenChar"/>
        </w:rPr>
        <w:tab/>
      </w:r>
      <w:r w:rsidRPr="00A93982">
        <w:rPr>
          <w:rStyle w:val="proloenChar"/>
          <w:b/>
        </w:rPr>
        <w:t>schvaluje</w:t>
      </w:r>
      <w:r w:rsidR="002B60B3">
        <w:t xml:space="preserve"> </w:t>
      </w:r>
      <w:r>
        <w:t>stanovisko, které je přílohou tohoto usnesení.</w:t>
      </w:r>
    </w:p>
    <w:p w:rsidR="00A93982" w:rsidRDefault="00A9398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D46ACA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0F05B1">
        <w:rPr>
          <w:rFonts w:ascii="Times New Roman" w:hAnsi="Times New Roman"/>
          <w:sz w:val="24"/>
        </w:rPr>
        <w:t>Jiří Kobza</w:t>
      </w:r>
      <w:r w:rsidR="007A2560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  <w:t xml:space="preserve"> </w:t>
      </w:r>
      <w:r w:rsidR="00F21CAB">
        <w:rPr>
          <w:rFonts w:ascii="Times New Roman" w:hAnsi="Times New Roman"/>
          <w:sz w:val="24"/>
        </w:rPr>
        <w:tab/>
      </w:r>
      <w:r w:rsidR="005E57B2">
        <w:rPr>
          <w:rFonts w:ascii="Times New Roman" w:hAnsi="Times New Roman"/>
          <w:sz w:val="24"/>
        </w:rPr>
        <w:t>Ondřej Benešík</w:t>
      </w:r>
      <w:r w:rsidR="007A2560">
        <w:rPr>
          <w:rFonts w:ascii="Times New Roman" w:hAnsi="Times New Roman"/>
          <w:sz w:val="24"/>
        </w:rPr>
        <w:t xml:space="preserve"> v. r.</w:t>
      </w:r>
      <w:r w:rsidR="00FF6B3B">
        <w:rPr>
          <w:rFonts w:ascii="Times New Roman" w:hAnsi="Times New Roman"/>
          <w:sz w:val="24"/>
        </w:rPr>
        <w:t xml:space="preserve"> </w:t>
      </w:r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  <w:r w:rsidR="005E57B2">
        <w:rPr>
          <w:rFonts w:ascii="Times New Roman" w:hAnsi="Times New Roman"/>
          <w:sz w:val="24"/>
        </w:rPr>
        <w:t xml:space="preserve"> a p</w:t>
      </w:r>
      <w:r w:rsidR="005E57B2" w:rsidRPr="00106842">
        <w:rPr>
          <w:rFonts w:ascii="Times New Roman" w:hAnsi="Times New Roman"/>
          <w:sz w:val="24"/>
        </w:rPr>
        <w:t>ředseda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 xml:space="preserve"> </w:t>
      </w:r>
    </w:p>
    <w:p w:rsidR="00D066DF" w:rsidRDefault="00106842" w:rsidP="005C0CE7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  <w:sectPr w:rsidR="00D066DF" w:rsidSect="000C5278">
          <w:footerReference w:type="default" r:id="rId7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3A1DF9" w:rsidRDefault="003A1DF9" w:rsidP="00D066D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 w:rsidR="00D066DF">
        <w:rPr>
          <w:rFonts w:ascii="Times New Roman" w:hAnsi="Times New Roman"/>
          <w:sz w:val="24"/>
        </w:rPr>
        <w:t xml:space="preserve">Příloha k usnesení č. </w:t>
      </w:r>
      <w:r w:rsidR="006C585F">
        <w:rPr>
          <w:rFonts w:ascii="Times New Roman" w:hAnsi="Times New Roman"/>
          <w:sz w:val="24"/>
        </w:rPr>
        <w:t>66</w:t>
      </w:r>
    </w:p>
    <w:p w:rsidR="00B4108A" w:rsidRDefault="00B4108A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3D2883" w:rsidRDefault="003D2883" w:rsidP="003D2883">
      <w:pPr>
        <w:pStyle w:val="PODNZEVPRCE"/>
        <w:jc w:val="center"/>
        <w:rPr>
          <w:rFonts w:ascii="Times New Roman" w:hAnsi="Times New Roman"/>
        </w:rPr>
      </w:pPr>
    </w:p>
    <w:p w:rsidR="003D60D1" w:rsidRPr="003D60D1" w:rsidRDefault="003D60D1" w:rsidP="003D60D1">
      <w:pPr>
        <w:pStyle w:val="PODNZEVPRCE"/>
        <w:jc w:val="center"/>
        <w:rPr>
          <w:rFonts w:ascii="Times New Roman" w:hAnsi="Times New Roman"/>
          <w:b/>
          <w:color w:val="auto"/>
        </w:rPr>
      </w:pPr>
      <w:r w:rsidRPr="003D60D1">
        <w:rPr>
          <w:rFonts w:ascii="Times New Roman" w:hAnsi="Times New Roman"/>
          <w:b/>
          <w:color w:val="auto"/>
        </w:rPr>
        <w:t>Návrh doporučení Rady o klíčových kompetencích pro celoživotní učení</w:t>
      </w:r>
    </w:p>
    <w:p w:rsidR="003D60D1" w:rsidRDefault="003D60D1" w:rsidP="003D60D1">
      <w:pPr>
        <w:pStyle w:val="PODNZEVPRCE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3D60D1" w:rsidRPr="003D60D1" w:rsidRDefault="003D60D1" w:rsidP="003D60D1">
      <w:pPr>
        <w:pStyle w:val="PODNZEVPRCE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D60D1">
        <w:rPr>
          <w:rFonts w:ascii="Times New Roman" w:hAnsi="Times New Roman"/>
          <w:b/>
          <w:color w:val="auto"/>
          <w:sz w:val="24"/>
          <w:szCs w:val="24"/>
        </w:rPr>
        <w:t>KOM(2018) 24 v konečném znění, kód Rady 5464/18</w:t>
      </w:r>
    </w:p>
    <w:p w:rsidR="003D60D1" w:rsidRPr="003D60D1" w:rsidRDefault="003D60D1" w:rsidP="003D60D1">
      <w:pPr>
        <w:pStyle w:val="PODNZEVPRCE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D60D1">
        <w:rPr>
          <w:rFonts w:ascii="Times New Roman" w:hAnsi="Times New Roman"/>
          <w:b/>
          <w:color w:val="auto"/>
          <w:sz w:val="24"/>
          <w:szCs w:val="24"/>
        </w:rPr>
        <w:t>Interinstitucionální spis 2018/0008/NLE</w:t>
      </w:r>
    </w:p>
    <w:p w:rsidR="003D60D1" w:rsidRPr="003D60D1" w:rsidRDefault="003D60D1" w:rsidP="003D60D1">
      <w:pPr>
        <w:jc w:val="both"/>
        <w:rPr>
          <w:rStyle w:val="Siln"/>
          <w:rFonts w:ascii="Times New Roman" w:hAnsi="Times New Roman"/>
          <w:b w:val="0"/>
          <w:bCs w:val="0"/>
          <w:caps/>
          <w:sz w:val="24"/>
          <w:szCs w:val="24"/>
        </w:rPr>
      </w:pPr>
    </w:p>
    <w:p w:rsidR="003D60D1" w:rsidRPr="003D60D1" w:rsidRDefault="003D60D1" w:rsidP="003D60D1">
      <w:pPr>
        <w:jc w:val="both"/>
        <w:rPr>
          <w:rStyle w:val="Siln"/>
          <w:rFonts w:ascii="Times New Roman" w:hAnsi="Times New Roman"/>
          <w:sz w:val="24"/>
          <w:szCs w:val="24"/>
        </w:rPr>
      </w:pPr>
    </w:p>
    <w:p w:rsidR="003D60D1" w:rsidRPr="003D60D1" w:rsidRDefault="003D60D1" w:rsidP="003D60D1">
      <w:pPr>
        <w:pStyle w:val="Odstavecseseznamem"/>
        <w:keepNext/>
        <w:keepLines/>
        <w:numPr>
          <w:ilvl w:val="0"/>
          <w:numId w:val="29"/>
        </w:numPr>
        <w:suppressAutoHyphens/>
        <w:autoSpaceDN w:val="0"/>
        <w:spacing w:after="0" w:line="252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Toc445380604"/>
      <w:r w:rsidRPr="003D60D1">
        <w:rPr>
          <w:rFonts w:ascii="Times New Roman" w:hAnsi="Times New Roman"/>
          <w:b/>
          <w:sz w:val="24"/>
          <w:szCs w:val="24"/>
        </w:rPr>
        <w:t>Právní základ:</w:t>
      </w:r>
      <w:bookmarkEnd w:id="0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Článek 166 a 165 Smlouvy o fungování Evropské unie.</w:t>
      </w:r>
    </w:p>
    <w:p w:rsidR="003D60D1" w:rsidRPr="003D60D1" w:rsidRDefault="003D60D1" w:rsidP="003D60D1">
      <w:pPr>
        <w:pStyle w:val="Odstavecseseznamem"/>
        <w:keepNext/>
        <w:keepLines/>
        <w:numPr>
          <w:ilvl w:val="0"/>
          <w:numId w:val="29"/>
        </w:numPr>
        <w:suppressAutoHyphens/>
        <w:autoSpaceDN w:val="0"/>
        <w:spacing w:after="0" w:line="252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bookmarkStart w:id="1" w:name="_Toc445380605"/>
      <w:r w:rsidRPr="003D60D1">
        <w:rPr>
          <w:rFonts w:ascii="Times New Roman" w:hAnsi="Times New Roman"/>
          <w:b/>
          <w:sz w:val="24"/>
          <w:szCs w:val="24"/>
        </w:rPr>
        <w:t>Datum zaslání Poslanecké sněmovně prostřednictvím VEZ:</w:t>
      </w:r>
      <w:bookmarkEnd w:id="1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24. 1. 2018</w:t>
      </w:r>
    </w:p>
    <w:p w:rsidR="003D60D1" w:rsidRPr="003D60D1" w:rsidRDefault="003D60D1" w:rsidP="003D60D1">
      <w:pPr>
        <w:pStyle w:val="Odstavecseseznamem"/>
        <w:keepNext/>
        <w:keepLines/>
        <w:numPr>
          <w:ilvl w:val="0"/>
          <w:numId w:val="29"/>
        </w:numPr>
        <w:suppressAutoHyphens/>
        <w:autoSpaceDN w:val="0"/>
        <w:spacing w:after="0" w:line="252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bookmarkStart w:id="2" w:name="_Toc445380606"/>
      <w:r w:rsidRPr="003D60D1">
        <w:rPr>
          <w:rFonts w:ascii="Times New Roman" w:hAnsi="Times New Roman"/>
          <w:b/>
          <w:sz w:val="24"/>
          <w:szCs w:val="24"/>
        </w:rPr>
        <w:t>Datum projednání ve VEZ:</w:t>
      </w:r>
      <w:bookmarkEnd w:id="2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31. 1. 2018 (1. kolo)</w:t>
      </w:r>
    </w:p>
    <w:p w:rsidR="003D60D1" w:rsidRPr="003D60D1" w:rsidRDefault="003D60D1" w:rsidP="003D60D1">
      <w:pPr>
        <w:pStyle w:val="Odstavecseseznamem"/>
        <w:keepNext/>
        <w:keepLines/>
        <w:numPr>
          <w:ilvl w:val="0"/>
          <w:numId w:val="29"/>
        </w:numPr>
        <w:suppressAutoHyphens/>
        <w:autoSpaceDN w:val="0"/>
        <w:spacing w:after="0" w:line="252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bookmarkStart w:id="3" w:name="_Toc445380607"/>
      <w:r w:rsidRPr="003D60D1">
        <w:rPr>
          <w:rFonts w:ascii="Times New Roman" w:hAnsi="Times New Roman"/>
          <w:b/>
          <w:sz w:val="24"/>
          <w:szCs w:val="24"/>
        </w:rPr>
        <w:t>Procedura:</w:t>
      </w:r>
      <w:bookmarkEnd w:id="3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 xml:space="preserve">Nelegislativní postup. </w:t>
      </w:r>
    </w:p>
    <w:p w:rsidR="003D60D1" w:rsidRPr="003D60D1" w:rsidRDefault="003D60D1" w:rsidP="003D60D1">
      <w:pPr>
        <w:pStyle w:val="Odstavecseseznamem"/>
        <w:keepNext/>
        <w:keepLines/>
        <w:numPr>
          <w:ilvl w:val="0"/>
          <w:numId w:val="29"/>
        </w:numPr>
        <w:suppressAutoHyphens/>
        <w:autoSpaceDN w:val="0"/>
        <w:spacing w:after="0" w:line="252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bookmarkStart w:id="4" w:name="_Toc445380608"/>
      <w:r w:rsidRPr="003D60D1">
        <w:rPr>
          <w:rFonts w:ascii="Times New Roman" w:hAnsi="Times New Roman"/>
          <w:b/>
          <w:sz w:val="24"/>
          <w:szCs w:val="24"/>
        </w:rPr>
        <w:t>Předběžné stanovisko vlády (dle § 109a odst. 1 jednacího řádu PS):</w:t>
      </w:r>
      <w:bookmarkEnd w:id="4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Datované dnem 20. února 2018, doručené do výboru pro evropské záležitosti dne 26. února 2018 prostřednictvím systému ISAP.</w:t>
      </w:r>
    </w:p>
    <w:p w:rsidR="003D60D1" w:rsidRPr="003D60D1" w:rsidRDefault="003D60D1" w:rsidP="003D60D1">
      <w:pPr>
        <w:pStyle w:val="Nadpis1"/>
        <w:numPr>
          <w:ilvl w:val="0"/>
          <w:numId w:val="27"/>
        </w:numPr>
        <w:ind w:left="0"/>
        <w:rPr>
          <w:rFonts w:ascii="Times New Roman" w:hAnsi="Times New Roman"/>
          <w:szCs w:val="24"/>
        </w:rPr>
      </w:pPr>
      <w:bookmarkStart w:id="5" w:name="_Toc448302188"/>
      <w:bookmarkStart w:id="6" w:name="_Toc445380609"/>
      <w:r w:rsidRPr="003D60D1">
        <w:rPr>
          <w:rFonts w:ascii="Times New Roman" w:hAnsi="Times New Roman"/>
          <w:szCs w:val="24"/>
        </w:rPr>
        <w:t>Hodnocení z hlediska principu</w:t>
      </w:r>
      <w:r w:rsidRPr="003D60D1">
        <w:rPr>
          <w:rStyle w:val="Nadpis1Char"/>
          <w:rFonts w:ascii="Times New Roman" w:hAnsi="Times New Roman"/>
          <w:szCs w:val="24"/>
        </w:rPr>
        <w:t xml:space="preserve"> </w:t>
      </w:r>
      <w:r w:rsidRPr="003D60D1">
        <w:rPr>
          <w:rFonts w:ascii="Times New Roman" w:hAnsi="Times New Roman"/>
          <w:szCs w:val="24"/>
        </w:rPr>
        <w:t>subsidiarity:</w:t>
      </w:r>
      <w:bookmarkEnd w:id="5"/>
      <w:bookmarkEnd w:id="6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Návrh je v souladu s principem subsidiarity.</w:t>
      </w:r>
    </w:p>
    <w:p w:rsidR="003D60D1" w:rsidRPr="003D60D1" w:rsidRDefault="003D60D1" w:rsidP="003D60D1">
      <w:pPr>
        <w:pStyle w:val="Nadpis1"/>
        <w:numPr>
          <w:ilvl w:val="0"/>
          <w:numId w:val="27"/>
        </w:numPr>
        <w:ind w:left="0"/>
        <w:rPr>
          <w:rFonts w:ascii="Times New Roman" w:hAnsi="Times New Roman"/>
          <w:szCs w:val="24"/>
        </w:rPr>
      </w:pPr>
      <w:bookmarkStart w:id="7" w:name="_Toc448302189"/>
      <w:bookmarkStart w:id="8" w:name="_Toc445380610"/>
      <w:r w:rsidRPr="003D60D1">
        <w:rPr>
          <w:rFonts w:ascii="Times New Roman" w:hAnsi="Times New Roman"/>
          <w:szCs w:val="24"/>
        </w:rPr>
        <w:t>Odůvodnění a předmět:</w:t>
      </w:r>
      <w:bookmarkEnd w:id="7"/>
      <w:bookmarkEnd w:id="8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 xml:space="preserve">Dne 14. listopadu 2017 přijala Komise </w:t>
      </w:r>
      <w:r w:rsidRPr="003D60D1">
        <w:rPr>
          <w:rFonts w:ascii="Times New Roman" w:hAnsi="Times New Roman"/>
          <w:sz w:val="24"/>
          <w:szCs w:val="24"/>
          <w:u w:val="single"/>
        </w:rPr>
        <w:t>sdělení Posilování evropské identity prostřednictvím vzdělávání a kultury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1"/>
      </w:r>
      <w:r w:rsidRPr="003D60D1">
        <w:rPr>
          <w:rFonts w:ascii="Times New Roman" w:hAnsi="Times New Roman"/>
          <w:sz w:val="24"/>
          <w:szCs w:val="24"/>
        </w:rPr>
        <w:t xml:space="preserve">, které bylo příspěvkem do diskuse o vzdělávání a kultuře v rámci sociálního summitu v Göteborgu dne 17. listopadu 2017. Na tomto summitu byl přijat </w:t>
      </w:r>
      <w:r w:rsidRPr="003D60D1">
        <w:rPr>
          <w:rFonts w:ascii="Times New Roman" w:hAnsi="Times New Roman"/>
          <w:sz w:val="24"/>
          <w:szCs w:val="24"/>
          <w:u w:val="single"/>
        </w:rPr>
        <w:t>evropský pilíř sociálních práv, který zakotvuje právo na kvalitní vzdělávání, odbornou přípravu a celoživotní učení</w:t>
      </w:r>
      <w:r w:rsidRPr="003D60D1">
        <w:rPr>
          <w:rFonts w:ascii="Times New Roman" w:hAnsi="Times New Roman"/>
          <w:sz w:val="24"/>
          <w:szCs w:val="24"/>
        </w:rPr>
        <w:t>, jež podporují začlenění. Toto právo má zajistit, že každý získá a během života si udrží dovednosti, které mu umožní plně se zapojit do života společnosti a do pracovního trhu a reagovat na přicházející změny.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2"/>
      </w:r>
      <w:r w:rsidRPr="003D60D1">
        <w:rPr>
          <w:rFonts w:ascii="Times New Roman" w:hAnsi="Times New Roman"/>
          <w:sz w:val="24"/>
          <w:szCs w:val="24"/>
        </w:rPr>
        <w:t xml:space="preserve"> Výsledky diskuse, která na summitu proběhla, byly zohledněny v závěrech Evropské rady z 14. prosince 2017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3"/>
      </w:r>
      <w:r w:rsidRPr="003D60D1">
        <w:rPr>
          <w:rFonts w:ascii="Times New Roman" w:hAnsi="Times New Roman"/>
          <w:sz w:val="24"/>
          <w:szCs w:val="24"/>
        </w:rPr>
        <w:t>, která vyzvala členské státy, Komisi a Radu, aby tuto agendu dále rozvíjely. Navrhované doporučení je jedním z kroků v tomto směru.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 xml:space="preserve">V prosinci 2006 bylo přijato </w:t>
      </w:r>
      <w:r w:rsidRPr="003D60D1">
        <w:rPr>
          <w:rFonts w:ascii="Times New Roman" w:hAnsi="Times New Roman"/>
          <w:sz w:val="24"/>
          <w:szCs w:val="24"/>
          <w:u w:val="single"/>
        </w:rPr>
        <w:t>doporučení o klíčových schopnostech pro celoživotní učení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4"/>
      </w:r>
      <w:r w:rsidRPr="003D60D1">
        <w:rPr>
          <w:rFonts w:ascii="Times New Roman" w:hAnsi="Times New Roman"/>
          <w:sz w:val="24"/>
          <w:szCs w:val="24"/>
        </w:rPr>
        <w:t xml:space="preserve">, které obsahovalo evropský referenční rámec klíčových schopností. Ten stanovil osm schopností, které každý občan potřebuje pro osobní naplnění a rozvoj, sociální začlenění, aktivní občanství </w:t>
      </w:r>
      <w:r w:rsidRPr="003D60D1">
        <w:rPr>
          <w:rFonts w:ascii="Times New Roman" w:hAnsi="Times New Roman"/>
          <w:sz w:val="24"/>
          <w:szCs w:val="24"/>
        </w:rPr>
        <w:lastRenderedPageBreak/>
        <w:t>a pro pracovní život.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5"/>
      </w:r>
      <w:r w:rsidRPr="003D60D1">
        <w:rPr>
          <w:rFonts w:ascii="Times New Roman" w:hAnsi="Times New Roman"/>
          <w:sz w:val="24"/>
          <w:szCs w:val="24"/>
        </w:rPr>
        <w:t xml:space="preserve"> V návaznosti na přijetí doporučení provedla většina členských států reformy vzdělávání, avšak jejich podoba a rozsah se významně lišily.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6"/>
      </w:r>
      <w:r w:rsidRPr="003D60D1">
        <w:rPr>
          <w:rFonts w:ascii="Times New Roman" w:hAnsi="Times New Roman"/>
          <w:sz w:val="24"/>
          <w:szCs w:val="24"/>
        </w:rPr>
        <w:t xml:space="preserve"> Referenční rámec byl využíván především ve formálním vzdělávání na základní a střední úrovni. 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Komise konstatuje, že od roku 2006 se Evropa proměnila – vyvíjí se společnosti i ekonomiky, dochází k demografickým a technologickým změnám i změnám na trhu práce. Potřeba získání a udržení správné kombinace kompetencí pro plnohodnotné zapojení do osobního, společenského i pracovního života však zůstává beze změny. Mezinárodní průzkumy (např. PISA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7"/>
      </w:r>
      <w:r w:rsidRPr="003D60D1">
        <w:rPr>
          <w:rFonts w:ascii="Times New Roman" w:hAnsi="Times New Roman"/>
          <w:sz w:val="24"/>
          <w:szCs w:val="24"/>
        </w:rPr>
        <w:t>, PIAAC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8"/>
      </w:r>
      <w:r w:rsidRPr="003D60D1">
        <w:rPr>
          <w:rFonts w:ascii="Times New Roman" w:hAnsi="Times New Roman"/>
          <w:sz w:val="24"/>
          <w:szCs w:val="24"/>
        </w:rPr>
        <w:t xml:space="preserve">) přitom dokládají dlouhodobě vysoký podíl mladých lidí a dospělých s nedostatečnými základními dovednostmi: v roce 2015 měla pětina žáků vážné potíže v rozvoji dostatečných dovedností ve čtení, matematice nebo přírodních vědách. Podle zjištění Komise má až jedna třetina dospělých znalosti pouze na nejnižších úrovních gramotnosti a matematické gramotnosti a 44 % populace Unie má malé nebo nemá žádné (19 %) digitální dovednosti. 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Cílem navrhovaného doporučení je proto zlepšit rozvoj klíčových kompetencí pro všechny, a to v průběhu celého života. Na základě zkušeností s uplatňováním doporučení z roku 2006 a výsledků veřejné konzultace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9"/>
      </w:r>
      <w:r w:rsidRPr="003D60D1">
        <w:rPr>
          <w:rFonts w:ascii="Times New Roman" w:hAnsi="Times New Roman"/>
          <w:sz w:val="24"/>
          <w:szCs w:val="24"/>
        </w:rPr>
        <w:t xml:space="preserve"> je evropský referenční rámec klíčových kompetencí aktualizován a doplněn osvědčenými postupy pro podporu rozvoje vzdělávacích přístupů zaměřených na kompetence na všech stupních a ve všech formách vzdělávání.</w:t>
      </w:r>
    </w:p>
    <w:p w:rsidR="003D60D1" w:rsidRPr="003D60D1" w:rsidRDefault="003D60D1" w:rsidP="003D60D1">
      <w:pPr>
        <w:pStyle w:val="Nadpis1"/>
        <w:numPr>
          <w:ilvl w:val="0"/>
          <w:numId w:val="27"/>
        </w:numPr>
        <w:ind w:left="0"/>
        <w:rPr>
          <w:rFonts w:ascii="Times New Roman" w:hAnsi="Times New Roman"/>
          <w:szCs w:val="24"/>
        </w:rPr>
      </w:pPr>
      <w:bookmarkStart w:id="9" w:name="_Toc448302190"/>
      <w:bookmarkStart w:id="10" w:name="_Toc445380611"/>
      <w:r w:rsidRPr="003D60D1">
        <w:rPr>
          <w:rFonts w:ascii="Times New Roman" w:hAnsi="Times New Roman"/>
          <w:szCs w:val="24"/>
        </w:rPr>
        <w:t>Obsah a dopad:</w:t>
      </w:r>
      <w:bookmarkEnd w:id="9"/>
      <w:bookmarkEnd w:id="10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  <w:u w:val="single"/>
        </w:rPr>
        <w:t>Kompetence</w:t>
      </w:r>
      <w:r w:rsidRPr="003D60D1">
        <w:rPr>
          <w:rFonts w:ascii="Times New Roman" w:hAnsi="Times New Roman"/>
          <w:sz w:val="24"/>
          <w:szCs w:val="24"/>
        </w:rPr>
        <w:t xml:space="preserve"> jsou </w:t>
      </w:r>
      <w:r w:rsidRPr="003D60D1">
        <w:rPr>
          <w:rFonts w:ascii="Times New Roman" w:hAnsi="Times New Roman"/>
          <w:sz w:val="24"/>
          <w:szCs w:val="24"/>
          <w:u w:val="single"/>
        </w:rPr>
        <w:t>kombinace znalostí, dovedností a postojů</w:t>
      </w:r>
      <w:r w:rsidRPr="003D60D1">
        <w:rPr>
          <w:rFonts w:ascii="Times New Roman" w:hAnsi="Times New Roman"/>
          <w:sz w:val="24"/>
          <w:szCs w:val="24"/>
        </w:rPr>
        <w:t xml:space="preserve">. </w:t>
      </w:r>
      <w:r w:rsidRPr="003D60D1">
        <w:rPr>
          <w:rFonts w:ascii="Times New Roman" w:hAnsi="Times New Roman"/>
          <w:sz w:val="24"/>
          <w:szCs w:val="24"/>
          <w:u w:val="single"/>
        </w:rPr>
        <w:t>Klíčové kompetence</w:t>
      </w:r>
      <w:r w:rsidRPr="003D60D1">
        <w:rPr>
          <w:rFonts w:ascii="Times New Roman" w:hAnsi="Times New Roman"/>
          <w:sz w:val="24"/>
          <w:szCs w:val="24"/>
        </w:rPr>
        <w:t xml:space="preserve"> jsou takové, které </w:t>
      </w:r>
      <w:r w:rsidRPr="003D60D1">
        <w:rPr>
          <w:rFonts w:ascii="Times New Roman" w:hAnsi="Times New Roman"/>
          <w:sz w:val="24"/>
          <w:szCs w:val="24"/>
          <w:u w:val="single"/>
        </w:rPr>
        <w:t>všichni potřebují ke svému osobnímu naplnění a rozvoji, zaměstnanosti, sociální soudržnosti a aktivnímu občanství</w:t>
      </w:r>
      <w:r w:rsidRPr="003D60D1">
        <w:rPr>
          <w:rFonts w:ascii="Times New Roman" w:hAnsi="Times New Roman"/>
          <w:sz w:val="24"/>
          <w:szCs w:val="24"/>
        </w:rPr>
        <w:t>.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Členské státy by měly:</w:t>
      </w:r>
    </w:p>
    <w:p w:rsidR="003D60D1" w:rsidRPr="003D60D1" w:rsidRDefault="003D60D1" w:rsidP="003D60D1">
      <w:pPr>
        <w:pStyle w:val="Odstavecseseznamem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podporovat právo na kvalitní a inkluzivní vzdělávání, odbornou přípravu a celoživotní učení a zajistit příležitosti k rozvoji klíčových kompetencí pro všechny od raného věku;</w:t>
      </w:r>
    </w:p>
    <w:p w:rsidR="003D60D1" w:rsidRPr="003D60D1" w:rsidRDefault="003D60D1" w:rsidP="003D60D1">
      <w:pPr>
        <w:pStyle w:val="Odstavecseseznamem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zvýšit úroveň výsledků v základních dovednostech (gramotnost a matematická gramotnost, základní digitální dovednosti);</w:t>
      </w:r>
    </w:p>
    <w:p w:rsidR="003D60D1" w:rsidRPr="003D60D1" w:rsidRDefault="003D60D1" w:rsidP="003D60D1">
      <w:pPr>
        <w:pStyle w:val="Odstavecseseznamem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podpořit získávání kompetencí v přírodních vědách, technologiích, inženýrství a matematice (STEM) a zatraktivnit kariéry v této oblasti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10"/>
      </w:r>
      <w:r w:rsidRPr="003D60D1">
        <w:rPr>
          <w:rFonts w:ascii="Times New Roman" w:hAnsi="Times New Roman"/>
          <w:sz w:val="24"/>
          <w:szCs w:val="24"/>
        </w:rPr>
        <w:t>;</w:t>
      </w:r>
    </w:p>
    <w:p w:rsidR="003D60D1" w:rsidRPr="003D60D1" w:rsidRDefault="003D60D1" w:rsidP="003D60D1">
      <w:pPr>
        <w:pStyle w:val="Odstavecseseznamem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lastRenderedPageBreak/>
        <w:t>zvýšit a zlepšit úroveň digitálních kompetencí ve všech fázích vzdělávání a ve všech skupinách obyvatel;</w:t>
      </w:r>
    </w:p>
    <w:p w:rsidR="003D60D1" w:rsidRPr="003D60D1" w:rsidRDefault="003D60D1" w:rsidP="003D60D1">
      <w:pPr>
        <w:pStyle w:val="Odstavecseseznamem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podpořit kompetenci k podnikavosti, tvořivosti a smyslu pro iniciativu, především zajištěním alespoň jedné podnikatelské zkušenosti během základního nebo středoškolského vzdělávání;</w:t>
      </w:r>
    </w:p>
    <w:p w:rsidR="003D60D1" w:rsidRPr="003D60D1" w:rsidRDefault="003D60D1" w:rsidP="003D60D1">
      <w:pPr>
        <w:pStyle w:val="Odstavecseseznamem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zvýšit úroveň jazykových kompetencí a podpořit studium různých jazyků;</w:t>
      </w:r>
    </w:p>
    <w:p w:rsidR="003D60D1" w:rsidRPr="003D60D1" w:rsidRDefault="003D60D1" w:rsidP="003D60D1">
      <w:pPr>
        <w:pStyle w:val="Odstavecseseznamem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využívat osvědčené postupy pro podporu rozvoje klíčových kompetencí uvedené v evropském referenčním rámci;</w:t>
      </w:r>
    </w:p>
    <w:p w:rsidR="003D60D1" w:rsidRPr="003D60D1" w:rsidRDefault="003D60D1" w:rsidP="003D60D1">
      <w:pPr>
        <w:pStyle w:val="Odstavecseseznamem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začlenit cíle udržitelného rozvoje OSN do vzdělávání, odborné přípravy a učení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11"/>
      </w:r>
      <w:r w:rsidRPr="003D60D1">
        <w:rPr>
          <w:rFonts w:ascii="Times New Roman" w:hAnsi="Times New Roman"/>
          <w:sz w:val="24"/>
          <w:szCs w:val="24"/>
        </w:rPr>
        <w:t>;</w:t>
      </w:r>
    </w:p>
    <w:p w:rsidR="003D60D1" w:rsidRPr="003D60D1" w:rsidRDefault="003D60D1" w:rsidP="003D60D1">
      <w:pPr>
        <w:pStyle w:val="Odstavecseseznamem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podávat zprávy o zkušenostech a pokroku při prosazování klíčových kompetencí ve vzdělávání.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Komise podpoří provádění doporučení a používání evropského referenčního rámce např. prostřednictvím rámců pro zvláštní kompetence</w:t>
      </w:r>
      <w:r w:rsidRPr="003D60D1">
        <w:rPr>
          <w:rStyle w:val="Znakapoznpodarou"/>
          <w:rFonts w:ascii="Times New Roman" w:hAnsi="Times New Roman"/>
          <w:sz w:val="24"/>
          <w:szCs w:val="24"/>
        </w:rPr>
        <w:footnoteReference w:id="12"/>
      </w:r>
      <w:r w:rsidRPr="003D60D1">
        <w:rPr>
          <w:rFonts w:ascii="Times New Roman" w:hAnsi="Times New Roman"/>
          <w:sz w:val="24"/>
          <w:szCs w:val="24"/>
        </w:rPr>
        <w:t>, podporou nových forem učení nebo prostřednictvím nástrojů pro pedagogické pracovníky a další zúčastněné strany (hromadné otevřené online kurzy (MOOC), nástroje sebehodnocení (např. SELFIE), eTwinning a další sítě, elektronická platforma pro vzdělávání dospělých v Evropě (EPALE)).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  <w:u w:val="single"/>
        </w:rPr>
        <w:t>Aktualizovaný evropský referenční rámec určuje a definuje tyto klíčové kompetence</w:t>
      </w:r>
      <w:r w:rsidRPr="003D60D1">
        <w:rPr>
          <w:rFonts w:ascii="Times New Roman" w:hAnsi="Times New Roman"/>
          <w:sz w:val="24"/>
          <w:szCs w:val="24"/>
        </w:rPr>
        <w:t>: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b/>
          <w:sz w:val="24"/>
          <w:szCs w:val="24"/>
        </w:rPr>
        <w:t>Kompetence v oblasti gramotnosti</w:t>
      </w:r>
      <w:r w:rsidRPr="003D60D1">
        <w:rPr>
          <w:rFonts w:ascii="Times New Roman" w:hAnsi="Times New Roman"/>
          <w:sz w:val="24"/>
          <w:szCs w:val="24"/>
        </w:rPr>
        <w:t xml:space="preserve"> – základ pro další učení a komunikaci v různých společenských a kulturních kontextech;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b/>
          <w:sz w:val="24"/>
          <w:szCs w:val="24"/>
        </w:rPr>
        <w:t>Jazyková kompetence</w:t>
      </w:r>
      <w:r w:rsidRPr="003D60D1">
        <w:rPr>
          <w:rFonts w:ascii="Times New Roman" w:hAnsi="Times New Roman"/>
          <w:sz w:val="24"/>
          <w:szCs w:val="24"/>
        </w:rPr>
        <w:t xml:space="preserve"> – schopnost vhodně a efektivně komunikovat v různých jazycích;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b/>
          <w:sz w:val="24"/>
          <w:szCs w:val="24"/>
        </w:rPr>
        <w:t>Matematická kompetence a kompetence v oblasti vědy, technologií a inženýrství</w:t>
      </w:r>
      <w:r w:rsidRPr="003D60D1">
        <w:rPr>
          <w:rFonts w:ascii="Times New Roman" w:hAnsi="Times New Roman"/>
          <w:sz w:val="24"/>
          <w:szCs w:val="24"/>
        </w:rPr>
        <w:t xml:space="preserve"> – rozvoj a používání matematického myšlení, schopnost používat soubor znalostí a metod používaných k objasnění přírodních zákonů a uplatňovat tyto znalosti a metody v praxi, formulace závěrů založených na důkazech;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b/>
          <w:sz w:val="24"/>
          <w:szCs w:val="24"/>
        </w:rPr>
        <w:t>Digitální kompetence</w:t>
      </w:r>
      <w:r w:rsidRPr="003D60D1">
        <w:rPr>
          <w:rFonts w:ascii="Times New Roman" w:hAnsi="Times New Roman"/>
          <w:sz w:val="24"/>
          <w:szCs w:val="24"/>
        </w:rPr>
        <w:t xml:space="preserve"> – jisté, kritické a odpovědné používání digitálních technologií (včetně programování a bezpečnosti);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b/>
          <w:sz w:val="24"/>
          <w:szCs w:val="24"/>
        </w:rPr>
        <w:t>Personální a sociální kompetence a kompetence k učení</w:t>
      </w:r>
      <w:r w:rsidRPr="003D60D1">
        <w:rPr>
          <w:rFonts w:ascii="Times New Roman" w:hAnsi="Times New Roman"/>
          <w:sz w:val="24"/>
          <w:szCs w:val="24"/>
        </w:rPr>
        <w:t xml:space="preserve"> – schopnost uvažovat o sobě, účinně zacházet s časem a informacemi, spolupracovat v týmu a řídit své vlastní učení a kariéru;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b/>
          <w:sz w:val="24"/>
          <w:szCs w:val="24"/>
        </w:rPr>
        <w:t>Občanská kompetence</w:t>
      </w:r>
      <w:r w:rsidRPr="003D60D1">
        <w:rPr>
          <w:rFonts w:ascii="Times New Roman" w:hAnsi="Times New Roman"/>
          <w:sz w:val="24"/>
          <w:szCs w:val="24"/>
        </w:rPr>
        <w:t xml:space="preserve"> – schopnost jednat jako zodpovědný občan a podílet se na občanském a společenském životě s důrazem na demokracii, evropské hodnoty, udržitelnost a mediální gramotnost;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b/>
          <w:sz w:val="24"/>
          <w:szCs w:val="24"/>
        </w:rPr>
        <w:t>Kompetence k podnikavosti</w:t>
      </w:r>
      <w:r w:rsidRPr="003D60D1">
        <w:rPr>
          <w:rFonts w:ascii="Times New Roman" w:hAnsi="Times New Roman"/>
          <w:sz w:val="24"/>
          <w:szCs w:val="24"/>
        </w:rPr>
        <w:t xml:space="preserve"> – schopnost využívat příležitosti a nápady, tvořivost, kritické myšlení, řešení problémů a vlastní iniciativa;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b/>
          <w:sz w:val="24"/>
          <w:szCs w:val="24"/>
        </w:rPr>
        <w:t>Kompetence v oblasti kulturního povědomí a vyjadřování</w:t>
      </w:r>
      <w:r w:rsidRPr="003D60D1">
        <w:rPr>
          <w:rFonts w:ascii="Times New Roman" w:hAnsi="Times New Roman"/>
          <w:sz w:val="24"/>
          <w:szCs w:val="24"/>
        </w:rPr>
        <w:t xml:space="preserve"> – pochopení odlišnosti kultur, respekt k nim a schopnost vyjadřovat myšlenky různými způsoby a v různých souvislostech.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Určité osobní a mezilidské dovednosti, označované jako „životní“ nebo „sociálně-emoční“ dovednosti (též „</w:t>
      </w:r>
      <w:r w:rsidRPr="003D60D1">
        <w:rPr>
          <w:rFonts w:ascii="Times New Roman" w:hAnsi="Times New Roman"/>
          <w:i/>
          <w:sz w:val="24"/>
          <w:szCs w:val="24"/>
        </w:rPr>
        <w:t>soft skills</w:t>
      </w:r>
      <w:r w:rsidRPr="003D60D1">
        <w:rPr>
          <w:rFonts w:ascii="Times New Roman" w:hAnsi="Times New Roman"/>
          <w:sz w:val="24"/>
          <w:szCs w:val="24"/>
        </w:rPr>
        <w:t xml:space="preserve">“), které pomáhají lidem reagovat na nejistotu a změny, jsou součástí </w:t>
      </w:r>
      <w:r w:rsidRPr="003D60D1">
        <w:rPr>
          <w:rFonts w:ascii="Times New Roman" w:hAnsi="Times New Roman"/>
          <w:sz w:val="24"/>
          <w:szCs w:val="24"/>
        </w:rPr>
        <w:lastRenderedPageBreak/>
        <w:t>více klíčových kompetencí. Patří k nim kritické myšlení, řešení problémů, týmová práce, komunikační dovednosti, analytické dovednosti nebo řešení problémů.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Vzdělávání zaměřené na rozvoj kompetencí vyžaduje odlišné vzdělávací přístupy, neboť kompetence se (na rozdíl od znalostí obsažených v učebních plánech) mění a je třeba je rozvíjet kontinuálně během celého procesu učení. V zájmu podpory rozvoje kompetencí jsou do aktualizovaného referenčního rámce zahrnuty příkladové osvědčené postupy, které se týkají využívání různých učebních přístupů a kontextů (např. mezioborová výuka, partnerství mezi různými úrovněmi vzdělávání, sociální a emoční učení, umění a sport, výuka založená na projektech nebo hrách, mobilita ve vzdělávání, cílená individuální podpora znevýhodněných osob, spolupráce vzdělávacích institucí s místními komunitami a zaměstnavateli); podpory pedagogických pracovníků (např. odpovídající vzdělávání, výměny pracovníků a vzájemné učení, vytváření inovativních výukových postupů a využívání nových technologií, poskytování vedení) a hodnocení a uznávání rozvoje kompetencí (např. zahrnutí klíčových kompetencí do rámců výsledků učení, využívání digitálních technologií ke sledování pokroku, uznávání výsledků neformálního a informálního učení prostřednictvím nástrojů jako Europass a Youthpass).</w:t>
      </w:r>
    </w:p>
    <w:p w:rsidR="003D60D1" w:rsidRPr="003D60D1" w:rsidRDefault="003D60D1" w:rsidP="003D60D1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D60D1">
        <w:rPr>
          <w:rFonts w:ascii="Times New Roman" w:hAnsi="Times New Roman"/>
          <w:i/>
          <w:sz w:val="24"/>
          <w:szCs w:val="24"/>
          <w:u w:val="single"/>
        </w:rPr>
        <w:t>Dopad na státní rozpočet a právní řád ČR:</w:t>
      </w:r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Přímý dopad na právní řád ČR se nepředpokládá. Dopady na státní rozpočet budou závislé na způsobu provedení; všechny případné dopady budou zabezpečeny v rámci stanovených výdajových limitů dotčených kapitol státního rozpočtu.</w:t>
      </w:r>
    </w:p>
    <w:p w:rsidR="003D60D1" w:rsidRPr="003D60D1" w:rsidRDefault="003D60D1" w:rsidP="003D60D1">
      <w:pPr>
        <w:pStyle w:val="Nadpis1"/>
        <w:numPr>
          <w:ilvl w:val="0"/>
          <w:numId w:val="27"/>
        </w:numPr>
        <w:ind w:left="0"/>
        <w:rPr>
          <w:rFonts w:ascii="Times New Roman" w:hAnsi="Times New Roman"/>
          <w:szCs w:val="24"/>
        </w:rPr>
      </w:pPr>
      <w:bookmarkStart w:id="11" w:name="_Toc448302191"/>
      <w:bookmarkStart w:id="12" w:name="_Toc445380612"/>
      <w:r w:rsidRPr="003D60D1">
        <w:rPr>
          <w:rFonts w:ascii="Times New Roman" w:hAnsi="Times New Roman"/>
          <w:szCs w:val="24"/>
        </w:rPr>
        <w:t>Stanovisko vlády ČR:</w:t>
      </w:r>
      <w:bookmarkEnd w:id="11"/>
      <w:bookmarkEnd w:id="12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Vláda návrh doporučení vítá a podporuje. Podstata doporučení je obsažena ve Strategii vzdělávací politiky ČR do roku 2020 a na úrovni vzdělávacího obsahu ve školách jsou doporučení reflektována v rámcových vzdělávacích programech. V rámci probíhající revize těchto programů bude přezkoumána i podoba klíčových kompetencí. Vláda navrhuje, aby byla v doporučení mezi kompetencemi vyžadujícími zvláštní pozornost výslovně uvedena také občanská kompetence a vzdělávání ke společným hodnotám jako prevence rozdělení a další polarizace společnosti.</w:t>
      </w:r>
    </w:p>
    <w:p w:rsidR="003D60D1" w:rsidRPr="003D60D1" w:rsidRDefault="003D60D1" w:rsidP="003D60D1">
      <w:pPr>
        <w:pStyle w:val="Nadpis1"/>
        <w:numPr>
          <w:ilvl w:val="0"/>
          <w:numId w:val="27"/>
        </w:numPr>
        <w:ind w:left="0"/>
        <w:rPr>
          <w:rFonts w:ascii="Times New Roman" w:hAnsi="Times New Roman"/>
          <w:szCs w:val="24"/>
        </w:rPr>
      </w:pPr>
      <w:bookmarkStart w:id="13" w:name="_Toc448302192"/>
      <w:bookmarkStart w:id="14" w:name="_Toc445380613"/>
      <w:r w:rsidRPr="003D60D1">
        <w:rPr>
          <w:rFonts w:ascii="Times New Roman" w:hAnsi="Times New Roman"/>
          <w:szCs w:val="24"/>
        </w:rPr>
        <w:t>Předpokládaný harmonogram projednávání v orgánech EU:</w:t>
      </w:r>
      <w:bookmarkEnd w:id="13"/>
      <w:bookmarkEnd w:id="14"/>
    </w:p>
    <w:p w:rsidR="003D60D1" w:rsidRP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V Evropském parlamentu se návrh doporučení nachází v přípravné fázi. Byl přidělen výboru pro kulturu a vzdělávání (CULT) jako gesčně příslušnému výboru a o stanovisko byl požádán výbor pro zaměstnanost a sociální věci (EMPL).</w:t>
      </w:r>
    </w:p>
    <w:p w:rsidR="003D60D1" w:rsidRDefault="003D60D1" w:rsidP="003D60D1">
      <w:pPr>
        <w:jc w:val="both"/>
        <w:rPr>
          <w:rFonts w:ascii="Times New Roman" w:hAnsi="Times New Roman"/>
          <w:sz w:val="24"/>
          <w:szCs w:val="24"/>
        </w:rPr>
      </w:pPr>
      <w:r w:rsidRPr="003D60D1">
        <w:rPr>
          <w:rFonts w:ascii="Times New Roman" w:hAnsi="Times New Roman"/>
          <w:sz w:val="24"/>
          <w:szCs w:val="24"/>
        </w:rPr>
        <w:t>Na Radě pro vzdělávání, mládež, kulturu a sport, která se uskutečnila 15. února 2018, proběhla politická rozprava na téma Rozvíjení vzdělávacích aspektů v závěrech Evropské rady ze dne 14. prosince 2017.</w:t>
      </w:r>
    </w:p>
    <w:p w:rsidR="00E96332" w:rsidRPr="003D60D1" w:rsidRDefault="00E96332" w:rsidP="003D60D1">
      <w:pPr>
        <w:jc w:val="both"/>
        <w:rPr>
          <w:rFonts w:ascii="Times New Roman" w:hAnsi="Times New Roman"/>
          <w:sz w:val="24"/>
          <w:szCs w:val="24"/>
        </w:rPr>
      </w:pPr>
    </w:p>
    <w:p w:rsidR="006D769E" w:rsidRDefault="006D769E" w:rsidP="006D769E">
      <w:pPr>
        <w:pStyle w:val="Odstavecseseznamem"/>
        <w:numPr>
          <w:ilvl w:val="0"/>
          <w:numId w:val="14"/>
        </w:numPr>
        <w:spacing w:before="240" w:after="0" w:line="240" w:lineRule="auto"/>
        <w:ind w:left="0"/>
        <w:outlineLvl w:val="0"/>
        <w:rPr>
          <w:rFonts w:ascii="Times New Roman" w:eastAsia="Times New Roman" w:hAnsi="Times New Roman"/>
          <w:b/>
          <w:sz w:val="24"/>
          <w:szCs w:val="20"/>
          <w:lang w:eastAsia="cs-CZ"/>
        </w:rPr>
      </w:pPr>
      <w:bookmarkStart w:id="15" w:name="_Toc448302193"/>
      <w:bookmarkStart w:id="16" w:name="_Toc445380614"/>
      <w:r>
        <w:rPr>
          <w:rFonts w:ascii="Times New Roman" w:eastAsia="Times New Roman" w:hAnsi="Times New Roman"/>
          <w:b/>
          <w:sz w:val="24"/>
          <w:szCs w:val="20"/>
          <w:lang w:eastAsia="cs-CZ"/>
        </w:rPr>
        <w:t>Závěr:</w:t>
      </w:r>
      <w:bookmarkEnd w:id="15"/>
      <w:bookmarkEnd w:id="16"/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 </w:t>
      </w:r>
    </w:p>
    <w:p w:rsidR="006D769E" w:rsidRDefault="006D769E" w:rsidP="006D76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D769E" w:rsidRDefault="006D769E" w:rsidP="006D769E">
      <w:pPr>
        <w:spacing w:after="0" w:line="240" w:lineRule="auto"/>
        <w:rPr>
          <w:rFonts w:ascii="Times New Roman" w:eastAsia="Times New Roman" w:hAnsi="Times New Roman"/>
          <w:iCs/>
          <w:sz w:val="24"/>
          <w:szCs w:val="20"/>
          <w:lang w:eastAsia="cs-CZ"/>
        </w:rPr>
      </w:pPr>
      <w:r>
        <w:rPr>
          <w:rFonts w:ascii="Times New Roman" w:eastAsia="Times New Roman" w:hAnsi="Times New Roman"/>
          <w:iCs/>
          <w:sz w:val="24"/>
          <w:szCs w:val="20"/>
          <w:lang w:eastAsia="cs-CZ"/>
        </w:rPr>
        <w:t>Výbor pro evropské záležitosti</w:t>
      </w:r>
    </w:p>
    <w:p w:rsidR="006D769E" w:rsidRDefault="006D769E" w:rsidP="006D769E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0"/>
          <w:lang w:eastAsia="cs-CZ"/>
        </w:rPr>
      </w:pPr>
    </w:p>
    <w:p w:rsidR="001B7CE7" w:rsidRDefault="001B7CE7" w:rsidP="001B7CE7">
      <w:pPr>
        <w:numPr>
          <w:ilvl w:val="0"/>
          <w:numId w:val="33"/>
        </w:numPr>
        <w:spacing w:after="0" w:line="256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pacing w:val="40"/>
          <w:sz w:val="24"/>
          <w:szCs w:val="24"/>
        </w:rPr>
        <w:t>bere na vědomí</w:t>
      </w:r>
      <w:r>
        <w:rPr>
          <w:rFonts w:ascii="Times New Roman" w:eastAsiaTheme="minorHAnsi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ávrh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doporučení Rady o klíčových kompetencích pro celoživotní učení, KOM(2018) 24 v konečném znění, kód Rady 5464/18</w:t>
      </w:r>
      <w:r>
        <w:rPr>
          <w:rFonts w:ascii="Times New Roman" w:eastAsiaTheme="minorHAnsi" w:hAnsi="Times New Roman"/>
          <w:sz w:val="24"/>
          <w:szCs w:val="24"/>
        </w:rPr>
        <w:t xml:space="preserve">; </w:t>
      </w:r>
    </w:p>
    <w:p w:rsidR="001B7CE7" w:rsidRDefault="001B7CE7" w:rsidP="001B7CE7">
      <w:pPr>
        <w:ind w:left="36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1B7CE7" w:rsidRDefault="001B7CE7" w:rsidP="001B7CE7">
      <w:pPr>
        <w:numPr>
          <w:ilvl w:val="0"/>
          <w:numId w:val="33"/>
        </w:numPr>
        <w:spacing w:after="0" w:line="256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Style w:val="rozen"/>
          <w:rFonts w:ascii="Times New Roman" w:hAnsi="Times New Roman"/>
          <w:sz w:val="24"/>
          <w:szCs w:val="24"/>
        </w:rPr>
        <w:lastRenderedPageBreak/>
        <w:t>vítá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důraz, který Evropsk</w:t>
      </w:r>
      <w:r w:rsidR="001207BE">
        <w:rPr>
          <w:rFonts w:ascii="Times New Roman" w:hAnsi="Times New Roman"/>
          <w:color w:val="000000"/>
          <w:sz w:val="24"/>
          <w:szCs w:val="24"/>
          <w:lang w:eastAsia="cs-CZ"/>
        </w:rPr>
        <w:t>á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unie v rámci občanské kompetence klade na pojem zodpovědné občanství, které považuje za pojem nadřazený pojmu aktivní občanství. Jako hlavní cíl občanské kompetence VEZ </w:t>
      </w:r>
      <w:r>
        <w:rPr>
          <w:rStyle w:val="rozen"/>
          <w:rFonts w:ascii="Times New Roman" w:hAnsi="Times New Roman"/>
          <w:sz w:val="24"/>
          <w:szCs w:val="24"/>
        </w:rPr>
        <w:t>doporučuje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používat pojem zodpovědného, nikoli aktivního občanství. Zároveň VEZ</w:t>
      </w:r>
      <w:r>
        <w:rPr>
          <w:rStyle w:val="rozen"/>
        </w:rPr>
        <w:t xml:space="preserve"> </w:t>
      </w:r>
      <w:r>
        <w:rPr>
          <w:rStyle w:val="rozen"/>
          <w:rFonts w:ascii="Times New Roman" w:hAnsi="Times New Roman"/>
          <w:sz w:val="24"/>
          <w:szCs w:val="24"/>
        </w:rPr>
        <w:t>shledává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, že v základním výčtu oblastí, jimž je třeba porozumět pro zajištění plné účasti na občanském a společenském životě, v prvním odstavci textu o občanské kompetenci chybí oblast práva, kterou považujeme pro občanskou kompetenci za stejně klíčovou, jako porozumění sociálním, ekonomickým a politických pojmům a strukturám. Zároveň VEZ</w:t>
      </w:r>
      <w:r>
        <w:rPr>
          <w:rStyle w:val="rozen"/>
        </w:rPr>
        <w:t xml:space="preserve"> </w:t>
      </w:r>
      <w:r>
        <w:rPr>
          <w:rStyle w:val="rozen"/>
          <w:rFonts w:ascii="Times New Roman" w:hAnsi="Times New Roman"/>
          <w:sz w:val="24"/>
          <w:szCs w:val="24"/>
        </w:rPr>
        <w:t>doporučuje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změnit prioritizaci oblastí následujícím způsobem: [porozumění] politickým, právním, sociálním a ekonomickým pojmům a strukturám.  VEZ také </w:t>
      </w:r>
      <w:r>
        <w:rPr>
          <w:rStyle w:val="rozen"/>
          <w:rFonts w:ascii="Times New Roman" w:hAnsi="Times New Roman"/>
          <w:sz w:val="24"/>
          <w:szCs w:val="24"/>
        </w:rPr>
        <w:t>požaduje</w:t>
      </w:r>
      <w:r>
        <w:rPr>
          <w:rFonts w:ascii="Times New Roman" w:hAnsi="Times New Roman"/>
          <w:sz w:val="24"/>
          <w:szCs w:val="24"/>
        </w:rPr>
        <w:t xml:space="preserve">, aby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jako základ pro občanskou kompetenci </w:t>
      </w:r>
      <w:r>
        <w:rPr>
          <w:rFonts w:ascii="Times New Roman" w:hAnsi="Times New Roman"/>
          <w:sz w:val="24"/>
          <w:szCs w:val="24"/>
        </w:rPr>
        <w:t>byla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explicitně uvedena znalost kulturních kořenů Evropy, kterými jsou </w:t>
      </w:r>
      <w:r w:rsidR="001207BE">
        <w:rPr>
          <w:rFonts w:ascii="Times New Roman" w:hAnsi="Times New Roman"/>
          <w:color w:val="000000"/>
          <w:sz w:val="24"/>
          <w:szCs w:val="24"/>
          <w:lang w:eastAsia="cs-CZ"/>
        </w:rPr>
        <w:t xml:space="preserve">mimo jiné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židovsko-křesťanská kultura, řecko-římská tradice demokracie a právního státu, jakož i humanismus</w:t>
      </w:r>
      <w:r w:rsidR="001207BE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a osvícenství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;</w:t>
      </w:r>
    </w:p>
    <w:p w:rsidR="001B7CE7" w:rsidRDefault="001B7CE7" w:rsidP="001B7CE7">
      <w:pPr>
        <w:spacing w:after="0"/>
        <w:ind w:left="281" w:hanging="357"/>
        <w:rPr>
          <w:rFonts w:ascii="Times New Roman" w:eastAsiaTheme="minorHAnsi" w:hAnsi="Times New Roman"/>
          <w:szCs w:val="24"/>
        </w:rPr>
      </w:pPr>
    </w:p>
    <w:p w:rsidR="001B7CE7" w:rsidRDefault="001B7CE7" w:rsidP="001B7CE7">
      <w:pPr>
        <w:numPr>
          <w:ilvl w:val="0"/>
          <w:numId w:val="33"/>
        </w:numPr>
        <w:spacing w:line="256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u kompetence občanské jakož i kompetence v oblasti kulturního povědomí a vyjadřování </w:t>
      </w:r>
      <w:r>
        <w:rPr>
          <w:rStyle w:val="rozen"/>
          <w:rFonts w:ascii="Times New Roman" w:hAnsi="Times New Roman"/>
          <w:sz w:val="24"/>
          <w:szCs w:val="24"/>
        </w:rPr>
        <w:t>požaduje konkretizovat</w:t>
      </w:r>
      <w:r>
        <w:rPr>
          <w:rFonts w:ascii="Times New Roman" w:hAnsi="Times New Roman"/>
          <w:sz w:val="24"/>
          <w:szCs w:val="24"/>
        </w:rPr>
        <w:t xml:space="preserve">, že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"podporou kulturní rozmanitosti" se rozumí podpora rozmanitosti pouze takových kultur, které jednoznačně a plně uznávají základní lidská práva a svobody a nejsou v rozporu s</w:t>
      </w:r>
      <w:r w:rsidR="00E96332">
        <w:rPr>
          <w:rFonts w:ascii="Times New Roman" w:hAnsi="Times New Roman"/>
          <w:color w:val="000000"/>
          <w:sz w:val="24"/>
          <w:szCs w:val="24"/>
          <w:lang w:eastAsia="cs-CZ"/>
        </w:rPr>
        <w:t> právními řády evropských zemí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;</w:t>
      </w:r>
    </w:p>
    <w:p w:rsidR="001B7CE7" w:rsidRDefault="001B7CE7" w:rsidP="001B7CE7">
      <w:pPr>
        <w:numPr>
          <w:ilvl w:val="0"/>
          <w:numId w:val="33"/>
        </w:numPr>
        <w:spacing w:after="0" w:line="254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Style w:val="rozen"/>
          <w:rFonts w:ascii="Times New Roman" w:hAnsi="Times New Roman"/>
          <w:sz w:val="24"/>
          <w:szCs w:val="24"/>
        </w:rPr>
        <w:t>připomíná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="00E96332">
        <w:rPr>
          <w:rFonts w:ascii="Times New Roman" w:eastAsiaTheme="minorHAnsi" w:hAnsi="Times New Roman"/>
          <w:sz w:val="24"/>
          <w:szCs w:val="24"/>
        </w:rPr>
        <w:t xml:space="preserve">  </w:t>
      </w:r>
      <w:r>
        <w:rPr>
          <w:rFonts w:ascii="Times New Roman" w:eastAsiaTheme="minorHAnsi" w:hAnsi="Times New Roman"/>
          <w:sz w:val="24"/>
          <w:szCs w:val="24"/>
        </w:rPr>
        <w:t xml:space="preserve"> že prvotní motivy evropské integrace po 2. světové válce, tj. zajistit mír, stabilitu a zamezit dalším ničivým konfliktům v Evropě, položily základ pro ekonomický a sociální rozvoj Evropy, a měly by být proto zdůrazňovány i v současnosti;</w:t>
      </w:r>
    </w:p>
    <w:p w:rsidR="001B7CE7" w:rsidRDefault="001B7CE7" w:rsidP="001B7CE7">
      <w:pPr>
        <w:ind w:left="36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1B7CE7" w:rsidRDefault="001B7CE7" w:rsidP="001B7CE7">
      <w:pPr>
        <w:numPr>
          <w:ilvl w:val="0"/>
          <w:numId w:val="33"/>
        </w:numPr>
        <w:spacing w:after="0" w:line="256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Style w:val="rozen"/>
          <w:rFonts w:ascii="Times New Roman" w:hAnsi="Times New Roman"/>
          <w:sz w:val="24"/>
          <w:szCs w:val="24"/>
        </w:rPr>
        <w:t>podporuje</w:t>
      </w:r>
      <w:r w:rsidR="00E96332">
        <w:rPr>
          <w:rStyle w:val="rozen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rozvoj jazykové kompetence s důrazem jak na mateřský jazyk, tak i cizí jazyky. Znalost cizích jazyků považuje VEZ za klíčovou kompetenci člověka v době globalizované ekonomiky 21. století. VEZ vyzývá MŠMT, aby věnovalo zvýšenou pozornost jazykovému vzdělávání i s ohledem na skutečnost, že ČR v této kompetenci dlouhodobě zaostává;</w:t>
      </w:r>
    </w:p>
    <w:p w:rsidR="001B7CE7" w:rsidRDefault="001B7CE7" w:rsidP="001B7CE7">
      <w:pPr>
        <w:spacing w:after="0"/>
        <w:ind w:left="281" w:hanging="357"/>
        <w:rPr>
          <w:rFonts w:ascii="Times New Roman" w:eastAsiaTheme="minorHAnsi" w:hAnsi="Times New Roman"/>
          <w:szCs w:val="24"/>
        </w:rPr>
      </w:pPr>
    </w:p>
    <w:p w:rsidR="001B7CE7" w:rsidRDefault="001B7CE7" w:rsidP="001B7CE7">
      <w:pPr>
        <w:numPr>
          <w:ilvl w:val="0"/>
          <w:numId w:val="33"/>
        </w:numPr>
        <w:spacing w:after="0" w:line="256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pacing w:val="40"/>
          <w:sz w:val="24"/>
          <w:szCs w:val="24"/>
        </w:rPr>
        <w:t xml:space="preserve">bere na vědomí </w:t>
      </w:r>
      <w:r w:rsidR="00E96332">
        <w:rPr>
          <w:rFonts w:ascii="Times New Roman" w:eastAsiaTheme="minorHAnsi" w:hAnsi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rámcovou pozici vlády k tomuto dokumentu; </w:t>
      </w:r>
    </w:p>
    <w:p w:rsidR="001B7CE7" w:rsidRDefault="001B7CE7" w:rsidP="001B7CE7">
      <w:pPr>
        <w:ind w:left="35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1B7CE7" w:rsidRDefault="001B7CE7" w:rsidP="001B7CE7">
      <w:pPr>
        <w:numPr>
          <w:ilvl w:val="0"/>
          <w:numId w:val="33"/>
        </w:numPr>
        <w:spacing w:after="0" w:line="256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pacing w:val="40"/>
          <w:sz w:val="24"/>
          <w:szCs w:val="24"/>
        </w:rPr>
        <w:t>upozorňuje</w:t>
      </w:r>
      <w:r>
        <w:rPr>
          <w:rFonts w:ascii="Times New Roman" w:eastAsiaTheme="minorHAnsi" w:hAnsi="Times New Roman"/>
          <w:sz w:val="24"/>
          <w:szCs w:val="24"/>
        </w:rPr>
        <w:t>, že podle Zprávy o České republice 2018 předložené v rámci aktuálního cyklu evropského semestru je jedním z hlavních strukturálních problémů ČR přetrvávající nízká atraktivita učitelského povolání;</w:t>
      </w:r>
    </w:p>
    <w:p w:rsidR="001B7CE7" w:rsidRDefault="001B7CE7" w:rsidP="001B7CE7">
      <w:pPr>
        <w:ind w:left="36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1B7CE7" w:rsidRDefault="001B7CE7" w:rsidP="001B7CE7">
      <w:pPr>
        <w:numPr>
          <w:ilvl w:val="0"/>
          <w:numId w:val="33"/>
        </w:numPr>
        <w:spacing w:after="0" w:line="256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této souvislosti</w:t>
      </w:r>
      <w:r>
        <w:rPr>
          <w:rStyle w:val="rozen"/>
          <w:rFonts w:ascii="Times New Roman" w:hAnsi="Times New Roman"/>
          <w:sz w:val="24"/>
          <w:szCs w:val="24"/>
        </w:rPr>
        <w:t xml:space="preserve"> připomíná</w:t>
      </w:r>
      <w:r>
        <w:rPr>
          <w:rFonts w:ascii="Times New Roman" w:eastAsiaTheme="minorHAnsi" w:hAnsi="Times New Roman"/>
          <w:sz w:val="24"/>
          <w:szCs w:val="24"/>
        </w:rPr>
        <w:t xml:space="preserve"> nezbytnost systematické dlouhodobé podpory pedagogických pracovníků na všech úrovních vzdělávacího systému prostřednictvím zajištění odpovídajícího počátečního a pokračujícího vzdělávání, vhodných pracovních podmínek a odpovídajícího platového ohodnocení;</w:t>
      </w:r>
    </w:p>
    <w:p w:rsidR="001B7CE7" w:rsidRDefault="001B7CE7" w:rsidP="001B7CE7">
      <w:pPr>
        <w:ind w:left="360"/>
        <w:contextualSpacing/>
        <w:rPr>
          <w:rFonts w:ascii="Times New Roman" w:eastAsiaTheme="minorHAnsi" w:hAnsi="Times New Roman"/>
          <w:sz w:val="24"/>
          <w:szCs w:val="24"/>
        </w:rPr>
      </w:pPr>
    </w:p>
    <w:p w:rsidR="001B7CE7" w:rsidRDefault="001B7CE7" w:rsidP="001B7CE7">
      <w:pPr>
        <w:numPr>
          <w:ilvl w:val="0"/>
          <w:numId w:val="33"/>
        </w:numPr>
        <w:spacing w:before="120" w:line="256" w:lineRule="auto"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eastAsiaTheme="minorHAnsi" w:hAnsi="Times New Roman"/>
          <w:b/>
          <w:spacing w:val="40"/>
          <w:sz w:val="24"/>
          <w:szCs w:val="24"/>
        </w:rPr>
        <w:t>usnáší se</w:t>
      </w:r>
      <w:r w:rsidR="00E96332">
        <w:rPr>
          <w:rFonts w:ascii="Times New Roman" w:eastAsiaTheme="minorHAnsi" w:hAnsi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 postoupit tento dokument spolu se svým usnesením a rámcovou pozicí vlády </w:t>
      </w:r>
      <w:r w:rsidRPr="00E96332">
        <w:rPr>
          <w:rFonts w:ascii="Times New Roman" w:eastAsiaTheme="minorHAnsi" w:hAnsi="Times New Roman"/>
          <w:sz w:val="24"/>
          <w:szCs w:val="24"/>
          <w:u w:val="single"/>
        </w:rPr>
        <w:t>pro informaci</w:t>
      </w:r>
      <w:r>
        <w:rPr>
          <w:rFonts w:ascii="Times New Roman" w:eastAsiaTheme="minorHAnsi" w:hAnsi="Times New Roman"/>
          <w:sz w:val="24"/>
          <w:szCs w:val="24"/>
        </w:rPr>
        <w:t xml:space="preserve"> výboru pro vědu, vzdělání, kulturu, mládež a tělovýchovu;</w:t>
      </w:r>
    </w:p>
    <w:p w:rsidR="001B7CE7" w:rsidRDefault="001B7CE7" w:rsidP="001B7CE7">
      <w:pPr>
        <w:spacing w:before="120" w:line="254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1B7CE7" w:rsidRDefault="00E96332" w:rsidP="001B7CE7">
      <w:pPr>
        <w:numPr>
          <w:ilvl w:val="0"/>
          <w:numId w:val="33"/>
        </w:numPr>
        <w:spacing w:before="120" w:after="0" w:line="254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pacing w:val="60"/>
          <w:sz w:val="24"/>
          <w:szCs w:val="20"/>
          <w:lang w:eastAsia="cs-CZ"/>
        </w:rPr>
        <w:t xml:space="preserve">žádá </w:t>
      </w:r>
      <w:r w:rsidR="001B7CE7">
        <w:rPr>
          <w:rFonts w:ascii="Times New Roman" w:eastAsia="Times New Roman" w:hAnsi="Times New Roman"/>
          <w:b/>
          <w:spacing w:val="60"/>
          <w:sz w:val="24"/>
          <w:szCs w:val="20"/>
          <w:lang w:eastAsia="cs-CZ"/>
        </w:rPr>
        <w:t xml:space="preserve">předsedu Poslanecké sněmovny, </w:t>
      </w:r>
      <w:r w:rsidR="001B7CE7">
        <w:rPr>
          <w:rFonts w:ascii="Times New Roman" w:eastAsia="Times New Roman" w:hAnsi="Times New Roman"/>
          <w:sz w:val="24"/>
          <w:szCs w:val="20"/>
          <w:lang w:eastAsia="cs-CZ"/>
        </w:rPr>
        <w:t>aby</w:t>
      </w:r>
      <w:r w:rsidR="001B7CE7">
        <w:rPr>
          <w:rFonts w:ascii="Times New Roman" w:eastAsia="Times New Roman" w:hAnsi="Times New Roman"/>
          <w:snapToGrid w:val="0"/>
          <w:sz w:val="24"/>
          <w:szCs w:val="20"/>
          <w:lang w:eastAsia="cs-CZ"/>
        </w:rPr>
        <w:t xml:space="preserve"> v souladu </w:t>
      </w:r>
      <w:r w:rsidR="001B7CE7">
        <w:rPr>
          <w:rFonts w:ascii="Times New Roman" w:eastAsia="Times New Roman" w:hAnsi="Times New Roman"/>
          <w:snapToGrid w:val="0"/>
          <w:sz w:val="24"/>
          <w:szCs w:val="20"/>
          <w:lang w:eastAsia="cs-CZ"/>
        </w:rPr>
        <w:br/>
        <w:t>s ustanovením § 109a, odst. 3 zákona č. 90/1995 Sb., o jednacím řádu Poslanecké sněmovny</w:t>
      </w:r>
      <w:r w:rsidR="001B7CE7">
        <w:rPr>
          <w:rFonts w:ascii="Times New Roman" w:eastAsia="Times New Roman" w:hAnsi="Times New Roman"/>
          <w:sz w:val="24"/>
          <w:szCs w:val="20"/>
          <w:lang w:eastAsia="cs-CZ"/>
        </w:rPr>
        <w:t xml:space="preserve"> zařadil projednání tohoto</w:t>
      </w:r>
      <w:r w:rsidR="001B7CE7">
        <w:t xml:space="preserve"> </w:t>
      </w:r>
      <w:r w:rsidR="001B7CE7">
        <w:rPr>
          <w:rFonts w:ascii="Times New Roman" w:eastAsia="Times New Roman" w:hAnsi="Times New Roman"/>
          <w:sz w:val="24"/>
          <w:szCs w:val="20"/>
          <w:lang w:eastAsia="cs-CZ"/>
        </w:rPr>
        <w:t xml:space="preserve">návrhu </w:t>
      </w:r>
      <w:r w:rsidR="001B7CE7">
        <w:rPr>
          <w:rFonts w:ascii="Times New Roman" w:eastAsia="Times New Roman" w:hAnsi="Times New Roman"/>
          <w:sz w:val="24"/>
          <w:szCs w:val="20"/>
          <w:lang w:eastAsia="zh-CN" w:bidi="hi-IN"/>
        </w:rPr>
        <w:t>doporučení Rady o klíčových kompetencích pro celoživotní učení, KOM(2018) 24 v konečném znění, kód Rady 5464/18,</w:t>
      </w:r>
      <w:r w:rsidR="001B7CE7">
        <w:rPr>
          <w:rFonts w:ascii="Times New Roman" w:eastAsia="Times New Roman" w:hAnsi="Times New Roman"/>
          <w:sz w:val="24"/>
          <w:szCs w:val="20"/>
          <w:lang w:eastAsia="cs-CZ"/>
        </w:rPr>
        <w:t xml:space="preserve"> na pořad nejbližší schůze Sněmovny</w:t>
      </w:r>
      <w:r w:rsidR="001B7CE7">
        <w:rPr>
          <w:rFonts w:ascii="Times New Roman" w:eastAsiaTheme="minorHAnsi" w:hAnsi="Times New Roman"/>
          <w:sz w:val="24"/>
          <w:szCs w:val="24"/>
        </w:rPr>
        <w:t>;</w:t>
      </w:r>
    </w:p>
    <w:p w:rsidR="001B7CE7" w:rsidRDefault="001B7CE7" w:rsidP="001B7CE7">
      <w:pPr>
        <w:spacing w:after="0"/>
        <w:rPr>
          <w:rFonts w:ascii="Times New Roman" w:eastAsiaTheme="minorHAnsi" w:hAnsi="Times New Roman"/>
          <w:b/>
          <w:spacing w:val="40"/>
          <w:szCs w:val="24"/>
        </w:rPr>
      </w:pPr>
    </w:p>
    <w:p w:rsidR="001B7CE7" w:rsidRDefault="001B7CE7" w:rsidP="001B7CE7">
      <w:pPr>
        <w:numPr>
          <w:ilvl w:val="0"/>
          <w:numId w:val="33"/>
        </w:numPr>
        <w:spacing w:before="120" w:line="254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rozen"/>
          <w:rFonts w:ascii="Times New Roman" w:hAnsi="Times New Roman"/>
          <w:sz w:val="24"/>
          <w:szCs w:val="24"/>
        </w:rPr>
        <w:lastRenderedPageBreak/>
        <w:t>pověřuje</w:t>
      </w:r>
      <w:r w:rsidR="00E96332">
        <w:rPr>
          <w:rStyle w:val="rozen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předsedu výboru pro evropské záležitosti, aby v rámci politického dialogu postoupil toto usnesení předsedovi Evropské komise.</w:t>
      </w:r>
    </w:p>
    <w:p w:rsidR="001B7CE7" w:rsidRDefault="001B7CE7" w:rsidP="001B7CE7">
      <w:pPr>
        <w:rPr>
          <w:rFonts w:ascii="Times New Roman" w:hAnsi="Times New Roman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E96332" w:rsidRDefault="00E96332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p w:rsidR="00DE6630" w:rsidRPr="00106842" w:rsidRDefault="00DE6630" w:rsidP="00DE6630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0F05B1">
        <w:rPr>
          <w:rFonts w:ascii="Times New Roman" w:hAnsi="Times New Roman"/>
          <w:sz w:val="24"/>
        </w:rPr>
        <w:t>Jiří Kobza</w:t>
      </w:r>
      <w:r w:rsidR="007A2560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  <w:t xml:space="preserve">Ondřej Benešík </w:t>
      </w:r>
      <w:r w:rsidR="007A2560">
        <w:rPr>
          <w:rFonts w:ascii="Times New Roman" w:hAnsi="Times New Roman"/>
          <w:sz w:val="24"/>
        </w:rPr>
        <w:t>v. r.</w:t>
      </w:r>
      <w:bookmarkStart w:id="17" w:name="_GoBack"/>
      <w:bookmarkEnd w:id="17"/>
    </w:p>
    <w:p w:rsidR="00DE6630" w:rsidRPr="00106842" w:rsidRDefault="00DE6630" w:rsidP="00DE663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  <w:r>
        <w:rPr>
          <w:rFonts w:ascii="Times New Roman" w:hAnsi="Times New Roman"/>
          <w:sz w:val="24"/>
        </w:rPr>
        <w:t xml:space="preserve"> a p</w:t>
      </w:r>
      <w:r w:rsidRPr="00106842">
        <w:rPr>
          <w:rFonts w:ascii="Times New Roman" w:hAnsi="Times New Roman"/>
          <w:sz w:val="24"/>
        </w:rPr>
        <w:t>ředseda</w:t>
      </w:r>
    </w:p>
    <w:p w:rsidR="00DE6630" w:rsidRDefault="00DE6630" w:rsidP="00D066DF">
      <w:pPr>
        <w:spacing w:after="0" w:line="240" w:lineRule="auto"/>
        <w:rPr>
          <w:rFonts w:ascii="Times New Roman" w:hAnsi="Times New Roman"/>
          <w:sz w:val="24"/>
        </w:rPr>
      </w:pPr>
    </w:p>
    <w:sectPr w:rsidR="00DE6630" w:rsidSect="002017EA"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7B2" w:rsidRDefault="005E57B2" w:rsidP="005E57B2">
      <w:pPr>
        <w:spacing w:after="0" w:line="240" w:lineRule="auto"/>
      </w:pPr>
      <w:r>
        <w:separator/>
      </w:r>
    </w:p>
  </w:endnote>
  <w:endnote w:type="continuationSeparator" w:id="0">
    <w:p w:rsidR="005E57B2" w:rsidRDefault="005E57B2" w:rsidP="005E5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43795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17EA" w:rsidRPr="002017EA" w:rsidRDefault="002017E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2017EA">
          <w:rPr>
            <w:rFonts w:ascii="Times New Roman" w:hAnsi="Times New Roman"/>
            <w:sz w:val="24"/>
            <w:szCs w:val="24"/>
          </w:rPr>
          <w:fldChar w:fldCharType="begin"/>
        </w:r>
        <w:r w:rsidRPr="002017E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017EA">
          <w:rPr>
            <w:rFonts w:ascii="Times New Roman" w:hAnsi="Times New Roman"/>
            <w:sz w:val="24"/>
            <w:szCs w:val="24"/>
          </w:rPr>
          <w:fldChar w:fldCharType="separate"/>
        </w:r>
        <w:r w:rsidR="007A2560">
          <w:rPr>
            <w:rFonts w:ascii="Times New Roman" w:hAnsi="Times New Roman"/>
            <w:noProof/>
            <w:sz w:val="24"/>
            <w:szCs w:val="24"/>
          </w:rPr>
          <w:t>6</w:t>
        </w:r>
        <w:r w:rsidRPr="002017E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017EA" w:rsidRDefault="002017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7B2" w:rsidRDefault="005E57B2" w:rsidP="005E57B2">
      <w:pPr>
        <w:spacing w:after="0" w:line="240" w:lineRule="auto"/>
      </w:pPr>
      <w:r>
        <w:separator/>
      </w:r>
    </w:p>
  </w:footnote>
  <w:footnote w:type="continuationSeparator" w:id="0">
    <w:p w:rsidR="005E57B2" w:rsidRDefault="005E57B2" w:rsidP="005E57B2">
      <w:pPr>
        <w:spacing w:after="0" w:line="240" w:lineRule="auto"/>
      </w:pPr>
      <w:r>
        <w:continuationSeparator/>
      </w:r>
    </w:p>
  </w:footnote>
  <w:footnote w:id="1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KOM(2017) 673 v konečném znění</w:t>
      </w:r>
    </w:p>
  </w:footnote>
  <w:footnote w:id="2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Viz Sdělení Komise o vytvoření evropského pilíře sociálních práv, KOM(2017) 250 v konečném znění.</w:t>
      </w:r>
    </w:p>
  </w:footnote>
  <w:footnote w:id="3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Dostupné </w:t>
      </w:r>
      <w:hyperlink r:id="rId1" w:history="1">
        <w:r w:rsidRPr="003D60D1">
          <w:rPr>
            <w:rStyle w:val="Hypertextovodkaz"/>
            <w:rFonts w:ascii="Times New Roman" w:hAnsi="Times New Roman"/>
          </w:rPr>
          <w:t>zde</w:t>
        </w:r>
      </w:hyperlink>
      <w:r w:rsidRPr="003D60D1">
        <w:rPr>
          <w:rFonts w:ascii="Times New Roman" w:hAnsi="Times New Roman"/>
        </w:rPr>
        <w:t>.</w:t>
      </w:r>
    </w:p>
  </w:footnote>
  <w:footnote w:id="4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Doporučení Evropského parlamentu a Rady ze dne 18. prosince 2006 o klíčových schopnostech pro celoživotní učení, 2006/962/ES</w:t>
      </w:r>
    </w:p>
  </w:footnote>
  <w:footnote w:id="5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Komunikace v mateřském jazyce, komunikace v cizích jazycích, matematická schopnost a základní schopnosti v oblasti vědy a technologií, schopnost práce s digitálními technologiemi, schopnost učit se, sociální a občanské schopnosti, smysl pro iniciativu a podnikavost a kulturní povědomí a vyjádření.</w:t>
      </w:r>
    </w:p>
  </w:footnote>
  <w:footnote w:id="6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Podrobně viz zpráva Eurydice z roku 2012 Developing Key Competences at School in Europe: Challenges and Opportunities for Policy, dostupná z: </w:t>
      </w:r>
      <w:hyperlink r:id="rId2" w:history="1">
        <w:r w:rsidRPr="003D60D1">
          <w:rPr>
            <w:rStyle w:val="Hypertextovodkaz"/>
            <w:rFonts w:ascii="Times New Roman" w:hAnsi="Times New Roman"/>
          </w:rPr>
          <w:t>http://eacea.ec.europa.eu/education/eurydice/documents/thematic_reports/145en.pdf</w:t>
        </w:r>
      </w:hyperlink>
      <w:r w:rsidRPr="003D60D1">
        <w:rPr>
          <w:rFonts w:ascii="Times New Roman" w:hAnsi="Times New Roman"/>
        </w:rPr>
        <w:t xml:space="preserve">. </w:t>
      </w:r>
    </w:p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Fonts w:ascii="Times New Roman" w:hAnsi="Times New Roman"/>
        </w:rPr>
        <w:t xml:space="preserve">Příklady opatření přijatých členskými státy nabízí rovněž evropská síť KeyCoNet zaměřená na podporu používání referenčního rámce ve školním vzdělávání, </w:t>
      </w:r>
      <w:hyperlink r:id="rId3" w:history="1">
        <w:r w:rsidRPr="003D60D1">
          <w:rPr>
            <w:rStyle w:val="Hypertextovodkaz"/>
            <w:rFonts w:ascii="Times New Roman" w:hAnsi="Times New Roman"/>
          </w:rPr>
          <w:t>http://keyconet.eun.org/</w:t>
        </w:r>
      </w:hyperlink>
      <w:r w:rsidRPr="003D60D1">
        <w:rPr>
          <w:rFonts w:ascii="Times New Roman" w:hAnsi="Times New Roman"/>
        </w:rPr>
        <w:t xml:space="preserve">. </w:t>
      </w:r>
    </w:p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Fonts w:ascii="Times New Roman" w:hAnsi="Times New Roman"/>
        </w:rPr>
        <w:t xml:space="preserve">ČR přijala v reakci na doporučení Strategii celoživotního učení na období 2009-2015, která však byla velmi obecná. V roce 2012 pak byla přijata pětiletá Národní strategie podpory základních gramotností v základním vzdělávání, která zahrnovala čtenářskou a matematickou gramotnost, a v roce 2014 Strategie digitálního vzdělávání. Viz </w:t>
      </w:r>
      <w:hyperlink r:id="rId4" w:history="1">
        <w:r w:rsidRPr="003D60D1">
          <w:rPr>
            <w:rStyle w:val="Hypertextovodkaz"/>
            <w:rFonts w:ascii="Times New Roman" w:hAnsi="Times New Roman"/>
          </w:rPr>
          <w:t>http://www.vzdelavani2020.cz/</w:t>
        </w:r>
      </w:hyperlink>
      <w:r w:rsidRPr="003D60D1">
        <w:rPr>
          <w:rFonts w:ascii="Times New Roman" w:hAnsi="Times New Roman"/>
        </w:rPr>
        <w:t xml:space="preserve">.  </w:t>
      </w:r>
    </w:p>
  </w:footnote>
  <w:footnote w:id="7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Program OECD pro mezinárodní hodnocení žáků</w:t>
      </w:r>
    </w:p>
  </w:footnote>
  <w:footnote w:id="8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Program OECD pro mezinárodní hodnocení kompetencí dospělých</w:t>
      </w:r>
    </w:p>
  </w:footnote>
  <w:footnote w:id="9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Podrobně viz Commission staff working document accompanying the document Proposal for a Council Recommendation on key competences for lifelong learning, SWD(2018) 14 final.</w:t>
      </w:r>
    </w:p>
  </w:footnote>
  <w:footnote w:id="10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Tento cíl sleduje např. evropská iniciativa Věda na scéně (</w:t>
      </w:r>
      <w:hyperlink r:id="rId5" w:history="1">
        <w:r w:rsidRPr="003D60D1">
          <w:rPr>
            <w:rStyle w:val="Hypertextovodkaz"/>
            <w:rFonts w:ascii="Times New Roman" w:hAnsi="Times New Roman"/>
          </w:rPr>
          <w:t>http://www.science-on-stage.cz/</w:t>
        </w:r>
      </w:hyperlink>
      <w:r w:rsidRPr="003D60D1">
        <w:rPr>
          <w:rFonts w:ascii="Times New Roman" w:hAnsi="Times New Roman"/>
        </w:rPr>
        <w:t>) zaměřená na sdílení osvědčených postupů ve výuce přírodovědných předmětů mezi učiteli nebo evropská síť národních platforem v oblasti přírodních věd a partnerských organizací EU STEM Coalition (</w:t>
      </w:r>
      <w:hyperlink r:id="rId6" w:history="1">
        <w:r w:rsidRPr="003D60D1">
          <w:rPr>
            <w:rStyle w:val="Hypertextovodkaz"/>
            <w:rFonts w:ascii="Times New Roman" w:hAnsi="Times New Roman"/>
          </w:rPr>
          <w:t>http://www.stemcoalition.eu/</w:t>
        </w:r>
      </w:hyperlink>
      <w:r w:rsidRPr="003D60D1">
        <w:rPr>
          <w:rFonts w:ascii="Times New Roman" w:hAnsi="Times New Roman"/>
        </w:rPr>
        <w:t>), která kromě výměny osvědčených postupů podporuje rozvoj nových strategií výuky STEM (ČR zatím do této sítě není zapojena).</w:t>
      </w:r>
    </w:p>
  </w:footnote>
  <w:footnote w:id="11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Tento bod doporučení reaguje na přijetí Agendy OSN pro udržitelný rozvoj 2030 v září 2015 (cíl 4.7).</w:t>
      </w:r>
    </w:p>
  </w:footnote>
  <w:footnote w:id="12">
    <w:p w:rsidR="003D60D1" w:rsidRPr="003D60D1" w:rsidRDefault="003D60D1" w:rsidP="003D60D1">
      <w:pPr>
        <w:pStyle w:val="Textpoznpodarou"/>
        <w:rPr>
          <w:rFonts w:ascii="Times New Roman" w:hAnsi="Times New Roman"/>
        </w:rPr>
      </w:pPr>
      <w:r w:rsidRPr="003D60D1">
        <w:rPr>
          <w:rStyle w:val="Znakapoznpodarou"/>
          <w:rFonts w:ascii="Times New Roman" w:hAnsi="Times New Roman"/>
        </w:rPr>
        <w:footnoteRef/>
      </w:r>
      <w:r w:rsidRPr="003D60D1">
        <w:rPr>
          <w:rFonts w:ascii="Times New Roman" w:hAnsi="Times New Roman"/>
        </w:rPr>
        <w:t xml:space="preserve"> Jako jsou společný evropský referenční rámec pro jazyky, rámec digitálních kompetencí a rámec kompetencí k podnikavosti.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903F7"/>
    <w:multiLevelType w:val="hybridMultilevel"/>
    <w:tmpl w:val="8F2E4D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43D1327"/>
    <w:multiLevelType w:val="hybridMultilevel"/>
    <w:tmpl w:val="D53AC204"/>
    <w:lvl w:ilvl="0" w:tplc="6EEA76F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DB5570C"/>
    <w:multiLevelType w:val="hybridMultilevel"/>
    <w:tmpl w:val="6EF08F78"/>
    <w:lvl w:ilvl="0" w:tplc="639480E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0F69F5"/>
    <w:multiLevelType w:val="hybridMultilevel"/>
    <w:tmpl w:val="47B0A2F8"/>
    <w:lvl w:ilvl="0" w:tplc="639480E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3441F8"/>
    <w:multiLevelType w:val="hybridMultilevel"/>
    <w:tmpl w:val="28220974"/>
    <w:lvl w:ilvl="0" w:tplc="639480E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B431D6"/>
    <w:multiLevelType w:val="hybridMultilevel"/>
    <w:tmpl w:val="842A9E2A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1B24F5"/>
    <w:multiLevelType w:val="hybridMultilevel"/>
    <w:tmpl w:val="1AE8B374"/>
    <w:lvl w:ilvl="0" w:tplc="6EEA76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533FA"/>
    <w:multiLevelType w:val="hybridMultilevel"/>
    <w:tmpl w:val="8BA4B6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0545B4"/>
    <w:multiLevelType w:val="hybridMultilevel"/>
    <w:tmpl w:val="3C0ACCC0"/>
    <w:lvl w:ilvl="0" w:tplc="639480E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00376BA"/>
    <w:multiLevelType w:val="hybridMultilevel"/>
    <w:tmpl w:val="9C62F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C39D0"/>
    <w:multiLevelType w:val="hybridMultilevel"/>
    <w:tmpl w:val="627ED5AE"/>
    <w:lvl w:ilvl="0" w:tplc="10AC02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6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6"/>
  </w:num>
  <w:num w:numId="19">
    <w:abstractNumId w:val="24"/>
  </w:num>
  <w:num w:numId="20">
    <w:abstractNumId w:val="22"/>
  </w:num>
  <w:num w:numId="21">
    <w:abstractNumId w:val="26"/>
  </w:num>
  <w:num w:numId="22">
    <w:abstractNumId w:val="24"/>
  </w:num>
  <w:num w:numId="23">
    <w:abstractNumId w:val="23"/>
  </w:num>
  <w:num w:numId="24">
    <w:abstractNumId w:val="13"/>
  </w:num>
  <w:num w:numId="25">
    <w:abstractNumId w:val="15"/>
  </w:num>
  <w:num w:numId="26">
    <w:abstractNumId w:val="14"/>
  </w:num>
  <w:num w:numId="27">
    <w:abstractNumId w:val="20"/>
  </w:num>
  <w:num w:numId="28">
    <w:abstractNumId w:val="26"/>
  </w:num>
  <w:num w:numId="29">
    <w:abstractNumId w:val="24"/>
  </w:num>
  <w:num w:numId="30">
    <w:abstractNumId w:val="11"/>
  </w:num>
  <w:num w:numId="31">
    <w:abstractNumId w:val="21"/>
  </w:num>
  <w:num w:numId="32">
    <w:abstractNumId w:val="1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20"/>
    <w:rsid w:val="000476E4"/>
    <w:rsid w:val="000C5278"/>
    <w:rsid w:val="000E3CC6"/>
    <w:rsid w:val="000E730C"/>
    <w:rsid w:val="000F05B1"/>
    <w:rsid w:val="00103C04"/>
    <w:rsid w:val="00106842"/>
    <w:rsid w:val="001207BE"/>
    <w:rsid w:val="00136646"/>
    <w:rsid w:val="001B45F3"/>
    <w:rsid w:val="001B7CE7"/>
    <w:rsid w:val="001E6E20"/>
    <w:rsid w:val="002017EA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A1DF9"/>
    <w:rsid w:val="003D2033"/>
    <w:rsid w:val="003D2883"/>
    <w:rsid w:val="003D60D1"/>
    <w:rsid w:val="005227BF"/>
    <w:rsid w:val="00566A4C"/>
    <w:rsid w:val="00597608"/>
    <w:rsid w:val="005C0CE7"/>
    <w:rsid w:val="005C30D7"/>
    <w:rsid w:val="005E094C"/>
    <w:rsid w:val="005E57B2"/>
    <w:rsid w:val="005F6CAE"/>
    <w:rsid w:val="0061035F"/>
    <w:rsid w:val="00620764"/>
    <w:rsid w:val="00630AC0"/>
    <w:rsid w:val="00656C37"/>
    <w:rsid w:val="006C585F"/>
    <w:rsid w:val="006C5C6C"/>
    <w:rsid w:val="006D769E"/>
    <w:rsid w:val="007A2560"/>
    <w:rsid w:val="007C62DA"/>
    <w:rsid w:val="007D5EE1"/>
    <w:rsid w:val="007E1D0B"/>
    <w:rsid w:val="007E371B"/>
    <w:rsid w:val="00812496"/>
    <w:rsid w:val="00830BFE"/>
    <w:rsid w:val="00893C29"/>
    <w:rsid w:val="008B597C"/>
    <w:rsid w:val="00903269"/>
    <w:rsid w:val="00914E2F"/>
    <w:rsid w:val="00943306"/>
    <w:rsid w:val="00A46CDA"/>
    <w:rsid w:val="00A93982"/>
    <w:rsid w:val="00A94EE4"/>
    <w:rsid w:val="00AA0D27"/>
    <w:rsid w:val="00AD10FC"/>
    <w:rsid w:val="00B13892"/>
    <w:rsid w:val="00B4108A"/>
    <w:rsid w:val="00B53E8D"/>
    <w:rsid w:val="00B715B6"/>
    <w:rsid w:val="00BA00F3"/>
    <w:rsid w:val="00BA0357"/>
    <w:rsid w:val="00C56014"/>
    <w:rsid w:val="00CE7503"/>
    <w:rsid w:val="00D066DF"/>
    <w:rsid w:val="00D46ACA"/>
    <w:rsid w:val="00D76FB3"/>
    <w:rsid w:val="00DC29E4"/>
    <w:rsid w:val="00DE6630"/>
    <w:rsid w:val="00E75EA2"/>
    <w:rsid w:val="00E96332"/>
    <w:rsid w:val="00ED15A8"/>
    <w:rsid w:val="00EF0C30"/>
    <w:rsid w:val="00EF3B15"/>
    <w:rsid w:val="00EF679B"/>
    <w:rsid w:val="00F21CAB"/>
    <w:rsid w:val="00FB7B18"/>
    <w:rsid w:val="00FC4477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026CB-5D64-4419-954A-44FF3EA1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5E57B2"/>
    <w:pPr>
      <w:numPr>
        <w:numId w:val="17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5E57B2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semiHidden/>
    <w:unhideWhenUsed/>
    <w:rsid w:val="005E57B2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57B2"/>
    <w:pPr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57B2"/>
    <w:rPr>
      <w:rFonts w:asciiTheme="majorHAnsi" w:eastAsia="Times New Roman" w:hAnsiTheme="majorHAnsi"/>
    </w:rPr>
  </w:style>
  <w:style w:type="paragraph" w:customStyle="1" w:styleId="PODNZEVPRCE">
    <w:name w:val="PODNÁZEV PRÁCE"/>
    <w:basedOn w:val="Normln"/>
    <w:qFormat/>
    <w:rsid w:val="005E57B2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character" w:styleId="Znakapoznpodarou">
    <w:name w:val="footnote reference"/>
    <w:uiPriority w:val="99"/>
    <w:semiHidden/>
    <w:unhideWhenUsed/>
    <w:rsid w:val="005E57B2"/>
    <w:rPr>
      <w:vertAlign w:val="superscript"/>
    </w:rPr>
  </w:style>
  <w:style w:type="character" w:styleId="Siln">
    <w:name w:val="Strong"/>
    <w:basedOn w:val="Standardnpsmoodstavce"/>
    <w:uiPriority w:val="22"/>
    <w:qFormat/>
    <w:rsid w:val="005E57B2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01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17E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01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17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keyconet.eun.org/" TargetMode="External"/><Relationship Id="rId2" Type="http://schemas.openxmlformats.org/officeDocument/2006/relationships/hyperlink" Target="http://eacea.ec.europa.eu/education/eurydice/documents/thematic_reports/145en.pdf" TargetMode="External"/><Relationship Id="rId1" Type="http://schemas.openxmlformats.org/officeDocument/2006/relationships/hyperlink" Target="http://www.consilium.europa.eu/media/32207/14-final-conclusions-rev1-cs.pdf" TargetMode="External"/><Relationship Id="rId6" Type="http://schemas.openxmlformats.org/officeDocument/2006/relationships/hyperlink" Target="http://www.stemcoalition.eu/" TargetMode="External"/><Relationship Id="rId5" Type="http://schemas.openxmlformats.org/officeDocument/2006/relationships/hyperlink" Target="http://www.science-on-stage.cz/" TargetMode="External"/><Relationship Id="rId4" Type="http://schemas.openxmlformats.org/officeDocument/2006/relationships/hyperlink" Target="http://www.vzdelavani2020.cz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60</TotalTime>
  <Pages>7</Pages>
  <Words>1922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39</cp:revision>
  <dcterms:created xsi:type="dcterms:W3CDTF">2015-09-22T08:40:00Z</dcterms:created>
  <dcterms:modified xsi:type="dcterms:W3CDTF">2018-03-29T10:22:00Z</dcterms:modified>
</cp:coreProperties>
</file>