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FA" w:rsidRPr="002533CB" w:rsidRDefault="00753FFA" w:rsidP="00753FFA">
      <w:pPr>
        <w:rPr>
          <w:smallCaps/>
        </w:rPr>
      </w:pPr>
    </w:p>
    <w:p w:rsidR="00F15E8A" w:rsidRPr="00A94E9A" w:rsidRDefault="00183797" w:rsidP="00A94E9A">
      <w:pPr>
        <w:jc w:val="center"/>
        <w:rPr>
          <w:b/>
          <w:smallCaps/>
          <w:sz w:val="32"/>
          <w:szCs w:val="32"/>
        </w:rPr>
      </w:pPr>
      <w:r w:rsidRPr="00A94E9A">
        <w:rPr>
          <w:b/>
          <w:smallCaps/>
          <w:sz w:val="32"/>
          <w:szCs w:val="32"/>
        </w:rPr>
        <w:t>Závěrečná zpráva z hodnocení dopadu regulace</w:t>
      </w:r>
    </w:p>
    <w:p w:rsidR="002533CB" w:rsidRDefault="002533CB" w:rsidP="00753FFA">
      <w:pPr>
        <w:rPr>
          <w:smallCaps/>
          <w:sz w:val="28"/>
          <w:szCs w:val="28"/>
        </w:rPr>
      </w:pPr>
    </w:p>
    <w:p w:rsidR="006E6D92" w:rsidRPr="0013106C" w:rsidRDefault="006E6D92" w:rsidP="006E6D92">
      <w:pPr>
        <w:tabs>
          <w:tab w:val="left" w:pos="6660"/>
        </w:tabs>
        <w:jc w:val="center"/>
        <w:rPr>
          <w:b/>
          <w:bCs/>
        </w:rPr>
      </w:pPr>
      <w:r w:rsidRPr="0013106C">
        <w:rPr>
          <w:b/>
          <w:bCs/>
        </w:rPr>
        <w:t>SHRNUTÍ ZÁVĚREČNÉ ZPRÁVY RIA</w:t>
      </w:r>
    </w:p>
    <w:tbl>
      <w:tblPr>
        <w:tblW w:w="96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5004"/>
      </w:tblGrid>
      <w:tr w:rsidR="006E6D92" w:rsidRPr="0013106C" w:rsidTr="00F03BA0">
        <w:trPr>
          <w:trHeight w:val="187"/>
          <w:jc w:val="center"/>
        </w:trPr>
        <w:tc>
          <w:tcPr>
            <w:tcW w:w="96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/>
            <w:vAlign w:val="bottom"/>
          </w:tcPr>
          <w:p w:rsidR="006E6D92" w:rsidRPr="003C49E4" w:rsidRDefault="006E6D92" w:rsidP="00F03BA0">
            <w:pPr>
              <w:tabs>
                <w:tab w:val="left" w:pos="6660"/>
              </w:tabs>
              <w:rPr>
                <w:bCs/>
                <w:i/>
                <w:i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>1. Základní identifikační údaje</w:t>
            </w:r>
          </w:p>
        </w:tc>
      </w:tr>
      <w:tr w:rsidR="006E6D92" w:rsidRPr="0013106C" w:rsidTr="00F03BA0">
        <w:trPr>
          <w:trHeight w:val="979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E6D92" w:rsidRPr="003C49E4" w:rsidRDefault="006E6D92" w:rsidP="00F03BA0">
            <w:pPr>
              <w:tabs>
                <w:tab w:val="left" w:pos="6660"/>
              </w:tabs>
              <w:jc w:val="center"/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Název návrhu: </w:t>
            </w:r>
            <w:r w:rsidR="00A40BD6" w:rsidRPr="00A40BD6">
              <w:rPr>
                <w:bCs/>
                <w:sz w:val="22"/>
                <w:szCs w:val="22"/>
              </w:rPr>
              <w:t>Návrh zákona, kterým se mění zákon č. 178/2005 Sb., o zrušení Fondu národního majetku České republiky a o působnosti Ministerstva financí při privatizaci majetku České republiky (zákon o zrušení Fondu národního majetku), ve znění pozdějších předpisů, a některé další související zákony</w:t>
            </w:r>
          </w:p>
        </w:tc>
      </w:tr>
      <w:tr w:rsidR="006E6D92" w:rsidRPr="0013106C" w:rsidTr="00F03BA0">
        <w:trPr>
          <w:trHeight w:val="979"/>
          <w:jc w:val="center"/>
        </w:trPr>
        <w:tc>
          <w:tcPr>
            <w:tcW w:w="46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92" w:rsidRPr="003C49E4" w:rsidRDefault="006E6D92" w:rsidP="00F03BA0">
            <w:pPr>
              <w:tabs>
                <w:tab w:val="left" w:pos="6660"/>
              </w:tabs>
              <w:jc w:val="center"/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Zpracovatel / zástupce předkladatele: </w:t>
            </w:r>
          </w:p>
          <w:p w:rsidR="006E6D92" w:rsidRPr="003C49E4" w:rsidRDefault="006E6D92" w:rsidP="002B7E78">
            <w:pPr>
              <w:tabs>
                <w:tab w:val="left" w:pos="6660"/>
              </w:tabs>
              <w:jc w:val="center"/>
              <w:rPr>
                <w:bCs/>
                <w:sz w:val="22"/>
                <w:szCs w:val="22"/>
                <w:u w:val="single"/>
              </w:rPr>
            </w:pP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FORMTEXT </w:instrText>
            </w:r>
            <w:r w:rsidRPr="003C49E4">
              <w:rPr>
                <w:bCs/>
                <w:sz w:val="22"/>
                <w:szCs w:val="22"/>
              </w:rPr>
            </w:r>
            <w:r w:rsidRPr="003C49E4">
              <w:rPr>
                <w:bCs/>
                <w:sz w:val="22"/>
                <w:szCs w:val="22"/>
              </w:rPr>
              <w:fldChar w:fldCharType="separate"/>
            </w:r>
            <w:r>
              <w:rPr>
                <w:rFonts w:eastAsia="MS Gothic"/>
                <w:bCs/>
                <w:noProof/>
                <w:sz w:val="22"/>
                <w:szCs w:val="22"/>
              </w:rPr>
              <w:t>Ministerstvo financí České republ</w:t>
            </w:r>
            <w:r w:rsidR="002B7E78">
              <w:rPr>
                <w:rFonts w:eastAsia="MS Gothic"/>
                <w:bCs/>
                <w:noProof/>
                <w:sz w:val="22"/>
                <w:szCs w:val="22"/>
              </w:rPr>
              <w:t>i</w:t>
            </w:r>
            <w:r>
              <w:rPr>
                <w:rFonts w:eastAsia="MS Gothic"/>
                <w:bCs/>
                <w:noProof/>
                <w:sz w:val="22"/>
                <w:szCs w:val="22"/>
              </w:rPr>
              <w:t>ky</w:t>
            </w:r>
            <w:r w:rsidRPr="003C49E4">
              <w:rPr>
                <w:bCs/>
                <w:sz w:val="22"/>
                <w:szCs w:val="22"/>
              </w:rPr>
              <w:fldChar w:fldCharType="end"/>
            </w:r>
            <w:r w:rsidRPr="003C49E4">
              <w:rPr>
                <w:bCs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E6D92" w:rsidRPr="003C49E4" w:rsidRDefault="006E6D92" w:rsidP="00F03BA0">
            <w:pPr>
              <w:tabs>
                <w:tab w:val="left" w:pos="6660"/>
              </w:tabs>
              <w:jc w:val="center"/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>Předpokládaný termín nabytí účinnosti, v případě dělené účinnosti rozveďte</w:t>
            </w:r>
          </w:p>
          <w:p w:rsidR="006E6D92" w:rsidRPr="003C49E4" w:rsidRDefault="006E6D92" w:rsidP="00F03BA0">
            <w:pPr>
              <w:tabs>
                <w:tab w:val="left" w:pos="6660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C49E4">
              <w:rPr>
                <w:bCs/>
                <w:i/>
                <w:iCs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vyplňte měsíc"/>
                  </w:textInput>
                </w:ffData>
              </w:fldChar>
            </w:r>
            <w:r w:rsidRPr="003C49E4">
              <w:rPr>
                <w:bCs/>
                <w:i/>
                <w:iCs/>
                <w:sz w:val="22"/>
                <w:szCs w:val="22"/>
              </w:rPr>
              <w:instrText xml:space="preserve"> FORMTEXT </w:instrText>
            </w:r>
            <w:r w:rsidRPr="003C49E4">
              <w:rPr>
                <w:bCs/>
                <w:i/>
                <w:iCs/>
                <w:sz w:val="22"/>
                <w:szCs w:val="22"/>
              </w:rPr>
            </w:r>
            <w:r w:rsidRPr="003C49E4">
              <w:rPr>
                <w:bCs/>
                <w:i/>
                <w:iCs/>
                <w:sz w:val="22"/>
                <w:szCs w:val="22"/>
              </w:rPr>
              <w:fldChar w:fldCharType="separate"/>
            </w:r>
            <w:proofErr w:type="gramStart"/>
            <w:r>
              <w:rPr>
                <w:bCs/>
                <w:i/>
                <w:iCs/>
                <w:noProof/>
                <w:sz w:val="22"/>
                <w:szCs w:val="22"/>
              </w:rPr>
              <w:t>leden</w:t>
            </w:r>
            <w:r w:rsidRPr="003C49E4">
              <w:rPr>
                <w:bCs/>
                <w:i/>
                <w:iCs/>
                <w:sz w:val="22"/>
                <w:szCs w:val="22"/>
              </w:rPr>
              <w:fldChar w:fldCharType="end"/>
            </w:r>
            <w:r w:rsidRPr="003C49E4">
              <w:rPr>
                <w:i/>
                <w:iCs/>
                <w:sz w:val="22"/>
                <w:szCs w:val="22"/>
              </w:rPr>
              <w:t>.</w:t>
            </w:r>
            <w:r w:rsidRPr="003C49E4">
              <w:rPr>
                <w:i/>
                <w:iCs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vyplňte rok"/>
                  </w:textInput>
                </w:ffData>
              </w:fldChar>
            </w:r>
            <w:r w:rsidRPr="003C49E4">
              <w:rPr>
                <w:i/>
                <w:iCs/>
                <w:sz w:val="22"/>
                <w:szCs w:val="22"/>
              </w:rPr>
              <w:instrText xml:space="preserve"> FORMTEXT </w:instrText>
            </w:r>
            <w:r w:rsidRPr="003C49E4">
              <w:rPr>
                <w:i/>
                <w:iCs/>
                <w:sz w:val="22"/>
                <w:szCs w:val="22"/>
              </w:rPr>
            </w:r>
            <w:r w:rsidRPr="003C49E4">
              <w:rPr>
                <w:i/>
                <w:iCs/>
                <w:sz w:val="22"/>
                <w:szCs w:val="22"/>
              </w:rPr>
              <w:fldChar w:fldCharType="separate"/>
            </w:r>
            <w:r>
              <w:rPr>
                <w:i/>
                <w:iCs/>
                <w:noProof/>
                <w:sz w:val="22"/>
                <w:szCs w:val="22"/>
              </w:rPr>
              <w:t>2019</w:t>
            </w:r>
            <w:proofErr w:type="gramEnd"/>
            <w:r w:rsidRPr="003C49E4">
              <w:rPr>
                <w:i/>
                <w:iCs/>
                <w:sz w:val="22"/>
                <w:szCs w:val="22"/>
              </w:rPr>
              <w:fldChar w:fldCharType="end"/>
            </w:r>
          </w:p>
          <w:p w:rsidR="006E6D92" w:rsidRPr="003C49E4" w:rsidRDefault="006E6D92" w:rsidP="00F03BA0">
            <w:pPr>
              <w:tabs>
                <w:tab w:val="left" w:pos="6660"/>
              </w:tabs>
              <w:jc w:val="center"/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FORMTEXT </w:instrText>
            </w:r>
            <w:r w:rsidRPr="003C49E4">
              <w:rPr>
                <w:bCs/>
                <w:sz w:val="22"/>
                <w:szCs w:val="22"/>
              </w:rPr>
            </w:r>
            <w:r w:rsidRPr="003C49E4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rFonts w:eastAsia="MS Gothic"/>
                <w:bCs/>
                <w:noProof/>
                <w:sz w:val="22"/>
                <w:szCs w:val="22"/>
              </w:rPr>
              <w:t> </w:t>
            </w:r>
            <w:r w:rsidRPr="003C49E4">
              <w:rPr>
                <w:rFonts w:eastAsia="MS Gothic"/>
                <w:bCs/>
                <w:noProof/>
                <w:sz w:val="22"/>
                <w:szCs w:val="22"/>
              </w:rPr>
              <w:t> </w:t>
            </w:r>
            <w:r w:rsidRPr="003C49E4">
              <w:rPr>
                <w:rFonts w:eastAsia="MS Gothic"/>
                <w:bCs/>
                <w:noProof/>
                <w:sz w:val="22"/>
                <w:szCs w:val="22"/>
              </w:rPr>
              <w:t> </w:t>
            </w:r>
            <w:r w:rsidRPr="003C49E4">
              <w:rPr>
                <w:rFonts w:eastAsia="MS Gothic"/>
                <w:bCs/>
                <w:noProof/>
                <w:sz w:val="22"/>
                <w:szCs w:val="22"/>
              </w:rPr>
              <w:t> </w:t>
            </w:r>
            <w:r w:rsidRPr="003C49E4">
              <w:rPr>
                <w:rFonts w:eastAsia="MS Gothic"/>
                <w:bCs/>
                <w:noProof/>
                <w:sz w:val="22"/>
                <w:szCs w:val="22"/>
              </w:rPr>
              <w:t> </w:t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80"/>
          <w:jc w:val="center"/>
        </w:trPr>
        <w:tc>
          <w:tcPr>
            <w:tcW w:w="964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E6D92" w:rsidRPr="003C49E4" w:rsidRDefault="006E6D92" w:rsidP="00F03BA0">
            <w:pPr>
              <w:tabs>
                <w:tab w:val="left" w:pos="6660"/>
              </w:tabs>
              <w:spacing w:before="100" w:beforeAutospacing="1"/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Implementace práva EU: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  <w:r w:rsidRPr="003C49E4">
              <w:rPr>
                <w:sz w:val="22"/>
                <w:szCs w:val="22"/>
              </w:rPr>
              <w:t>; (p</w:t>
            </w:r>
            <w:r w:rsidRPr="003C49E4">
              <w:rPr>
                <w:bCs/>
                <w:sz w:val="22"/>
                <w:szCs w:val="22"/>
              </w:rPr>
              <w:t>okud zvolíte Ano):</w:t>
            </w:r>
          </w:p>
          <w:p w:rsidR="006E6D92" w:rsidRPr="003C49E4" w:rsidRDefault="006E6D92" w:rsidP="00F03BA0">
            <w:pPr>
              <w:tabs>
                <w:tab w:val="left" w:pos="6660"/>
              </w:tabs>
              <w:rPr>
                <w:i/>
                <w:i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- uveďte termín stanovený pro implementaci: </w:t>
            </w:r>
            <w:r w:rsidR="002B7E78">
              <w:rPr>
                <w:bCs/>
                <w:i/>
                <w:iCs/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2B7E78">
              <w:rPr>
                <w:bCs/>
                <w:i/>
                <w:iCs/>
                <w:sz w:val="22"/>
                <w:szCs w:val="22"/>
              </w:rPr>
              <w:instrText xml:space="preserve"> </w:instrText>
            </w:r>
            <w:bookmarkStart w:id="0" w:name="Text37"/>
            <w:r w:rsidR="002B7E78">
              <w:rPr>
                <w:bCs/>
                <w:i/>
                <w:iCs/>
                <w:sz w:val="22"/>
                <w:szCs w:val="22"/>
              </w:rPr>
              <w:instrText xml:space="preserve">FORMTEXT </w:instrText>
            </w:r>
            <w:r w:rsidR="002B7E78">
              <w:rPr>
                <w:bCs/>
                <w:i/>
                <w:iCs/>
                <w:sz w:val="22"/>
                <w:szCs w:val="22"/>
              </w:rPr>
            </w:r>
            <w:r w:rsidR="002B7E78">
              <w:rPr>
                <w:bCs/>
                <w:i/>
                <w:iCs/>
                <w:sz w:val="22"/>
                <w:szCs w:val="22"/>
              </w:rPr>
              <w:fldChar w:fldCharType="separate"/>
            </w:r>
            <w:r w:rsidR="002B7E78">
              <w:rPr>
                <w:bCs/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bCs/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bCs/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bCs/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bCs/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bCs/>
                <w:i/>
                <w:iCs/>
                <w:sz w:val="22"/>
                <w:szCs w:val="22"/>
              </w:rPr>
              <w:fldChar w:fldCharType="end"/>
            </w:r>
            <w:bookmarkEnd w:id="0"/>
            <w:r w:rsidRPr="003C49E4">
              <w:rPr>
                <w:i/>
                <w:iCs/>
                <w:sz w:val="22"/>
                <w:szCs w:val="22"/>
              </w:rPr>
              <w:t>.</w:t>
            </w:r>
            <w:r w:rsidR="002B7E78">
              <w:rPr>
                <w:i/>
                <w:iCs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2B7E78">
              <w:rPr>
                <w:i/>
                <w:iCs/>
                <w:sz w:val="22"/>
                <w:szCs w:val="22"/>
              </w:rPr>
              <w:instrText xml:space="preserve"> </w:instrText>
            </w:r>
            <w:bookmarkStart w:id="1" w:name="Text36"/>
            <w:r w:rsidR="002B7E78">
              <w:rPr>
                <w:i/>
                <w:iCs/>
                <w:sz w:val="22"/>
                <w:szCs w:val="22"/>
              </w:rPr>
              <w:instrText xml:space="preserve">FORMTEXT </w:instrText>
            </w:r>
            <w:r w:rsidR="002B7E78">
              <w:rPr>
                <w:i/>
                <w:iCs/>
                <w:sz w:val="22"/>
                <w:szCs w:val="22"/>
              </w:rPr>
            </w:r>
            <w:r w:rsidR="002B7E78">
              <w:rPr>
                <w:i/>
                <w:iCs/>
                <w:sz w:val="22"/>
                <w:szCs w:val="22"/>
              </w:rPr>
              <w:fldChar w:fldCharType="separate"/>
            </w:r>
            <w:r w:rsidR="002B7E78">
              <w:rPr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i/>
                <w:iCs/>
                <w:noProof/>
                <w:sz w:val="22"/>
                <w:szCs w:val="22"/>
              </w:rPr>
              <w:t> </w:t>
            </w:r>
            <w:r w:rsidR="002B7E78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</w:p>
          <w:p w:rsidR="006E6D92" w:rsidRPr="003C49E4" w:rsidRDefault="006E6D92" w:rsidP="00F03BA0">
            <w:pPr>
              <w:tabs>
                <w:tab w:val="left" w:pos="6660"/>
              </w:tabs>
              <w:rPr>
                <w:i/>
                <w:iCs/>
                <w:sz w:val="22"/>
                <w:szCs w:val="22"/>
                <w:u w:val="single"/>
              </w:rPr>
            </w:pPr>
            <w:r w:rsidRPr="003C49E4">
              <w:rPr>
                <w:bCs/>
                <w:sz w:val="22"/>
                <w:szCs w:val="22"/>
              </w:rPr>
              <w:t xml:space="preserve">- uveďte, zda jde návrh nad rámec požadavků stanovených předpisem EU?: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6660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2. Cíl návrhu zákona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E162D8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sz w:val="22"/>
                <w:szCs w:val="22"/>
              </w:rPr>
              <w:t>Cílem návrhu je přizpůsobení zákona novým skutečnostem</w:t>
            </w:r>
            <w:r w:rsidR="002B7E78">
              <w:rPr>
                <w:bCs/>
                <w:sz w:val="22"/>
                <w:szCs w:val="22"/>
              </w:rPr>
              <w:t>,</w:t>
            </w:r>
            <w:r w:rsidRPr="00B416BA">
              <w:rPr>
                <w:bCs/>
                <w:sz w:val="22"/>
                <w:szCs w:val="22"/>
              </w:rPr>
              <w:t xml:space="preserve"> resp. odstranění některých výdajových titulů, které na základě rozhodnutí vlády pozbyly </w:t>
            </w:r>
            <w:r w:rsidR="00E162D8">
              <w:rPr>
                <w:bCs/>
                <w:sz w:val="22"/>
                <w:szCs w:val="22"/>
              </w:rPr>
              <w:t>aktuálnosti</w:t>
            </w:r>
            <w:r w:rsidRPr="00B416BA">
              <w:rPr>
                <w:bCs/>
                <w:sz w:val="22"/>
                <w:szCs w:val="22"/>
              </w:rPr>
              <w:t>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 </w:t>
            </w:r>
            <w:r w:rsidRPr="003C49E4">
              <w:rPr>
                <w:sz w:val="22"/>
                <w:szCs w:val="22"/>
              </w:rPr>
              <w:t>Agregované</w:t>
            </w:r>
            <w:r w:rsidRPr="003C49E4">
              <w:rPr>
                <w:bCs/>
                <w:sz w:val="22"/>
                <w:szCs w:val="22"/>
              </w:rPr>
              <w:t xml:space="preserve"> dopady návrhu zákona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647716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3.1 Dopady na státní rozpočet a ostatní veřejné rozpočty: </w:t>
            </w:r>
            <w:r w:rsidR="00647716">
              <w:rPr>
                <w:bCs/>
                <w:sz w:val="22"/>
                <w:szCs w:val="22"/>
              </w:rPr>
              <w:t>Ano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82129" w:rsidRDefault="00582129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Navrhovaná úprava má dopady na státní rozpočet a to jak pozitivní, tak negativní</w:t>
            </w:r>
            <w:r w:rsidR="00FC11B4">
              <w:rPr>
                <w:bCs/>
                <w:i/>
                <w:sz w:val="22"/>
                <w:szCs w:val="22"/>
              </w:rPr>
              <w:t>.</w:t>
            </w:r>
          </w:p>
          <w:p w:rsidR="00582129" w:rsidRPr="00F64199" w:rsidRDefault="00582129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  <w:u w:val="single"/>
              </w:rPr>
            </w:pPr>
            <w:r w:rsidRPr="00F64199">
              <w:rPr>
                <w:bCs/>
                <w:i/>
                <w:sz w:val="22"/>
                <w:szCs w:val="22"/>
                <w:u w:val="single"/>
              </w:rPr>
              <w:t>Pozitivní dopad:</w:t>
            </w:r>
          </w:p>
          <w:p w:rsidR="00582129" w:rsidRDefault="00582129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Uvolněním</w:t>
            </w:r>
            <w:r w:rsidR="00FC11B4">
              <w:rPr>
                <w:bCs/>
                <w:i/>
                <w:sz w:val="22"/>
                <w:szCs w:val="22"/>
              </w:rPr>
              <w:t>§ 5 odst. 3, písm. c), bod 5 bude umožněn převod</w:t>
            </w:r>
            <w:r>
              <w:rPr>
                <w:bCs/>
                <w:i/>
                <w:sz w:val="22"/>
                <w:szCs w:val="22"/>
              </w:rPr>
              <w:t xml:space="preserve"> ze zvláštních účtů privatizace do státního rozpočtu</w:t>
            </w:r>
            <w:r w:rsidR="00FC11B4">
              <w:rPr>
                <w:bCs/>
                <w:i/>
                <w:sz w:val="22"/>
                <w:szCs w:val="22"/>
              </w:rPr>
              <w:t xml:space="preserve"> a tím umožnění</w:t>
            </w:r>
            <w:r>
              <w:rPr>
                <w:bCs/>
                <w:i/>
                <w:sz w:val="22"/>
                <w:szCs w:val="22"/>
              </w:rPr>
              <w:t xml:space="preserve"> každoroční</w:t>
            </w:r>
            <w:r w:rsidR="00FC11B4">
              <w:rPr>
                <w:bCs/>
                <w:i/>
                <w:sz w:val="22"/>
                <w:szCs w:val="22"/>
              </w:rPr>
              <w:t>ho</w:t>
            </w:r>
            <w:r>
              <w:rPr>
                <w:bCs/>
                <w:i/>
                <w:sz w:val="22"/>
                <w:szCs w:val="22"/>
              </w:rPr>
              <w:t xml:space="preserve"> využití prostředků privatizačně nevyužitých pro vládní účely</w:t>
            </w:r>
            <w:r w:rsidR="00FC11B4">
              <w:rPr>
                <w:bCs/>
                <w:i/>
                <w:sz w:val="22"/>
                <w:szCs w:val="22"/>
              </w:rPr>
              <w:t xml:space="preserve">. Současná právní úprava určuje takové podmínky, u nichž </w:t>
            </w:r>
            <w:r w:rsidR="00647716">
              <w:rPr>
                <w:bCs/>
                <w:i/>
                <w:sz w:val="22"/>
                <w:szCs w:val="22"/>
              </w:rPr>
              <w:t xml:space="preserve">v současné době </w:t>
            </w:r>
            <w:r w:rsidR="00FC11B4">
              <w:rPr>
                <w:bCs/>
                <w:i/>
                <w:sz w:val="22"/>
                <w:szCs w:val="22"/>
              </w:rPr>
              <w:t>není předpokládáno, že mohou být splněny.</w:t>
            </w:r>
          </w:p>
          <w:p w:rsidR="00FC11B4" w:rsidRDefault="00FC11B4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Průměrný převod do státního rozpočtu dle § 5 odst. 3, písm. c) bod 5 je v posledních letech cca 10 mld. Kč/ rok.</w:t>
            </w:r>
          </w:p>
          <w:p w:rsidR="00FC11B4" w:rsidRDefault="00FC11B4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</w:rPr>
            </w:pPr>
          </w:p>
          <w:p w:rsidR="00FC11B4" w:rsidRPr="00F64199" w:rsidRDefault="00FC11B4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  <w:u w:val="single"/>
              </w:rPr>
            </w:pPr>
            <w:r w:rsidRPr="00F64199">
              <w:rPr>
                <w:bCs/>
                <w:i/>
                <w:sz w:val="22"/>
                <w:szCs w:val="22"/>
                <w:u w:val="single"/>
              </w:rPr>
              <w:t>Negativní dopady:</w:t>
            </w:r>
          </w:p>
          <w:p w:rsidR="00FC11B4" w:rsidRDefault="00FC11B4" w:rsidP="00F03BA0">
            <w:pPr>
              <w:tabs>
                <w:tab w:val="left" w:pos="1037"/>
              </w:tabs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Novela zákona umožňuje v § 4 využití prostředků státního rozpočtu na privatizační účely v případě, že na zvláštní</w:t>
            </w:r>
            <w:r w:rsidR="00622410">
              <w:rPr>
                <w:bCs/>
                <w:i/>
                <w:sz w:val="22"/>
                <w:szCs w:val="22"/>
              </w:rPr>
              <w:t>m</w:t>
            </w:r>
            <w:r>
              <w:rPr>
                <w:bCs/>
                <w:i/>
                <w:sz w:val="22"/>
                <w:szCs w:val="22"/>
              </w:rPr>
              <w:t xml:space="preserve"> účt</w:t>
            </w:r>
            <w:r w:rsidR="00622410">
              <w:rPr>
                <w:bCs/>
                <w:i/>
                <w:sz w:val="22"/>
                <w:szCs w:val="22"/>
              </w:rPr>
              <w:t>u</w:t>
            </w:r>
            <w:r>
              <w:rPr>
                <w:bCs/>
                <w:i/>
                <w:sz w:val="22"/>
                <w:szCs w:val="22"/>
              </w:rPr>
              <w:t xml:space="preserve"> nebude dostatek finančních prostředků pro plnění § 5, odst. 3 zákona. Jelikož je ale předpoklad, že se toto ustanovení bude využívat jen v neočekávaných, krajně naléhavých přípa</w:t>
            </w:r>
            <w:bookmarkStart w:id="2" w:name="_GoBack"/>
            <w:bookmarkEnd w:id="2"/>
            <w:r>
              <w:rPr>
                <w:bCs/>
                <w:i/>
                <w:sz w:val="22"/>
                <w:szCs w:val="22"/>
              </w:rPr>
              <w:t xml:space="preserve">dech, kdy nebude již žádná jiná možnost financování, je vyčíslení dopadu nemožné. Výše bude </w:t>
            </w:r>
            <w:r w:rsidR="007D19D7">
              <w:rPr>
                <w:bCs/>
                <w:i/>
                <w:sz w:val="22"/>
                <w:szCs w:val="22"/>
              </w:rPr>
              <w:t xml:space="preserve">značně </w:t>
            </w:r>
            <w:r w:rsidR="00F268E0">
              <w:rPr>
                <w:bCs/>
                <w:i/>
                <w:sz w:val="22"/>
                <w:szCs w:val="22"/>
              </w:rPr>
              <w:t>záviset</w:t>
            </w:r>
            <w:r w:rsidR="003D6989">
              <w:rPr>
                <w:bCs/>
                <w:i/>
                <w:sz w:val="22"/>
                <w:szCs w:val="22"/>
              </w:rPr>
              <w:t xml:space="preserve"> na </w:t>
            </w:r>
            <w:r w:rsidR="00622410">
              <w:rPr>
                <w:bCs/>
                <w:i/>
                <w:sz w:val="22"/>
                <w:szCs w:val="22"/>
              </w:rPr>
              <w:t>výši příjmů</w:t>
            </w:r>
            <w:r w:rsidR="003D6989">
              <w:rPr>
                <w:bCs/>
                <w:i/>
                <w:sz w:val="22"/>
                <w:szCs w:val="22"/>
              </w:rPr>
              <w:t xml:space="preserve"> zvláštního účtu, tj.</w:t>
            </w:r>
            <w:r w:rsidR="00622410">
              <w:rPr>
                <w:bCs/>
                <w:i/>
                <w:sz w:val="22"/>
                <w:szCs w:val="22"/>
              </w:rPr>
              <w:t xml:space="preserve"> </w:t>
            </w:r>
            <w:r w:rsidR="003D6989" w:rsidRPr="003D6989">
              <w:rPr>
                <w:bCs/>
                <w:i/>
                <w:sz w:val="22"/>
                <w:szCs w:val="22"/>
              </w:rPr>
              <w:t>výnos</w:t>
            </w:r>
            <w:r w:rsidR="003D6989">
              <w:rPr>
                <w:bCs/>
                <w:i/>
                <w:sz w:val="22"/>
                <w:szCs w:val="22"/>
              </w:rPr>
              <w:t>y</w:t>
            </w:r>
            <w:r w:rsidR="003D6989" w:rsidRPr="003D6989">
              <w:rPr>
                <w:bCs/>
                <w:i/>
                <w:sz w:val="22"/>
                <w:szCs w:val="22"/>
              </w:rPr>
              <w:t xml:space="preserve"> z prodeje </w:t>
            </w:r>
            <w:r w:rsidR="003D6989">
              <w:rPr>
                <w:bCs/>
                <w:i/>
                <w:sz w:val="22"/>
                <w:szCs w:val="22"/>
              </w:rPr>
              <w:t>privatizovaného</w:t>
            </w:r>
            <w:r w:rsidR="003D6989" w:rsidRPr="003D6989">
              <w:rPr>
                <w:bCs/>
                <w:i/>
                <w:sz w:val="22"/>
                <w:szCs w:val="22"/>
              </w:rPr>
              <w:t xml:space="preserve"> majetku a zisk z účasti státu v obchodních společnostech</w:t>
            </w:r>
            <w:r w:rsidR="00E054AA">
              <w:rPr>
                <w:bCs/>
                <w:i/>
                <w:sz w:val="22"/>
                <w:szCs w:val="22"/>
              </w:rPr>
              <w:t>,</w:t>
            </w:r>
            <w:r w:rsidR="003D6989">
              <w:rPr>
                <w:bCs/>
                <w:i/>
                <w:sz w:val="22"/>
                <w:szCs w:val="22"/>
              </w:rPr>
              <w:t xml:space="preserve"> a</w:t>
            </w:r>
            <w:r>
              <w:rPr>
                <w:bCs/>
                <w:i/>
                <w:sz w:val="22"/>
                <w:szCs w:val="22"/>
              </w:rPr>
              <w:t xml:space="preserve"> charakteru</w:t>
            </w:r>
            <w:r w:rsidR="007D19D7">
              <w:rPr>
                <w:bCs/>
                <w:i/>
                <w:sz w:val="22"/>
                <w:szCs w:val="22"/>
              </w:rPr>
              <w:t xml:space="preserve"> </w:t>
            </w:r>
            <w:r w:rsidR="00136FDC">
              <w:rPr>
                <w:bCs/>
                <w:i/>
                <w:sz w:val="22"/>
                <w:szCs w:val="22"/>
              </w:rPr>
              <w:t>a výši</w:t>
            </w:r>
            <w:r>
              <w:rPr>
                <w:bCs/>
                <w:i/>
                <w:sz w:val="22"/>
                <w:szCs w:val="22"/>
              </w:rPr>
              <w:t xml:space="preserve"> výdaj</w:t>
            </w:r>
            <w:r w:rsidR="00622410">
              <w:rPr>
                <w:bCs/>
                <w:i/>
                <w:sz w:val="22"/>
                <w:szCs w:val="22"/>
              </w:rPr>
              <w:t>ů</w:t>
            </w:r>
            <w:r>
              <w:rPr>
                <w:bCs/>
                <w:i/>
                <w:sz w:val="22"/>
                <w:szCs w:val="22"/>
              </w:rPr>
              <w:t>.</w:t>
            </w:r>
          </w:p>
          <w:p w:rsidR="006E6D92" w:rsidRPr="003C49E4" w:rsidRDefault="00582129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3.2 Dopady na mezinárodní konkurenceschopnost ČR: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F03BA0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F03BA0">
              <w:rPr>
                <w:bCs/>
                <w:i/>
                <w:sz w:val="22"/>
                <w:szCs w:val="22"/>
              </w:rPr>
              <w:t>Navrhovaná právní úprava nemá dopad na konkurenceschopnost ČR.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3.3 Dopady na podnikatelské prostředí: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  <w:r w:rsidRPr="003C49E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9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F03BA0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F03BA0">
              <w:rPr>
                <w:bCs/>
                <w:i/>
                <w:sz w:val="22"/>
                <w:szCs w:val="22"/>
              </w:rPr>
              <w:t>Navrhovaná právní úprava nemá dopad na podnikatelské prostřední.</w:t>
            </w:r>
            <w:r w:rsidR="006E6D92" w:rsidRPr="003C49E4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3.4 Dopady na územní samosprávné celky (obce, kraje):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  <w:r w:rsidRPr="003C49E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E6D92" w:rsidRPr="0013106C" w:rsidDel="007D15F9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Del="007D15F9" w:rsidRDefault="00F03BA0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F03BA0">
              <w:rPr>
                <w:bCs/>
                <w:i/>
                <w:sz w:val="22"/>
                <w:szCs w:val="22"/>
              </w:rPr>
              <w:t>Navrhovaná pr</w:t>
            </w:r>
            <w:r w:rsidR="00B416BA">
              <w:rPr>
                <w:bCs/>
                <w:i/>
                <w:sz w:val="22"/>
                <w:szCs w:val="22"/>
              </w:rPr>
              <w:t>ávní úprava nemá dopad na územní</w:t>
            </w:r>
            <w:r w:rsidRPr="00F03BA0">
              <w:rPr>
                <w:bCs/>
                <w:i/>
                <w:sz w:val="22"/>
                <w:szCs w:val="22"/>
              </w:rPr>
              <w:t xml:space="preserve"> samosprávné celky.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  <w:tab w:val="left" w:pos="3970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3.5 Sociální dopady: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  <w:r w:rsidRPr="003C49E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>Navrhovaná právní úprava nemá sociální dopady.</w:t>
            </w:r>
            <w:r w:rsidR="006E6D92" w:rsidRPr="003C49E4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3.6 Dopady na spotřebitele: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B416BA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 xml:space="preserve">Navrhovaná právní úprava nemá </w:t>
            </w:r>
            <w:r>
              <w:rPr>
                <w:bCs/>
                <w:i/>
                <w:sz w:val="22"/>
                <w:szCs w:val="22"/>
              </w:rPr>
              <w:t>dopady na spotřebitele</w:t>
            </w:r>
            <w:r w:rsidR="002B7E78">
              <w:rPr>
                <w:bCs/>
                <w:i/>
                <w:sz w:val="22"/>
                <w:szCs w:val="22"/>
              </w:rPr>
              <w:t>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3.7 Dopady na životní prostředí: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  <w:r w:rsidRPr="003C49E4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5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>Navrhovaná právní úprava nemá dopady na životní prostředí.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sz w:val="22"/>
                <w:szCs w:val="22"/>
              </w:rPr>
              <w:lastRenderedPageBreak/>
              <w:t>3.8 Dopady ve vztahu k zákazu diskriminace a ve vztahu k rovnosti žen a mužů</w:t>
            </w:r>
            <w:r w:rsidRPr="003C49E4">
              <w:rPr>
                <w:bCs/>
                <w:sz w:val="22"/>
                <w:szCs w:val="22"/>
              </w:rPr>
              <w:t xml:space="preserve">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>Navrhovaná právní úprava nemá dopady ve vztahu k zákazu diskriminace a ve vztahu rovnosti žen a mužů.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3.9 Dopady na výkon státní statistické služby: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>Navrhovaná právní úprava nemá dopady na výkon státní statistické služby.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3.10 Korupční rizika: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E162D8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 xml:space="preserve">Navrhovaná právní úprava </w:t>
            </w:r>
            <w:r w:rsidR="002B7E78">
              <w:rPr>
                <w:bCs/>
                <w:i/>
                <w:sz w:val="22"/>
                <w:szCs w:val="22"/>
              </w:rPr>
              <w:t>nepřináší</w:t>
            </w:r>
            <w:r w:rsidR="002B7E78" w:rsidRPr="00B416BA">
              <w:rPr>
                <w:bCs/>
                <w:i/>
                <w:sz w:val="22"/>
                <w:szCs w:val="22"/>
              </w:rPr>
              <w:t xml:space="preserve"> </w:t>
            </w:r>
            <w:r w:rsidRPr="00B416BA">
              <w:rPr>
                <w:bCs/>
                <w:i/>
                <w:sz w:val="22"/>
                <w:szCs w:val="22"/>
              </w:rPr>
              <w:t>korupční rizika.</w:t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6E6D92" w:rsidRPr="003C49E4" w:rsidRDefault="006E6D92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3C49E4">
              <w:rPr>
                <w:bCs/>
                <w:sz w:val="22"/>
                <w:szCs w:val="22"/>
              </w:rPr>
              <w:t xml:space="preserve">3.11 Dopady na bezpečnost nebo obranu státu: </w:t>
            </w:r>
            <w:r w:rsidRPr="003C49E4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Vyberte Ano / Ne"/>
                    <w:listEntry w:val="Ano"/>
                    <w:listEntry w:val="Ne"/>
                  </w:ddList>
                </w:ffData>
              </w:fldChar>
            </w:r>
            <w:r w:rsidRPr="003C49E4">
              <w:rPr>
                <w:bCs/>
                <w:sz w:val="22"/>
                <w:szCs w:val="22"/>
              </w:rPr>
              <w:instrText xml:space="preserve"> FORMDROPDOWN </w:instrText>
            </w:r>
            <w:r w:rsidR="00E054AA">
              <w:rPr>
                <w:bCs/>
                <w:sz w:val="22"/>
                <w:szCs w:val="22"/>
              </w:rPr>
            </w:r>
            <w:r w:rsidR="00E054AA">
              <w:rPr>
                <w:bCs/>
                <w:sz w:val="22"/>
                <w:szCs w:val="22"/>
              </w:rPr>
              <w:fldChar w:fldCharType="separate"/>
            </w:r>
            <w:r w:rsidRPr="003C49E4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E6D92" w:rsidRPr="0013106C" w:rsidTr="00F03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1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6D92" w:rsidRPr="003C49E4" w:rsidRDefault="00B416BA" w:rsidP="00F03BA0">
            <w:pPr>
              <w:tabs>
                <w:tab w:val="left" w:pos="1037"/>
              </w:tabs>
              <w:rPr>
                <w:bCs/>
                <w:sz w:val="22"/>
                <w:szCs w:val="22"/>
              </w:rPr>
            </w:pPr>
            <w:r w:rsidRPr="00B416BA">
              <w:rPr>
                <w:bCs/>
                <w:i/>
                <w:sz w:val="22"/>
                <w:szCs w:val="22"/>
              </w:rPr>
              <w:t>Navrhovaná právní úprava nemá dopad n</w:t>
            </w:r>
            <w:r>
              <w:rPr>
                <w:bCs/>
                <w:i/>
                <w:sz w:val="22"/>
                <w:szCs w:val="22"/>
              </w:rPr>
              <w:t>a bezpečnost nebo obranu státu.</w:t>
            </w:r>
          </w:p>
        </w:tc>
      </w:tr>
    </w:tbl>
    <w:p w:rsidR="006E6D92" w:rsidRPr="0013106C" w:rsidRDefault="006E6D92" w:rsidP="006E6D92">
      <w:pPr>
        <w:rPr>
          <w:b/>
          <w:u w:val="single"/>
        </w:rPr>
      </w:pPr>
    </w:p>
    <w:p w:rsidR="00F15E8A" w:rsidRDefault="00F15E8A" w:rsidP="00753FFA"/>
    <w:p w:rsidR="007D19D7" w:rsidRDefault="007D19D7">
      <w:pPr>
        <w:spacing w:after="200" w:line="276" w:lineRule="auto"/>
        <w:jc w:val="left"/>
      </w:pPr>
      <w:r>
        <w:br w:type="page"/>
      </w:r>
    </w:p>
    <w:p w:rsidR="007D19D7" w:rsidRDefault="007D19D7" w:rsidP="00753FFA"/>
    <w:p w:rsidR="002B7D45" w:rsidRDefault="002B7D45" w:rsidP="00D8582D">
      <w:pPr>
        <w:pStyle w:val="Nadpis1"/>
        <w:numPr>
          <w:ilvl w:val="0"/>
          <w:numId w:val="10"/>
        </w:numPr>
      </w:pPr>
      <w:r>
        <w:t xml:space="preserve">Důvod </w:t>
      </w:r>
      <w:r w:rsidRPr="00A357A0">
        <w:t>předložení</w:t>
      </w:r>
      <w:r>
        <w:t xml:space="preserve"> a cíle</w:t>
      </w:r>
    </w:p>
    <w:p w:rsidR="002B7D45" w:rsidRDefault="002B7D45" w:rsidP="00753FFA"/>
    <w:p w:rsidR="00753FFA" w:rsidRDefault="00DB5FF1" w:rsidP="00A357A0">
      <w:pPr>
        <w:pStyle w:val="Nadpis2"/>
      </w:pPr>
      <w:r>
        <w:t>Název</w:t>
      </w:r>
    </w:p>
    <w:p w:rsidR="00753FFA" w:rsidRDefault="00753FFA" w:rsidP="00753FFA"/>
    <w:p w:rsidR="005C34E0" w:rsidRDefault="00D14041" w:rsidP="00753FFA">
      <w:r>
        <w:t xml:space="preserve">Návrh </w:t>
      </w:r>
      <w:r w:rsidR="00753FFA" w:rsidRPr="00753FFA">
        <w:t>zákona</w:t>
      </w:r>
      <w:r>
        <w:t>, kterým se mění zákon</w:t>
      </w:r>
      <w:r w:rsidR="00753FFA" w:rsidRPr="00753FFA">
        <w:t xml:space="preserve"> č. 178/2005 Sb.,</w:t>
      </w:r>
      <w:r w:rsidR="00251C1F">
        <w:t xml:space="preserve"> </w:t>
      </w:r>
      <w:r w:rsidR="00753FFA" w:rsidRPr="00753FFA">
        <w:t>o zrušení Fondu národního majetku České republiky a o působnosti Ministerstva financí při privatizaci majetku České republiky (zákon o zrušení Fondu národního majetku)</w:t>
      </w:r>
      <w:r w:rsidR="00183202">
        <w:t>,</w:t>
      </w:r>
      <w:r w:rsidR="00753FFA" w:rsidRPr="00753FFA">
        <w:t xml:space="preserve"> ve znění pozdějších předpisů</w:t>
      </w:r>
      <w:r w:rsidR="00183202">
        <w:t xml:space="preserve"> (</w:t>
      </w:r>
      <w:r w:rsidR="00183202" w:rsidRPr="00AD2D7E">
        <w:rPr>
          <w:b/>
        </w:rPr>
        <w:t>d</w:t>
      </w:r>
      <w:r w:rsidR="005C34E0" w:rsidRPr="00AD2D7E">
        <w:rPr>
          <w:b/>
        </w:rPr>
        <w:t>ále</w:t>
      </w:r>
      <w:r w:rsidR="00183202" w:rsidRPr="00AD2D7E">
        <w:rPr>
          <w:b/>
        </w:rPr>
        <w:t xml:space="preserve"> </w:t>
      </w:r>
      <w:r w:rsidR="00183202" w:rsidRPr="00AD2D7E">
        <w:t>v této závěrečné zprávě</w:t>
      </w:r>
      <w:r w:rsidR="00EB0579">
        <w:rPr>
          <w:b/>
        </w:rPr>
        <w:t xml:space="preserve"> také</w:t>
      </w:r>
      <w:r w:rsidR="00183202" w:rsidRPr="00AD2D7E">
        <w:rPr>
          <w:b/>
        </w:rPr>
        <w:t xml:space="preserve"> „zákon č. 178/2005 Sb.</w:t>
      </w:r>
      <w:r w:rsidR="00183202">
        <w:t>“).</w:t>
      </w:r>
    </w:p>
    <w:p w:rsidR="00F22608" w:rsidRPr="005573F1" w:rsidRDefault="00F22608" w:rsidP="00F22608">
      <w:pPr>
        <w:rPr>
          <w:color w:val="FF0000"/>
        </w:rPr>
      </w:pPr>
    </w:p>
    <w:p w:rsidR="00F22608" w:rsidRDefault="006574E4" w:rsidP="00172B7F">
      <w:pPr>
        <w:pStyle w:val="Nadpis2"/>
      </w:pPr>
      <w:r>
        <w:t>Definice problému</w:t>
      </w:r>
    </w:p>
    <w:p w:rsidR="00A6042B" w:rsidRDefault="00A6042B" w:rsidP="00A6042B"/>
    <w:p w:rsidR="00A6042B" w:rsidRDefault="00A6042B" w:rsidP="00A6042B">
      <w:r>
        <w:t>V usnesení vlády č. 61</w:t>
      </w:r>
      <w:r w:rsidR="000E49FA">
        <w:t>0 ze dne 4. září 2017 byl v článku</w:t>
      </w:r>
      <w:r>
        <w:t xml:space="preserve"> III. odst. 3 písm. b) zadán úkol ministru financí provést revizi zákona č. 178/2005 Sb.</w:t>
      </w:r>
      <w:r w:rsidR="002B7E78">
        <w:t>, a to</w:t>
      </w:r>
      <w:r>
        <w:t xml:space="preserve"> v rozsahu podle materiálu s názvem „Koncepce stabilizace finančního stavu zvláštních účtů privatizace“, který vláda tímto usnesením schválila.</w:t>
      </w:r>
    </w:p>
    <w:p w:rsidR="00A6042B" w:rsidRDefault="00A6042B" w:rsidP="00A6042B"/>
    <w:p w:rsidR="00A6042B" w:rsidRDefault="00A6042B" w:rsidP="00A6042B"/>
    <w:p w:rsidR="00A6042B" w:rsidRDefault="00A6042B" w:rsidP="002B7D45">
      <w:pPr>
        <w:pStyle w:val="Nadpis3"/>
      </w:pPr>
      <w:r>
        <w:t>Základní náhled do problematiky</w:t>
      </w:r>
    </w:p>
    <w:p w:rsidR="00A6042B" w:rsidRPr="00A6042B" w:rsidRDefault="00A6042B" w:rsidP="00A6042B">
      <w:pPr>
        <w:rPr>
          <w:rFonts w:cs="Times New Roman"/>
          <w:sz w:val="22"/>
          <w:szCs w:val="22"/>
        </w:rPr>
      </w:pPr>
    </w:p>
    <w:p w:rsidR="00A6042B" w:rsidRPr="00A6042B" w:rsidRDefault="00A6042B" w:rsidP="00A6042B">
      <w:pPr>
        <w:rPr>
          <w:rFonts w:cs="Times New Roman"/>
        </w:rPr>
      </w:pPr>
      <w:r w:rsidRPr="00A6042B">
        <w:rPr>
          <w:rFonts w:cs="Times New Roman"/>
        </w:rPr>
        <w:t xml:space="preserve">Od 1. 1. 2006 byl </w:t>
      </w:r>
      <w:r w:rsidR="00B7524B">
        <w:rPr>
          <w:rFonts w:cs="Times New Roman"/>
        </w:rPr>
        <w:t>po</w:t>
      </w:r>
      <w:r w:rsidRPr="00A6042B">
        <w:rPr>
          <w:rFonts w:cs="Times New Roman"/>
        </w:rPr>
        <w:t>dle zákona č. 178/2005 Sb</w:t>
      </w:r>
      <w:r w:rsidRPr="007A20C5">
        <w:rPr>
          <w:rFonts w:cs="Times New Roman"/>
        </w:rPr>
        <w:t>., o zrušení Fondu národního majetku České republiky a o působnosti Ministerstva financí při privatizaci majetku České republiky (zákon o zrušení Fondu národního majetku)</w:t>
      </w:r>
      <w:r w:rsidR="00E162D8">
        <w:rPr>
          <w:rFonts w:cs="Times New Roman"/>
        </w:rPr>
        <w:t>,</w:t>
      </w:r>
      <w:r w:rsidRPr="007A20C5">
        <w:rPr>
          <w:rFonts w:cs="Times New Roman"/>
        </w:rPr>
        <w:t xml:space="preserve"> zrušen Fond nár</w:t>
      </w:r>
      <w:r w:rsidR="00EB0579">
        <w:rPr>
          <w:rFonts w:cs="Times New Roman"/>
        </w:rPr>
        <w:t>odního majetku</w:t>
      </w:r>
      <w:r w:rsidRPr="00A6042B">
        <w:rPr>
          <w:rFonts w:cs="Times New Roman"/>
          <w:i/>
        </w:rPr>
        <w:t xml:space="preserve">. </w:t>
      </w:r>
      <w:r w:rsidRPr="00A6042B">
        <w:rPr>
          <w:rFonts w:cs="Times New Roman"/>
        </w:rPr>
        <w:t xml:space="preserve">Dle tohoto zákona přešla veškerá působnost Fondu národního majetku na stát </w:t>
      </w:r>
      <w:r w:rsidR="00B7524B">
        <w:rPr>
          <w:rFonts w:cs="Times New Roman"/>
        </w:rPr>
        <w:t>–</w:t>
      </w:r>
      <w:r w:rsidRPr="00A6042B">
        <w:rPr>
          <w:rFonts w:cs="Times New Roman"/>
        </w:rPr>
        <w:t xml:space="preserve"> Ministerstvo financí České republiky</w:t>
      </w:r>
      <w:r w:rsidR="00B7524B">
        <w:rPr>
          <w:rFonts w:cs="Times New Roman"/>
        </w:rPr>
        <w:t>,</w:t>
      </w:r>
      <w:r w:rsidRPr="00A6042B">
        <w:rPr>
          <w:rFonts w:cs="Times New Roman"/>
        </w:rPr>
        <w:t xml:space="preserve"> a to včetně oprávnění hospodařit s majetkem Fondu národního majetku. </w:t>
      </w:r>
    </w:p>
    <w:p w:rsidR="00A6042B" w:rsidRPr="00A6042B" w:rsidRDefault="00A6042B" w:rsidP="00A6042B">
      <w:pPr>
        <w:rPr>
          <w:rFonts w:cs="Times New Roman"/>
        </w:rPr>
      </w:pPr>
    </w:p>
    <w:p w:rsidR="00A6042B" w:rsidRPr="00A6042B" w:rsidRDefault="00A6042B" w:rsidP="00A6042B">
      <w:pPr>
        <w:rPr>
          <w:rFonts w:cs="Times New Roman"/>
        </w:rPr>
      </w:pPr>
      <w:r w:rsidRPr="00A6042B">
        <w:rPr>
          <w:rFonts w:cs="Times New Roman"/>
        </w:rPr>
        <w:t xml:space="preserve">Ministerstvo financí České republiky </w:t>
      </w:r>
      <w:r w:rsidR="00B7524B">
        <w:rPr>
          <w:rFonts w:cs="Times New Roman"/>
        </w:rPr>
        <w:t>po</w:t>
      </w:r>
      <w:r w:rsidRPr="00A6042B">
        <w:rPr>
          <w:rFonts w:cs="Times New Roman"/>
        </w:rPr>
        <w:t xml:space="preserve">dle § 4 tohoto zákona vede </w:t>
      </w:r>
      <w:r w:rsidRPr="00A6042B">
        <w:rPr>
          <w:rFonts w:cs="Times New Roman"/>
          <w:b/>
        </w:rPr>
        <w:t>na zvláštních účtech</w:t>
      </w:r>
      <w:r w:rsidR="0063680E">
        <w:rPr>
          <w:rFonts w:cs="Times New Roman"/>
          <w:b/>
        </w:rPr>
        <w:t xml:space="preserve"> </w:t>
      </w:r>
      <w:r w:rsidR="00EB0579">
        <w:rPr>
          <w:rFonts w:cs="Times New Roman"/>
          <w:b/>
        </w:rPr>
        <w:t>privatizace</w:t>
      </w:r>
      <w:r w:rsidRPr="00A6042B">
        <w:rPr>
          <w:rFonts w:cs="Times New Roman"/>
          <w:b/>
        </w:rPr>
        <w:t xml:space="preserve"> (známé také jako </w:t>
      </w:r>
      <w:r w:rsidR="00B7524B">
        <w:rPr>
          <w:rFonts w:cs="Times New Roman"/>
          <w:b/>
        </w:rPr>
        <w:t>„</w:t>
      </w:r>
      <w:r w:rsidR="00872DA7">
        <w:rPr>
          <w:rFonts w:cs="Times New Roman"/>
          <w:b/>
        </w:rPr>
        <w:t>zvláštní účty</w:t>
      </w:r>
      <w:r w:rsidR="00EB0579">
        <w:rPr>
          <w:rFonts w:cs="Times New Roman"/>
          <w:b/>
        </w:rPr>
        <w:t xml:space="preserve"> Ministerstva financí</w:t>
      </w:r>
      <w:r w:rsidRPr="00A6042B">
        <w:rPr>
          <w:rFonts w:cs="Times New Roman"/>
          <w:b/>
        </w:rPr>
        <w:t xml:space="preserve"> pro správu prostředků po zaniklém FNM“)</w:t>
      </w:r>
      <w:r w:rsidRPr="00A6042B">
        <w:rPr>
          <w:rFonts w:cs="Times New Roman"/>
        </w:rPr>
        <w:t xml:space="preserve"> finanční prostředky Fondu národního majetku a finanční prostředky z výnosu z prodeje privatizovaného majetku a ze zisku z účastí státu na obchodních společnostech. Prostředky jsou podřízeny souhrnnému účtu a nejsou součástí státního rozpočtu.  Ministerstvo financí dále </w:t>
      </w:r>
      <w:r w:rsidR="00B7524B">
        <w:rPr>
          <w:rFonts w:cs="Times New Roman"/>
        </w:rPr>
        <w:t>po</w:t>
      </w:r>
      <w:r w:rsidRPr="00A6042B">
        <w:rPr>
          <w:rFonts w:cs="Times New Roman"/>
        </w:rPr>
        <w:t xml:space="preserve">dle § 5 odst. </w:t>
      </w:r>
      <w:r w:rsidR="00B7524B">
        <w:rPr>
          <w:rFonts w:cs="Times New Roman"/>
        </w:rPr>
        <w:t>2</w:t>
      </w:r>
      <w:r w:rsidRPr="00A6042B">
        <w:rPr>
          <w:rFonts w:cs="Times New Roman"/>
        </w:rPr>
        <w:t xml:space="preserve"> výše uvedeného zákona vede </w:t>
      </w:r>
      <w:r w:rsidRPr="00A6042B">
        <w:rPr>
          <w:rFonts w:cs="Times New Roman"/>
          <w:b/>
        </w:rPr>
        <w:t>zvláštní evidenci</w:t>
      </w:r>
      <w:r w:rsidRPr="00A6042B">
        <w:rPr>
          <w:rFonts w:cs="Times New Roman"/>
        </w:rPr>
        <w:t xml:space="preserve"> o majetku, se kterým mu přísluší hospodařit a na který je vydáno rozhodnutí o privatizaci.</w:t>
      </w:r>
    </w:p>
    <w:p w:rsidR="00A6042B" w:rsidRPr="00A6042B" w:rsidRDefault="00A6042B" w:rsidP="00A6042B">
      <w:pPr>
        <w:rPr>
          <w:rFonts w:cs="Times New Roman"/>
        </w:rPr>
      </w:pPr>
    </w:p>
    <w:p w:rsidR="00A6042B" w:rsidRPr="00A6042B" w:rsidRDefault="00A6042B" w:rsidP="00A6042B">
      <w:pPr>
        <w:rPr>
          <w:rFonts w:cs="Times New Roman"/>
        </w:rPr>
      </w:pPr>
      <w:r w:rsidRPr="00A6042B">
        <w:rPr>
          <w:rFonts w:cs="Times New Roman"/>
        </w:rPr>
        <w:t xml:space="preserve">V účetní evidenci Ministerstva financí byl pro tento účel vytvořen tzv. </w:t>
      </w:r>
      <w:r w:rsidRPr="00A6042B">
        <w:rPr>
          <w:rFonts w:cs="Times New Roman"/>
          <w:b/>
        </w:rPr>
        <w:t>Fond privatizace</w:t>
      </w:r>
      <w:r w:rsidRPr="00A6042B">
        <w:rPr>
          <w:rFonts w:cs="Times New Roman"/>
        </w:rPr>
        <w:t>.</w:t>
      </w:r>
    </w:p>
    <w:p w:rsidR="00A6042B" w:rsidRPr="00A6042B" w:rsidRDefault="00A6042B" w:rsidP="00A6042B">
      <w:pPr>
        <w:rPr>
          <w:rFonts w:cs="Times New Roman"/>
        </w:rPr>
      </w:pPr>
    </w:p>
    <w:p w:rsidR="002F2BF9" w:rsidRDefault="00A6042B" w:rsidP="00A6042B">
      <w:pPr>
        <w:rPr>
          <w:rFonts w:cs="Times New Roman"/>
        </w:rPr>
      </w:pPr>
      <w:r w:rsidRPr="00A6042B">
        <w:rPr>
          <w:rFonts w:cs="Times New Roman"/>
        </w:rPr>
        <w:t>Fond privatizace aktuálně soustřeďuje především finanční příjmy z privatizace (tj. z prodejů majetku) podle zákona č. 92/1991 Sb.</w:t>
      </w:r>
      <w:r w:rsidR="00E61212">
        <w:rPr>
          <w:rFonts w:cs="Times New Roman"/>
        </w:rPr>
        <w:t xml:space="preserve">, </w:t>
      </w:r>
      <w:r w:rsidR="00E61212" w:rsidRPr="007F6941">
        <w:rPr>
          <w:rFonts w:cs="Times New Roman"/>
        </w:rPr>
        <w:t xml:space="preserve">o podmínkách převodu majetku státu na jiné osoby, </w:t>
      </w:r>
      <w:r w:rsidR="00E61212">
        <w:rPr>
          <w:rFonts w:cs="Times New Roman"/>
        </w:rPr>
        <w:t>ve znění pozdějších předpisů</w:t>
      </w:r>
      <w:r w:rsidR="003E000A">
        <w:rPr>
          <w:rFonts w:cs="Times New Roman"/>
        </w:rPr>
        <w:t xml:space="preserve"> (</w:t>
      </w:r>
      <w:r w:rsidR="00EB0579">
        <w:rPr>
          <w:rFonts w:cs="Times New Roman"/>
          <w:b/>
        </w:rPr>
        <w:t>dále také</w:t>
      </w:r>
      <w:r w:rsidR="000E49FA" w:rsidRPr="000E49FA">
        <w:rPr>
          <w:rFonts w:cs="Times New Roman"/>
          <w:b/>
        </w:rPr>
        <w:t xml:space="preserve"> z</w:t>
      </w:r>
      <w:r w:rsidR="008B2B45" w:rsidRPr="000E49FA">
        <w:rPr>
          <w:rFonts w:cs="Times New Roman"/>
          <w:b/>
        </w:rPr>
        <w:t>ákon č</w:t>
      </w:r>
      <w:r w:rsidR="008B2B45" w:rsidRPr="00D54D92">
        <w:rPr>
          <w:rFonts w:cs="Times New Roman"/>
          <w:b/>
        </w:rPr>
        <w:t xml:space="preserve">. 92/1991 </w:t>
      </w:r>
      <w:proofErr w:type="gramStart"/>
      <w:r w:rsidR="008B2B45" w:rsidRPr="00D54D92">
        <w:rPr>
          <w:rFonts w:cs="Times New Roman"/>
          <w:b/>
        </w:rPr>
        <w:t xml:space="preserve">Sb.) </w:t>
      </w:r>
      <w:r w:rsidRPr="00D54D92">
        <w:rPr>
          <w:rFonts w:cs="Times New Roman"/>
          <w:b/>
        </w:rPr>
        <w:t>(tzv.</w:t>
      </w:r>
      <w:proofErr w:type="gramEnd"/>
      <w:r w:rsidRPr="00D54D92">
        <w:rPr>
          <w:rFonts w:cs="Times New Roman"/>
          <w:b/>
        </w:rPr>
        <w:t xml:space="preserve"> </w:t>
      </w:r>
      <w:r w:rsidR="00E61212" w:rsidRPr="00D54D92">
        <w:rPr>
          <w:rFonts w:cs="Times New Roman"/>
          <w:b/>
        </w:rPr>
        <w:t>„</w:t>
      </w:r>
      <w:r w:rsidRPr="00D54D92">
        <w:rPr>
          <w:rFonts w:cs="Times New Roman"/>
          <w:b/>
        </w:rPr>
        <w:t>Velká privatizace</w:t>
      </w:r>
      <w:r w:rsidR="00E61212" w:rsidRPr="00D54D92">
        <w:rPr>
          <w:rFonts w:cs="Times New Roman"/>
          <w:b/>
        </w:rPr>
        <w:t>“</w:t>
      </w:r>
      <w:r w:rsidRPr="00D54D92">
        <w:rPr>
          <w:rFonts w:cs="Times New Roman"/>
          <w:b/>
        </w:rPr>
        <w:t>)</w:t>
      </w:r>
      <w:r w:rsidR="00047D93">
        <w:rPr>
          <w:rFonts w:cs="Times New Roman"/>
          <w:b/>
        </w:rPr>
        <w:t>,</w:t>
      </w:r>
      <w:r w:rsidRPr="00D54D92">
        <w:rPr>
          <w:rFonts w:cs="Times New Roman"/>
          <w:b/>
        </w:rPr>
        <w:t xml:space="preserve"> </w:t>
      </w:r>
      <w:r w:rsidR="00782139" w:rsidRPr="00D54D92">
        <w:rPr>
          <w:rFonts w:cs="Times New Roman"/>
          <w:b/>
        </w:rPr>
        <w:br/>
      </w:r>
      <w:r w:rsidRPr="00A6042B">
        <w:rPr>
          <w:rFonts w:cs="Times New Roman"/>
        </w:rPr>
        <w:t>a zákona č. 427/1990 Sb</w:t>
      </w:r>
      <w:r w:rsidRPr="007F6941">
        <w:rPr>
          <w:rFonts w:cs="Times New Roman"/>
        </w:rPr>
        <w:t>.</w:t>
      </w:r>
      <w:r w:rsidR="002F2BF9" w:rsidRPr="007F6941">
        <w:rPr>
          <w:rFonts w:cs="Times New Roman"/>
        </w:rPr>
        <w:t>,</w:t>
      </w:r>
      <w:r w:rsidR="002F2BF9" w:rsidRPr="007F6941">
        <w:t xml:space="preserve"> </w:t>
      </w:r>
      <w:r w:rsidR="002F2BF9" w:rsidRPr="007F6941">
        <w:rPr>
          <w:rFonts w:cs="Times New Roman"/>
        </w:rPr>
        <w:t>o převodech vlastnictví státu k některým věcem na jiné právnické nebo fyzické osoby</w:t>
      </w:r>
      <w:r w:rsidR="00E565BF" w:rsidRPr="007F6941">
        <w:rPr>
          <w:rFonts w:cs="Times New Roman"/>
        </w:rPr>
        <w:t>,</w:t>
      </w:r>
      <w:r w:rsidR="00E565BF">
        <w:rPr>
          <w:rFonts w:cs="Times New Roman"/>
        </w:rPr>
        <w:t xml:space="preserve"> ve znění </w:t>
      </w:r>
      <w:r w:rsidR="00172B7F">
        <w:rPr>
          <w:rFonts w:cs="Times New Roman"/>
        </w:rPr>
        <w:t>pozdějších</w:t>
      </w:r>
      <w:r w:rsidR="00E565BF">
        <w:rPr>
          <w:rFonts w:cs="Times New Roman"/>
        </w:rPr>
        <w:t xml:space="preserve"> př</w:t>
      </w:r>
      <w:r w:rsidR="00A357A0">
        <w:rPr>
          <w:rFonts w:cs="Times New Roman"/>
        </w:rPr>
        <w:t>edpisů</w:t>
      </w:r>
      <w:r w:rsidR="003E000A">
        <w:rPr>
          <w:rFonts w:cs="Times New Roman"/>
        </w:rPr>
        <w:t xml:space="preserve"> </w:t>
      </w:r>
      <w:r w:rsidR="00EB0579">
        <w:rPr>
          <w:rFonts w:cs="Times New Roman"/>
          <w:b/>
        </w:rPr>
        <w:t>(dále také</w:t>
      </w:r>
      <w:r w:rsidR="003E000A" w:rsidRPr="00D54D92">
        <w:rPr>
          <w:rFonts w:cs="Times New Roman"/>
          <w:b/>
        </w:rPr>
        <w:t xml:space="preserve"> zákon č. 427/1990 Sb.) </w:t>
      </w:r>
      <w:r w:rsidRPr="00D54D92">
        <w:rPr>
          <w:rFonts w:cs="Times New Roman"/>
          <w:b/>
        </w:rPr>
        <w:t xml:space="preserve">(tzv. </w:t>
      </w:r>
      <w:r w:rsidR="00D94781">
        <w:rPr>
          <w:rFonts w:cs="Times New Roman"/>
          <w:b/>
        </w:rPr>
        <w:t>„</w:t>
      </w:r>
      <w:r w:rsidRPr="00D54D92">
        <w:rPr>
          <w:rFonts w:cs="Times New Roman"/>
          <w:b/>
        </w:rPr>
        <w:t>Malá privatizace</w:t>
      </w:r>
      <w:r w:rsidR="00D94781">
        <w:rPr>
          <w:rFonts w:cs="Times New Roman"/>
          <w:b/>
        </w:rPr>
        <w:t>“</w:t>
      </w:r>
      <w:r w:rsidRPr="00D54D92">
        <w:rPr>
          <w:rFonts w:cs="Times New Roman"/>
          <w:b/>
        </w:rPr>
        <w:t>)</w:t>
      </w:r>
      <w:r w:rsidRPr="00A6042B">
        <w:rPr>
          <w:rFonts w:cs="Times New Roman"/>
        </w:rPr>
        <w:t xml:space="preserve">, </w:t>
      </w:r>
      <w:r w:rsidR="00047D93">
        <w:rPr>
          <w:rFonts w:cs="Times New Roman"/>
        </w:rPr>
        <w:t xml:space="preserve">dále </w:t>
      </w:r>
      <w:r w:rsidRPr="00A6042B">
        <w:rPr>
          <w:rFonts w:cs="Times New Roman"/>
        </w:rPr>
        <w:t xml:space="preserve">výnosy z dividend z majetkových účastí státu, které jsou zařazeny do privatizace podle zákona č. 92/1991 Sb., </w:t>
      </w:r>
      <w:r w:rsidR="00047D93">
        <w:rPr>
          <w:rFonts w:cs="Times New Roman"/>
        </w:rPr>
        <w:t xml:space="preserve">nicméně </w:t>
      </w:r>
      <w:r w:rsidRPr="00A6042B">
        <w:rPr>
          <w:rFonts w:cs="Times New Roman"/>
        </w:rPr>
        <w:t>dosud privatizovány nebyly</w:t>
      </w:r>
      <w:r w:rsidR="00EB0579">
        <w:rPr>
          <w:rFonts w:cs="Times New Roman"/>
        </w:rPr>
        <w:t>,</w:t>
      </w:r>
      <w:r w:rsidRPr="00A6042B">
        <w:rPr>
          <w:rFonts w:cs="Times New Roman"/>
        </w:rPr>
        <w:t xml:space="preserve"> příjmy </w:t>
      </w:r>
      <w:r w:rsidRPr="00A6042B">
        <w:rPr>
          <w:rFonts w:cs="Times New Roman"/>
        </w:rPr>
        <w:br/>
        <w:t xml:space="preserve">z likvidačních zůstatků státních podniků, kterých se dotkla privatizace podle zákona </w:t>
      </w:r>
      <w:r w:rsidRPr="00A6042B">
        <w:rPr>
          <w:rFonts w:cs="Times New Roman"/>
        </w:rPr>
        <w:br/>
        <w:t>č. 427/1990 Sb.</w:t>
      </w:r>
    </w:p>
    <w:p w:rsidR="0063680E" w:rsidRDefault="0063680E" w:rsidP="00A6042B">
      <w:pPr>
        <w:rPr>
          <w:rFonts w:cs="Times New Roman"/>
        </w:rPr>
      </w:pPr>
    </w:p>
    <w:p w:rsidR="00A6042B" w:rsidRPr="00A6042B" w:rsidRDefault="00A6042B" w:rsidP="00A6042B">
      <w:pPr>
        <w:rPr>
          <w:rFonts w:cs="Times New Roman"/>
        </w:rPr>
      </w:pPr>
      <w:r w:rsidRPr="00A6042B">
        <w:rPr>
          <w:rFonts w:cs="Times New Roman"/>
        </w:rPr>
        <w:lastRenderedPageBreak/>
        <w:t>Fond privatizace dále soustřeďuje některé majetkové účasti státu, které jsou zařazeny do privatiz</w:t>
      </w:r>
      <w:r w:rsidR="008B2B45">
        <w:rPr>
          <w:rFonts w:cs="Times New Roman"/>
        </w:rPr>
        <w:t>ace podle zákona č. 92/1991 Sb.</w:t>
      </w:r>
      <w:r w:rsidR="00047D93">
        <w:rPr>
          <w:rFonts w:cs="Times New Roman"/>
        </w:rPr>
        <w:t>, nicméně</w:t>
      </w:r>
      <w:r w:rsidRPr="00A6042B">
        <w:rPr>
          <w:rFonts w:cs="Times New Roman"/>
        </w:rPr>
        <w:t xml:space="preserve"> dosud </w:t>
      </w:r>
      <w:r w:rsidR="00047D93" w:rsidRPr="00A6042B">
        <w:rPr>
          <w:rFonts w:cs="Times New Roman"/>
        </w:rPr>
        <w:t xml:space="preserve">nebyly </w:t>
      </w:r>
      <w:r w:rsidR="00EB0579">
        <w:rPr>
          <w:rFonts w:cs="Times New Roman"/>
        </w:rPr>
        <w:t xml:space="preserve">privatizovány, a </w:t>
      </w:r>
      <w:r w:rsidRPr="00A6042B">
        <w:rPr>
          <w:rFonts w:cs="Times New Roman"/>
        </w:rPr>
        <w:t>některé pohledávky vzniklé při privatizaci.</w:t>
      </w:r>
    </w:p>
    <w:p w:rsidR="00A6042B" w:rsidRPr="00A6042B" w:rsidRDefault="00A6042B" w:rsidP="00A6042B">
      <w:pPr>
        <w:rPr>
          <w:rFonts w:cs="Times New Roman"/>
        </w:rPr>
      </w:pPr>
    </w:p>
    <w:p w:rsidR="00A6042B" w:rsidRPr="00A6042B" w:rsidRDefault="00A6042B" w:rsidP="00A6042B">
      <w:pPr>
        <w:rPr>
          <w:rFonts w:cs="Times New Roman"/>
        </w:rPr>
      </w:pPr>
      <w:r w:rsidRPr="00A6042B">
        <w:rPr>
          <w:rFonts w:cs="Times New Roman"/>
        </w:rPr>
        <w:t xml:space="preserve">Nakládání s prostředky z privatizace dle výše uvedených zákonů se řídí odlišnými zákony, a to následovně: </w:t>
      </w:r>
    </w:p>
    <w:p w:rsidR="003E000A" w:rsidRPr="003E000A" w:rsidRDefault="00A6042B" w:rsidP="00106E1C">
      <w:pPr>
        <w:numPr>
          <w:ilvl w:val="0"/>
          <w:numId w:val="20"/>
        </w:numPr>
        <w:rPr>
          <w:rFonts w:cs="Times New Roman"/>
          <w:i/>
        </w:rPr>
      </w:pPr>
      <w:r w:rsidRPr="003E000A">
        <w:rPr>
          <w:rFonts w:cs="Times New Roman"/>
        </w:rPr>
        <w:t xml:space="preserve">Použití příjmů z privatizace </w:t>
      </w:r>
      <w:r w:rsidR="002F2BF9" w:rsidRPr="003E000A">
        <w:rPr>
          <w:rFonts w:cs="Times New Roman"/>
        </w:rPr>
        <w:t>po</w:t>
      </w:r>
      <w:r w:rsidRPr="003E000A">
        <w:rPr>
          <w:rFonts w:cs="Times New Roman"/>
        </w:rPr>
        <w:t xml:space="preserve">dle zákona </w:t>
      </w:r>
      <w:r w:rsidRPr="003E000A">
        <w:rPr>
          <w:rFonts w:cs="Times New Roman"/>
          <w:b/>
        </w:rPr>
        <w:t xml:space="preserve">č. 92/1991 Sb., (tzv. </w:t>
      </w:r>
      <w:r w:rsidR="002F2BF9" w:rsidRPr="003E000A">
        <w:rPr>
          <w:rFonts w:cs="Times New Roman"/>
          <w:b/>
        </w:rPr>
        <w:t>„</w:t>
      </w:r>
      <w:r w:rsidRPr="003E000A">
        <w:rPr>
          <w:rFonts w:cs="Times New Roman"/>
          <w:b/>
        </w:rPr>
        <w:t>Velká privatizace</w:t>
      </w:r>
      <w:r w:rsidR="002F2BF9" w:rsidRPr="003E000A">
        <w:rPr>
          <w:rFonts w:cs="Times New Roman"/>
          <w:b/>
        </w:rPr>
        <w:t>“</w:t>
      </w:r>
      <w:r w:rsidRPr="003E000A">
        <w:rPr>
          <w:rFonts w:cs="Times New Roman"/>
          <w:b/>
        </w:rPr>
        <w:t>)</w:t>
      </w:r>
      <w:r w:rsidR="00047D93">
        <w:rPr>
          <w:rFonts w:cs="Times New Roman"/>
          <w:b/>
        </w:rPr>
        <w:t>,</w:t>
      </w:r>
      <w:r w:rsidRPr="003E000A">
        <w:rPr>
          <w:rFonts w:cs="Times New Roman"/>
        </w:rPr>
        <w:t xml:space="preserve"> upravuje zákon č. 178/2005 Sb., o </w:t>
      </w:r>
      <w:r w:rsidRPr="003E000A">
        <w:rPr>
          <w:rFonts w:cs="Times New Roman"/>
          <w:i/>
        </w:rPr>
        <w:t>zrušení Fondu národního majetku České republiky a o působnosti Ministerstva financí při privatizaci majetku České republiky (zákon o z</w:t>
      </w:r>
      <w:r w:rsidR="000E49FA">
        <w:rPr>
          <w:rFonts w:cs="Times New Roman"/>
          <w:i/>
        </w:rPr>
        <w:t>rušení Fondu národního majetku).</w:t>
      </w:r>
    </w:p>
    <w:p w:rsidR="00A6042B" w:rsidRPr="003E000A" w:rsidRDefault="00A6042B" w:rsidP="00106E1C">
      <w:pPr>
        <w:numPr>
          <w:ilvl w:val="0"/>
          <w:numId w:val="20"/>
        </w:numPr>
        <w:rPr>
          <w:rFonts w:cs="Times New Roman"/>
          <w:i/>
        </w:rPr>
      </w:pPr>
      <w:r w:rsidRPr="003E000A">
        <w:rPr>
          <w:rFonts w:cs="Times New Roman"/>
        </w:rPr>
        <w:t xml:space="preserve">Použití příjmů z privatizace </w:t>
      </w:r>
      <w:r w:rsidR="002F2BF9" w:rsidRPr="003E000A">
        <w:rPr>
          <w:rFonts w:cs="Times New Roman"/>
        </w:rPr>
        <w:t>po</w:t>
      </w:r>
      <w:r w:rsidRPr="003E000A">
        <w:rPr>
          <w:rFonts w:cs="Times New Roman"/>
        </w:rPr>
        <w:t xml:space="preserve">dle zákona </w:t>
      </w:r>
      <w:r w:rsidRPr="003E000A">
        <w:rPr>
          <w:rFonts w:cs="Times New Roman"/>
          <w:b/>
        </w:rPr>
        <w:t>č.</w:t>
      </w:r>
      <w:r w:rsidRPr="003E000A">
        <w:rPr>
          <w:rFonts w:cs="Times New Roman"/>
        </w:rPr>
        <w:t xml:space="preserve"> </w:t>
      </w:r>
      <w:r w:rsidRPr="003E000A">
        <w:rPr>
          <w:rFonts w:cs="Times New Roman"/>
          <w:b/>
        </w:rPr>
        <w:t>427/1990</w:t>
      </w:r>
      <w:r w:rsidRPr="003E000A">
        <w:rPr>
          <w:rFonts w:cs="Times New Roman"/>
        </w:rPr>
        <w:t xml:space="preserve"> </w:t>
      </w:r>
      <w:r w:rsidRPr="003E000A">
        <w:rPr>
          <w:rFonts w:cs="Times New Roman"/>
          <w:b/>
        </w:rPr>
        <w:t xml:space="preserve">Sb., (tzv. </w:t>
      </w:r>
      <w:r w:rsidR="00180CBD" w:rsidRPr="003E000A">
        <w:rPr>
          <w:rFonts w:cs="Times New Roman"/>
          <w:b/>
        </w:rPr>
        <w:t>„</w:t>
      </w:r>
      <w:r w:rsidRPr="003E000A">
        <w:rPr>
          <w:rFonts w:cs="Times New Roman"/>
          <w:b/>
        </w:rPr>
        <w:t>Malá privatizace</w:t>
      </w:r>
      <w:r w:rsidR="00180CBD" w:rsidRPr="003E000A">
        <w:rPr>
          <w:rFonts w:cs="Times New Roman"/>
          <w:b/>
        </w:rPr>
        <w:t>“</w:t>
      </w:r>
      <w:r w:rsidRPr="003E000A">
        <w:rPr>
          <w:rFonts w:cs="Times New Roman"/>
          <w:b/>
        </w:rPr>
        <w:t>)</w:t>
      </w:r>
      <w:r w:rsidR="00047D93">
        <w:rPr>
          <w:rFonts w:cs="Times New Roman"/>
          <w:b/>
        </w:rPr>
        <w:t>,</w:t>
      </w:r>
      <w:r w:rsidRPr="003E000A">
        <w:rPr>
          <w:rFonts w:cs="Times New Roman"/>
        </w:rPr>
        <w:t xml:space="preserve"> upravuje zákon č. 500/1990 Sb., </w:t>
      </w:r>
      <w:r w:rsidRPr="003E000A">
        <w:rPr>
          <w:rFonts w:cs="Times New Roman"/>
          <w:i/>
        </w:rPr>
        <w:t>o působnosti orgánů České republiky ve věcech převodů vlastnictví státu k některým věcem na jiné právnické nebo fyzické osoby</w:t>
      </w:r>
      <w:r w:rsidR="00453E57" w:rsidRPr="003E000A">
        <w:rPr>
          <w:rFonts w:cs="Times New Roman"/>
          <w:i/>
        </w:rPr>
        <w:t>, ve znění pozdějších předpisů</w:t>
      </w:r>
      <w:r w:rsidRPr="003E000A">
        <w:rPr>
          <w:rFonts w:cs="Times New Roman"/>
          <w:i/>
        </w:rPr>
        <w:t>.</w:t>
      </w:r>
    </w:p>
    <w:p w:rsidR="00A6042B" w:rsidRPr="00A6042B" w:rsidRDefault="00A6042B" w:rsidP="00A6042B">
      <w:pPr>
        <w:rPr>
          <w:rFonts w:cs="Times New Roman"/>
        </w:rPr>
      </w:pPr>
    </w:p>
    <w:p w:rsidR="00A6042B" w:rsidRPr="00A6042B" w:rsidRDefault="00A6042B" w:rsidP="00A6042B">
      <w:pPr>
        <w:rPr>
          <w:rFonts w:cs="Times New Roman"/>
        </w:rPr>
      </w:pPr>
      <w:r w:rsidRPr="00A6042B">
        <w:rPr>
          <w:rFonts w:cs="Times New Roman"/>
        </w:rPr>
        <w:t>Kompletní informace</w:t>
      </w:r>
      <w:r w:rsidR="0063680E">
        <w:rPr>
          <w:rFonts w:cs="Times New Roman"/>
        </w:rPr>
        <w:t xml:space="preserve"> o nakládání s prostředky </w:t>
      </w:r>
      <w:r w:rsidR="00EB0579">
        <w:rPr>
          <w:rFonts w:cs="Times New Roman"/>
        </w:rPr>
        <w:t>zvláštních účtů privatizace</w:t>
      </w:r>
      <w:r w:rsidR="0063680E">
        <w:rPr>
          <w:rFonts w:cs="Times New Roman"/>
        </w:rPr>
        <w:t xml:space="preserve"> </w:t>
      </w:r>
      <w:r w:rsidRPr="00A6042B">
        <w:rPr>
          <w:rFonts w:cs="Times New Roman"/>
        </w:rPr>
        <w:t xml:space="preserve">jsou </w:t>
      </w:r>
      <w:r w:rsidR="00BC1BBE">
        <w:rPr>
          <w:rFonts w:cs="Times New Roman"/>
        </w:rPr>
        <w:t xml:space="preserve">každoročně </w:t>
      </w:r>
      <w:r w:rsidRPr="00A6042B">
        <w:rPr>
          <w:rFonts w:cs="Times New Roman"/>
        </w:rPr>
        <w:t>předkládány vládě a Parlamentu ČR formou Státního závěrečného účtu přílohy I.</w:t>
      </w:r>
      <w:r w:rsidR="00712B4C">
        <w:rPr>
          <w:rFonts w:cs="Times New Roman"/>
        </w:rPr>
        <w:t>:</w:t>
      </w:r>
      <w:r w:rsidRPr="00A6042B">
        <w:rPr>
          <w:rFonts w:cs="Times New Roman"/>
        </w:rPr>
        <w:t xml:space="preserve"> </w:t>
      </w:r>
      <w:r w:rsidR="00712B4C">
        <w:rPr>
          <w:rFonts w:cs="Times New Roman"/>
        </w:rPr>
        <w:t>„</w:t>
      </w:r>
      <w:r w:rsidRPr="00A6042B">
        <w:rPr>
          <w:rFonts w:cs="Times New Roman"/>
          <w:i/>
        </w:rPr>
        <w:t xml:space="preserve">Informace </w:t>
      </w:r>
      <w:r w:rsidR="00782139">
        <w:rPr>
          <w:rFonts w:cs="Times New Roman"/>
          <w:i/>
        </w:rPr>
        <w:br/>
      </w:r>
      <w:r w:rsidRPr="00A6042B">
        <w:rPr>
          <w:rFonts w:cs="Times New Roman"/>
          <w:i/>
        </w:rPr>
        <w:t>o postupu privatizace a o stavu a použití prostředků vedených na zvláštních účtech</w:t>
      </w:r>
      <w:r w:rsidR="00712B4C">
        <w:rPr>
          <w:rFonts w:cs="Times New Roman"/>
          <w:i/>
        </w:rPr>
        <w:t>“</w:t>
      </w:r>
      <w:r w:rsidRPr="00A6042B">
        <w:rPr>
          <w:rFonts w:cs="Times New Roman"/>
          <w:i/>
        </w:rPr>
        <w:t xml:space="preserve">, </w:t>
      </w:r>
      <w:r w:rsidRPr="00A6042B">
        <w:rPr>
          <w:rFonts w:cs="Times New Roman"/>
        </w:rPr>
        <w:t>a to na základě § 8 zákona</w:t>
      </w:r>
      <w:r w:rsidRPr="00A6042B">
        <w:rPr>
          <w:rFonts w:cs="Times New Roman"/>
          <w:i/>
        </w:rPr>
        <w:t xml:space="preserve"> o zrušení Fondu národního majetku.</w:t>
      </w:r>
    </w:p>
    <w:p w:rsidR="00A6042B" w:rsidRDefault="00A6042B" w:rsidP="00A6042B"/>
    <w:p w:rsidR="00A6042B" w:rsidRDefault="00A6042B" w:rsidP="00A6042B"/>
    <w:p w:rsidR="00A6042B" w:rsidRPr="002533CB" w:rsidRDefault="005C34E0" w:rsidP="0063680E">
      <w:pPr>
        <w:pStyle w:val="Nadpis3"/>
      </w:pPr>
      <w:r w:rsidRPr="002533CB">
        <w:t>Charakteristika zákona</w:t>
      </w:r>
      <w:r w:rsidR="00A6042B" w:rsidRPr="002533CB">
        <w:t xml:space="preserve"> č. </w:t>
      </w:r>
      <w:r w:rsidR="008B2B45">
        <w:t>178/2005 Sb.</w:t>
      </w:r>
    </w:p>
    <w:p w:rsidR="00FB2729" w:rsidRPr="002533CB" w:rsidRDefault="00FB2729" w:rsidP="00F22608"/>
    <w:p w:rsidR="00072371" w:rsidRDefault="00072371" w:rsidP="00072371">
      <w:r>
        <w:t xml:space="preserve">Zákon č. 178/2005 Sb., </w:t>
      </w:r>
      <w:r w:rsidR="0063680E" w:rsidRPr="008B2B45">
        <w:t>o zrušení Fondu národního majetku České republiky a o působnosti Ministerstva financí při privatizaci majetku České republiky (zákon o zrušení Fondu národního majetku</w:t>
      </w:r>
      <w:r w:rsidR="0063680E" w:rsidRPr="00201C7B">
        <w:t>)</w:t>
      </w:r>
      <w:r>
        <w:t xml:space="preserve">, nabyl účinnosti dle 1. </w:t>
      </w:r>
      <w:r w:rsidR="00BB1A9D">
        <w:t>l</w:t>
      </w:r>
      <w:r>
        <w:t xml:space="preserve">edna 2006. Pokud jde o právní úpravu používání privatizačních prostředků, byla do zákona </w:t>
      </w:r>
      <w:r w:rsidR="005C34E0">
        <w:t>č</w:t>
      </w:r>
      <w:r w:rsidR="000E49FA">
        <w:t>.</w:t>
      </w:r>
      <w:r w:rsidR="005C34E0">
        <w:t xml:space="preserve"> 178/2005 Sb.</w:t>
      </w:r>
      <w:r>
        <w:t xml:space="preserve"> bez velkých změn převzata původní právní úprava této problematiky obsažená v § 18 o</w:t>
      </w:r>
      <w:r w:rsidR="00172B7F">
        <w:t>d</w:t>
      </w:r>
      <w:r>
        <w:t xml:space="preserve">st. 2 zákona č. 171/1991 Sb., </w:t>
      </w:r>
      <w:r w:rsidR="00266CBB">
        <w:br/>
      </w:r>
      <w:r>
        <w:t>o působnosti orgánů české republiky ve věcech převodů majetku na jiné osoby a o Fondu národního majetku České republiky, ve znění pozdějších předpisů, a to i přesto, že v průběhu historického vývoje muselo nutně dojít k určitým věcným i procesním změnám v této oblasti. Při přípravě právních předpisů o privatizaci majetku státu v letech 1990 až 1991 se vycházelo z politickoekonomického předpokladu, že výnosy z prodeje majetku státu a majetkových účastí státu na podnikání jiných právnických osob by měly být zvláštním způsobem chráněny a odděleny od státního rozpočtu a jejich použití v ekonomice České republiky taxativně určeno. Proto již zákon č. 171/1991 Sb. obsahoval taxativní výčet účelů, ke kterým mohou být privatizační prostředky použity s tím, že v závažnějších případech se k použití privatizačních prostředků vyžadoval souhlas vlády</w:t>
      </w:r>
      <w:r w:rsidR="0037471A">
        <w:t xml:space="preserve">, kdy </w:t>
      </w:r>
      <w:r w:rsidR="00E3779D">
        <w:t xml:space="preserve">tento koncept se promítnul do zákona </w:t>
      </w:r>
      <w:r w:rsidR="00712B4C">
        <w:t xml:space="preserve">č. </w:t>
      </w:r>
      <w:r w:rsidR="00E3779D">
        <w:t>178/2005 Sb.</w:t>
      </w:r>
    </w:p>
    <w:p w:rsidR="00E3779D" w:rsidRDefault="00E3779D" w:rsidP="00072371">
      <w:pPr>
        <w:rPr>
          <w:color w:val="FF0000"/>
        </w:rPr>
      </w:pPr>
    </w:p>
    <w:p w:rsidR="003E03BF" w:rsidRDefault="00D15CBB" w:rsidP="00072371">
      <w:pPr>
        <w:rPr>
          <w:color w:val="0D0D0D" w:themeColor="text1" w:themeTint="F2"/>
        </w:rPr>
      </w:pPr>
      <w:r w:rsidRPr="00D15CBB">
        <w:rPr>
          <w:color w:val="0D0D0D" w:themeColor="text1" w:themeTint="F2"/>
        </w:rPr>
        <w:t>Samotný z</w:t>
      </w:r>
      <w:r w:rsidR="00E3779D" w:rsidRPr="00D15CBB">
        <w:rPr>
          <w:color w:val="0D0D0D" w:themeColor="text1" w:themeTint="F2"/>
        </w:rPr>
        <w:t>ákon č. 178/2005 Sb. byl vytvořen za účelem převodu majetku a závazků</w:t>
      </w:r>
      <w:r w:rsidR="00C7412E">
        <w:rPr>
          <w:color w:val="0D0D0D" w:themeColor="text1" w:themeTint="F2"/>
        </w:rPr>
        <w:t>,</w:t>
      </w:r>
      <w:r w:rsidR="00E3779D" w:rsidRPr="00D15CBB">
        <w:rPr>
          <w:color w:val="0D0D0D" w:themeColor="text1" w:themeTint="F2"/>
        </w:rPr>
        <w:t xml:space="preserve"> vzniklých z privatizace </w:t>
      </w:r>
      <w:r w:rsidR="00543F25">
        <w:rPr>
          <w:color w:val="0D0D0D" w:themeColor="text1" w:themeTint="F2"/>
        </w:rPr>
        <w:t>po</w:t>
      </w:r>
      <w:r w:rsidR="00E3779D" w:rsidRPr="00D15CBB">
        <w:rPr>
          <w:color w:val="0D0D0D" w:themeColor="text1" w:themeTint="F2"/>
        </w:rPr>
        <w:t xml:space="preserve">dle zákona č. 92/1991 Sb. </w:t>
      </w:r>
      <w:r w:rsidRPr="00D15CBB">
        <w:rPr>
          <w:color w:val="0D0D0D" w:themeColor="text1" w:themeTint="F2"/>
        </w:rPr>
        <w:t xml:space="preserve">a </w:t>
      </w:r>
      <w:r w:rsidR="00E3779D" w:rsidRPr="00D15CBB">
        <w:rPr>
          <w:color w:val="0D0D0D" w:themeColor="text1" w:themeTint="F2"/>
        </w:rPr>
        <w:t>spravovaných Fondem národního majetku</w:t>
      </w:r>
      <w:r w:rsidR="00C7412E">
        <w:rPr>
          <w:color w:val="0D0D0D" w:themeColor="text1" w:themeTint="F2"/>
        </w:rPr>
        <w:t>,</w:t>
      </w:r>
      <w:r w:rsidR="00E3779D" w:rsidRPr="00D15CBB">
        <w:rPr>
          <w:color w:val="0D0D0D" w:themeColor="text1" w:themeTint="F2"/>
        </w:rPr>
        <w:t xml:space="preserve"> na stát</w:t>
      </w:r>
      <w:r w:rsidR="0037471A">
        <w:rPr>
          <w:color w:val="0D0D0D" w:themeColor="text1" w:themeTint="F2"/>
        </w:rPr>
        <w:t>,</w:t>
      </w:r>
      <w:r w:rsidR="00E3779D" w:rsidRPr="00D15CBB">
        <w:rPr>
          <w:color w:val="0D0D0D" w:themeColor="text1" w:themeTint="F2"/>
        </w:rPr>
        <w:t xml:space="preserve"> zastoupený Ministerstvem financí</w:t>
      </w:r>
      <w:r w:rsidRPr="00D15CBB">
        <w:rPr>
          <w:color w:val="0D0D0D" w:themeColor="text1" w:themeTint="F2"/>
        </w:rPr>
        <w:t xml:space="preserve"> České republiky. Zákon</w:t>
      </w:r>
      <w:r w:rsidR="00E3779D" w:rsidRPr="00D15CBB">
        <w:rPr>
          <w:color w:val="0D0D0D" w:themeColor="text1" w:themeTint="F2"/>
        </w:rPr>
        <w:t xml:space="preserve"> mimo jiné</w:t>
      </w:r>
      <w:r w:rsidRPr="00D15CBB">
        <w:rPr>
          <w:color w:val="0D0D0D" w:themeColor="text1" w:themeTint="F2"/>
        </w:rPr>
        <w:t xml:space="preserve"> vymezuje v § 4</w:t>
      </w:r>
      <w:r w:rsidR="00E3779D" w:rsidRPr="00D15CBB">
        <w:rPr>
          <w:color w:val="0D0D0D" w:themeColor="text1" w:themeTint="F2"/>
        </w:rPr>
        <w:t xml:space="preserve"> exist</w:t>
      </w:r>
      <w:r w:rsidR="00BB1A9D">
        <w:rPr>
          <w:color w:val="0D0D0D" w:themeColor="text1" w:themeTint="F2"/>
        </w:rPr>
        <w:t xml:space="preserve">enci </w:t>
      </w:r>
      <w:r w:rsidR="00EB0579">
        <w:rPr>
          <w:color w:val="0D0D0D" w:themeColor="text1" w:themeTint="F2"/>
        </w:rPr>
        <w:t>zvláštních účtů privatizace</w:t>
      </w:r>
      <w:r w:rsidR="00E3779D" w:rsidRPr="00D15CBB">
        <w:rPr>
          <w:color w:val="0D0D0D" w:themeColor="text1" w:themeTint="F2"/>
        </w:rPr>
        <w:t xml:space="preserve">, které slouží ke správě výnosů z prodeje privatizovaného </w:t>
      </w:r>
      <w:r w:rsidRPr="00D15CBB">
        <w:rPr>
          <w:color w:val="0D0D0D" w:themeColor="text1" w:themeTint="F2"/>
        </w:rPr>
        <w:t>majetku</w:t>
      </w:r>
      <w:r w:rsidR="00E3779D" w:rsidRPr="00D15CBB">
        <w:rPr>
          <w:color w:val="0D0D0D" w:themeColor="text1" w:themeTint="F2"/>
        </w:rPr>
        <w:t xml:space="preserve"> a ze zisku z účasti státu </w:t>
      </w:r>
      <w:r w:rsidRPr="00D15CBB">
        <w:rPr>
          <w:color w:val="0D0D0D" w:themeColor="text1" w:themeTint="F2"/>
        </w:rPr>
        <w:t xml:space="preserve">z účastí v obchodních společnostech. Tyto účty jsou podřízeny souhrnnému účtu a nejsou součástí státního rozpočtu. Nakládání s prostředky </w:t>
      </w:r>
      <w:r w:rsidR="00EB0579">
        <w:rPr>
          <w:color w:val="0D0D0D" w:themeColor="text1" w:themeTint="F2"/>
        </w:rPr>
        <w:t>zvláštních účtů privatizace</w:t>
      </w:r>
      <w:r w:rsidRPr="00D15CBB">
        <w:rPr>
          <w:color w:val="0D0D0D" w:themeColor="text1" w:themeTint="F2"/>
        </w:rPr>
        <w:t xml:space="preserve"> je</w:t>
      </w:r>
      <w:r>
        <w:rPr>
          <w:color w:val="0D0D0D" w:themeColor="text1" w:themeTint="F2"/>
        </w:rPr>
        <w:t xml:space="preserve"> pak</w:t>
      </w:r>
      <w:r w:rsidRPr="00D15CBB">
        <w:rPr>
          <w:color w:val="0D0D0D" w:themeColor="text1" w:themeTint="F2"/>
        </w:rPr>
        <w:t xml:space="preserve"> taxativně vymezeno v § 5 dost</w:t>
      </w:r>
      <w:r w:rsidR="005C34E0">
        <w:rPr>
          <w:color w:val="0D0D0D" w:themeColor="text1" w:themeTint="F2"/>
        </w:rPr>
        <w:t>.</w:t>
      </w:r>
      <w:r w:rsidRPr="00D15CBB">
        <w:rPr>
          <w:color w:val="0D0D0D" w:themeColor="text1" w:themeTint="F2"/>
        </w:rPr>
        <w:t xml:space="preserve"> 3 tohoto zákona.</w:t>
      </w:r>
      <w:r w:rsidR="003E03BF">
        <w:rPr>
          <w:color w:val="0D0D0D" w:themeColor="text1" w:themeTint="F2"/>
        </w:rPr>
        <w:t xml:space="preserve"> </w:t>
      </w:r>
    </w:p>
    <w:p w:rsidR="00FB2729" w:rsidRDefault="00FB2729" w:rsidP="00F22608"/>
    <w:p w:rsidR="00A6042B" w:rsidRDefault="007F6941" w:rsidP="00F22608">
      <w:r>
        <w:lastRenderedPageBreak/>
        <w:t>Z</w:t>
      </w:r>
      <w:r w:rsidR="005C34E0">
        <w:t>ákon</w:t>
      </w:r>
      <w:r>
        <w:t xml:space="preserve"> byl</w:t>
      </w:r>
      <w:r w:rsidR="005C34E0">
        <w:t xml:space="preserve"> </w:t>
      </w:r>
      <w:r w:rsidR="007532B0">
        <w:t xml:space="preserve">v minulosti několikrát </w:t>
      </w:r>
      <w:r>
        <w:t xml:space="preserve">novelizován. </w:t>
      </w:r>
      <w:r w:rsidR="00FB2729" w:rsidRPr="00FB2729">
        <w:t xml:space="preserve"> </w:t>
      </w:r>
      <w:r>
        <w:t>Při</w:t>
      </w:r>
      <w:r w:rsidR="00FB2729" w:rsidRPr="00FB2729">
        <w:t xml:space="preserve"> </w:t>
      </w:r>
      <w:r w:rsidR="005C34E0">
        <w:t>revizi</w:t>
      </w:r>
      <w:r w:rsidR="00FB2729">
        <w:t xml:space="preserve"> zákona</w:t>
      </w:r>
      <w:r>
        <w:t xml:space="preserve"> byly</w:t>
      </w:r>
      <w:r w:rsidR="005C34E0">
        <w:t xml:space="preserve"> objeveny</w:t>
      </w:r>
      <w:r w:rsidR="007532B0">
        <w:t xml:space="preserve"> </w:t>
      </w:r>
      <w:r w:rsidR="00FB2729" w:rsidRPr="00FB2729">
        <w:t xml:space="preserve">nevyhovující </w:t>
      </w:r>
      <w:r w:rsidR="00A357A0">
        <w:t>ustanovení</w:t>
      </w:r>
      <w:r w:rsidR="00FB2729" w:rsidRPr="00FB2729">
        <w:t>, a to</w:t>
      </w:r>
      <w:r w:rsidR="007532B0">
        <w:t xml:space="preserve"> v oblastech</w:t>
      </w:r>
      <w:r w:rsidR="00A6042B">
        <w:t>:</w:t>
      </w:r>
    </w:p>
    <w:p w:rsidR="00A6042B" w:rsidRDefault="00FB2729" w:rsidP="00D8582D">
      <w:pPr>
        <w:pStyle w:val="Odstavecseseznamem"/>
        <w:numPr>
          <w:ilvl w:val="0"/>
          <w:numId w:val="7"/>
        </w:numPr>
      </w:pPr>
      <w:r w:rsidRPr="00FB2729">
        <w:t>přílišné</w:t>
      </w:r>
      <w:r>
        <w:t xml:space="preserve">ho výdajového </w:t>
      </w:r>
      <w:r w:rsidR="005C34E0">
        <w:t>přetěžování</w:t>
      </w:r>
      <w:r>
        <w:t xml:space="preserve"> </w:t>
      </w:r>
      <w:r w:rsidR="00EB0579">
        <w:t>zvláštních účtů privatizace</w:t>
      </w:r>
      <w:r w:rsidR="000E49FA">
        <w:t>,</w:t>
      </w:r>
    </w:p>
    <w:p w:rsidR="00FB2729" w:rsidRDefault="00FB2729" w:rsidP="00D8582D">
      <w:pPr>
        <w:pStyle w:val="Odstavecseseznamem"/>
        <w:numPr>
          <w:ilvl w:val="0"/>
          <w:numId w:val="7"/>
        </w:numPr>
      </w:pPr>
      <w:r w:rsidRPr="00FB2729">
        <w:t xml:space="preserve">promítnutí nových ekonomicko-provozních skutečností (např. ukončení agendy </w:t>
      </w:r>
      <w:r w:rsidR="00172B7F">
        <w:t>Nadačního investičního fondu</w:t>
      </w:r>
      <w:r w:rsidRPr="00FB2729">
        <w:t>).</w:t>
      </w:r>
    </w:p>
    <w:p w:rsidR="00035C82" w:rsidRDefault="00035C82" w:rsidP="00D8582D">
      <w:pPr>
        <w:pStyle w:val="Odstavecseseznamem"/>
        <w:numPr>
          <w:ilvl w:val="0"/>
          <w:numId w:val="7"/>
        </w:numPr>
      </w:pPr>
      <w:r>
        <w:t>Podmínky některých výdajů nejsou odpovídající současnému stavu ekonomiky</w:t>
      </w:r>
    </w:p>
    <w:p w:rsidR="00FB2729" w:rsidRDefault="00FB2729" w:rsidP="00F22608"/>
    <w:p w:rsidR="00FB2729" w:rsidRDefault="007C7850" w:rsidP="002B7D45">
      <w:pPr>
        <w:pStyle w:val="Nadpis3"/>
      </w:pPr>
      <w:r>
        <w:t>Východiska pro u</w:t>
      </w:r>
      <w:r w:rsidR="00CC45CF">
        <w:t>snesení vlády č. 610 ze dne 4. září 2017</w:t>
      </w:r>
    </w:p>
    <w:p w:rsidR="00FB2729" w:rsidRDefault="00FB2729" w:rsidP="00F22608"/>
    <w:p w:rsidR="00FB2729" w:rsidRPr="005E04BA" w:rsidRDefault="00FB2729" w:rsidP="00FB2729">
      <w:r w:rsidRPr="005E04BA">
        <w:t xml:space="preserve">V průběhu let docházelo </w:t>
      </w:r>
      <w:r w:rsidR="00B923B7">
        <w:t xml:space="preserve">v oblasti tzv. Velké privatizace </w:t>
      </w:r>
      <w:r w:rsidR="007C7850">
        <w:t>(</w:t>
      </w:r>
      <w:r w:rsidR="00B923B7">
        <w:t>vi</w:t>
      </w:r>
      <w:r w:rsidR="0061300B">
        <w:t>z</w:t>
      </w:r>
      <w:r w:rsidR="00B923B7">
        <w:t xml:space="preserve"> kap</w:t>
      </w:r>
      <w:r w:rsidR="00367B93">
        <w:t>itola</w:t>
      </w:r>
      <w:r w:rsidR="00B923B7">
        <w:t xml:space="preserve"> 1.2.1</w:t>
      </w:r>
      <w:r w:rsidR="007C7850">
        <w:t>)</w:t>
      </w:r>
      <w:r w:rsidR="00B923B7">
        <w:t xml:space="preserve"> </w:t>
      </w:r>
      <w:r w:rsidRPr="005E04BA">
        <w:t>k navýšení počtu výdajových titul</w:t>
      </w:r>
      <w:r w:rsidR="0092780D" w:rsidRPr="005E04BA">
        <w:t>ů především vládního charakteru</w:t>
      </w:r>
      <w:r w:rsidR="00880B33" w:rsidRPr="005E04BA">
        <w:t xml:space="preserve"> a</w:t>
      </w:r>
      <w:r w:rsidR="00C7412E">
        <w:t xml:space="preserve"> zároveň</w:t>
      </w:r>
      <w:r w:rsidR="00880B33" w:rsidRPr="005E04BA">
        <w:t xml:space="preserve"> </w:t>
      </w:r>
      <w:r w:rsidRPr="005E04BA">
        <w:t>k výraznému poklesu příjmů z prodeje majetku, změně příjmové struktury v neprospěch příjmů z prodeje majetku</w:t>
      </w:r>
      <w:r w:rsidR="00880B33" w:rsidRPr="005E04BA">
        <w:t>,</w:t>
      </w:r>
      <w:r w:rsidRPr="005E04BA">
        <w:t xml:space="preserve"> aniž by byl tento stav zohledněn v požadavcích na </w:t>
      </w:r>
      <w:r w:rsidR="00872DA7">
        <w:t xml:space="preserve">zvláštní účty </w:t>
      </w:r>
      <w:r w:rsidR="00EB0579">
        <w:t>privatizace</w:t>
      </w:r>
      <w:r w:rsidRPr="005E04BA">
        <w:t>.</w:t>
      </w:r>
    </w:p>
    <w:p w:rsidR="00FB2729" w:rsidRPr="005E04BA" w:rsidRDefault="00FB2729" w:rsidP="00F22608"/>
    <w:p w:rsidR="00FC4EC7" w:rsidRPr="005E04BA" w:rsidRDefault="00FC4EC7" w:rsidP="00F22608">
      <w:r w:rsidRPr="005E04BA">
        <w:t xml:space="preserve">Závažnost stavu odhalila hloubková analýza </w:t>
      </w:r>
      <w:r w:rsidR="00880B33" w:rsidRPr="005E04BA">
        <w:t>M</w:t>
      </w:r>
      <w:r w:rsidRPr="005E04BA">
        <w:t>inisterstva financí v materiálu „</w:t>
      </w:r>
      <w:r w:rsidRPr="005E04BA">
        <w:rPr>
          <w:b/>
        </w:rPr>
        <w:t>Koncepce stabilizace finančního stavu zvláštních účtů privatizace</w:t>
      </w:r>
      <w:r w:rsidRPr="005E04BA">
        <w:t>“</w:t>
      </w:r>
      <w:r w:rsidR="00C7412E">
        <w:t>,</w:t>
      </w:r>
      <w:r w:rsidRPr="005E04BA">
        <w:t xml:space="preserve"> v jejímž rámci </w:t>
      </w:r>
      <w:r w:rsidR="00C7412E" w:rsidRPr="005E04BA">
        <w:t>byl</w:t>
      </w:r>
      <w:r w:rsidR="00C7412E">
        <w:t>a</w:t>
      </w:r>
      <w:r w:rsidR="00C7412E" w:rsidRPr="005E04BA">
        <w:t xml:space="preserve"> </w:t>
      </w:r>
      <w:r w:rsidRPr="005E04BA">
        <w:t xml:space="preserve">následně </w:t>
      </w:r>
      <w:r w:rsidR="00C7412E" w:rsidRPr="005E04BA">
        <w:t>navrhnut</w:t>
      </w:r>
      <w:r w:rsidR="00C7412E">
        <w:t>a</w:t>
      </w:r>
      <w:r w:rsidR="00C7412E" w:rsidRPr="005E04BA">
        <w:t xml:space="preserve"> </w:t>
      </w:r>
      <w:r w:rsidRPr="005E04BA">
        <w:t>konkrétní opatření.</w:t>
      </w:r>
    </w:p>
    <w:p w:rsidR="00FC4EC7" w:rsidRPr="005E04BA" w:rsidRDefault="00FC4EC7" w:rsidP="00F22608"/>
    <w:p w:rsidR="00FC4EC7" w:rsidRPr="005E04BA" w:rsidRDefault="00FC4EC7" w:rsidP="00FC4EC7">
      <w:r w:rsidRPr="005E04BA">
        <w:t xml:space="preserve">Z analýzy </w:t>
      </w:r>
      <w:r w:rsidR="009D0998" w:rsidRPr="005E04BA">
        <w:t>jasně vyplýva</w:t>
      </w:r>
      <w:r w:rsidR="008832C1">
        <w:t>ly</w:t>
      </w:r>
      <w:r w:rsidR="009D0998" w:rsidRPr="005E04BA">
        <w:t xml:space="preserve"> tyto rizikové faktory</w:t>
      </w:r>
      <w:r w:rsidRPr="005E04BA">
        <w:t>:</w:t>
      </w:r>
    </w:p>
    <w:p w:rsidR="0044612A" w:rsidRPr="005E04BA" w:rsidRDefault="0044612A" w:rsidP="00FC4EC7"/>
    <w:p w:rsidR="00FD758C" w:rsidRPr="005E04BA" w:rsidRDefault="00FD758C" w:rsidP="00D8582D">
      <w:pPr>
        <w:pStyle w:val="Odstavecseseznamem"/>
        <w:numPr>
          <w:ilvl w:val="0"/>
          <w:numId w:val="2"/>
        </w:numPr>
        <w:rPr>
          <w:b/>
        </w:rPr>
      </w:pPr>
      <w:r w:rsidRPr="005E04BA">
        <w:rPr>
          <w:b/>
        </w:rPr>
        <w:t>Snižování finančních prostředků pro úhradu závazků.</w:t>
      </w:r>
    </w:p>
    <w:p w:rsidR="00FD758C" w:rsidRPr="005E04BA" w:rsidRDefault="00FD758C" w:rsidP="00FD758C">
      <w:pPr>
        <w:pStyle w:val="Odstavecseseznamem"/>
        <w:ind w:left="360"/>
        <w:rPr>
          <w:b/>
        </w:rPr>
      </w:pPr>
    </w:p>
    <w:p w:rsidR="001D19B6" w:rsidRPr="005E04BA" w:rsidRDefault="001D19B6" w:rsidP="00FB2729">
      <w:r w:rsidRPr="005E04BA">
        <w:t>D</w:t>
      </w:r>
      <w:r w:rsidR="00FD758C" w:rsidRPr="005E04BA">
        <w:t xml:space="preserve">ochází k dlouhodobému poklesu finančních prostředků </w:t>
      </w:r>
      <w:r w:rsidR="00EB0579">
        <w:t>zvláštních účtů privatizace</w:t>
      </w:r>
      <w:r w:rsidR="00FD758C" w:rsidRPr="005E04BA">
        <w:t xml:space="preserve">, především v oblasti tzv. Velké privatizace, kde došlo v letech 2012 - 2015 k poklesu o 8 849 mil. Kč, tj. o více než 51 %. </w:t>
      </w:r>
    </w:p>
    <w:p w:rsidR="001D19B6" w:rsidRDefault="001D19B6" w:rsidP="00FD758C">
      <w:pPr>
        <w:rPr>
          <w:rFonts w:cs="Times New Roman"/>
          <w:sz w:val="22"/>
          <w:szCs w:val="22"/>
        </w:rPr>
      </w:pPr>
    </w:p>
    <w:p w:rsidR="00703E1A" w:rsidRPr="00703E1A" w:rsidRDefault="00703E1A" w:rsidP="00F64199">
      <w:pPr>
        <w:pStyle w:val="Nadpis4"/>
        <w:ind w:left="862" w:hanging="862"/>
        <w:rPr>
          <w:sz w:val="22"/>
          <w:szCs w:val="22"/>
        </w:rPr>
      </w:pPr>
      <w:bookmarkStart w:id="3" w:name="_Toc477181334"/>
      <w:bookmarkStart w:id="4" w:name="_Toc479574661"/>
      <w:r w:rsidRPr="00703E1A">
        <w:rPr>
          <w:sz w:val="22"/>
          <w:szCs w:val="22"/>
        </w:rPr>
        <w:t>Přehled stavu konečných zůstatků na bankovních účtech v letech 2012</w:t>
      </w:r>
      <w:r w:rsidR="00782139">
        <w:rPr>
          <w:sz w:val="22"/>
          <w:szCs w:val="22"/>
        </w:rPr>
        <w:t xml:space="preserve"> </w:t>
      </w:r>
      <w:r w:rsidRPr="00703E1A">
        <w:rPr>
          <w:sz w:val="22"/>
          <w:szCs w:val="22"/>
        </w:rPr>
        <w:t>-</w:t>
      </w:r>
      <w:r w:rsidR="00782139">
        <w:rPr>
          <w:sz w:val="22"/>
          <w:szCs w:val="22"/>
        </w:rPr>
        <w:t xml:space="preserve"> </w:t>
      </w:r>
      <w:r w:rsidRPr="00703E1A">
        <w:rPr>
          <w:sz w:val="22"/>
          <w:szCs w:val="22"/>
        </w:rPr>
        <w:t>2015</w:t>
      </w:r>
      <w:bookmarkEnd w:id="3"/>
      <w:bookmarkEnd w:id="4"/>
    </w:p>
    <w:tbl>
      <w:tblPr>
        <w:tblW w:w="908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91"/>
        <w:gridCol w:w="1031"/>
        <w:gridCol w:w="1161"/>
        <w:gridCol w:w="1161"/>
        <w:gridCol w:w="1161"/>
        <w:gridCol w:w="1984"/>
        <w:gridCol w:w="1298"/>
      </w:tblGrid>
      <w:tr w:rsidR="00703E1A" w:rsidRPr="00703E1A" w:rsidTr="002533CB">
        <w:trPr>
          <w:trHeight w:val="346"/>
        </w:trPr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lef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Rok</w:t>
            </w:r>
          </w:p>
        </w:tc>
        <w:tc>
          <w:tcPr>
            <w:tcW w:w="1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2012</w:t>
            </w:r>
          </w:p>
        </w:tc>
        <w:tc>
          <w:tcPr>
            <w:tcW w:w="116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2013</w:t>
            </w:r>
          </w:p>
        </w:tc>
        <w:tc>
          <w:tcPr>
            <w:tcW w:w="116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2014</w:t>
            </w:r>
          </w:p>
        </w:tc>
        <w:tc>
          <w:tcPr>
            <w:tcW w:w="11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2015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Rozdíl mezi roky 2012 - 2015</w:t>
            </w:r>
          </w:p>
        </w:tc>
        <w:tc>
          <w:tcPr>
            <w:tcW w:w="129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noWrap/>
            <w:vAlign w:val="center"/>
          </w:tcPr>
          <w:p w:rsidR="00703E1A" w:rsidRPr="005E04BA" w:rsidRDefault="00703E1A" w:rsidP="00186A0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Rozdíl v %</w:t>
            </w:r>
          </w:p>
        </w:tc>
      </w:tr>
      <w:tr w:rsidR="00703E1A" w:rsidRPr="00703E1A" w:rsidTr="002533CB">
        <w:trPr>
          <w:trHeight w:val="346"/>
        </w:trPr>
        <w:tc>
          <w:tcPr>
            <w:tcW w:w="129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703E1A" w:rsidRPr="005E04BA" w:rsidRDefault="00703E1A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 xml:space="preserve">Hodnota </w:t>
            </w:r>
            <w:r w:rsidRPr="005E04BA">
              <w:rPr>
                <w:rFonts w:cs="Times New Roman"/>
                <w:color w:val="000000"/>
              </w:rPr>
              <w:br/>
              <w:t>v mil. Kč</w:t>
            </w:r>
          </w:p>
        </w:tc>
        <w:tc>
          <w:tcPr>
            <w:tcW w:w="103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703E1A" w:rsidRPr="005E04BA" w:rsidRDefault="00703E1A" w:rsidP="00186A0A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17 281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703E1A" w:rsidRPr="005E04BA" w:rsidRDefault="00703E1A" w:rsidP="00186A0A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12 171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703E1A" w:rsidRPr="005E04BA" w:rsidRDefault="00703E1A" w:rsidP="00186A0A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9 425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703E1A" w:rsidRPr="005E04BA" w:rsidRDefault="00703E1A" w:rsidP="00186A0A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8 432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vAlign w:val="center"/>
          </w:tcPr>
          <w:p w:rsidR="00703E1A" w:rsidRPr="005E04BA" w:rsidRDefault="00703E1A" w:rsidP="00186A0A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-8 849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703E1A" w:rsidRPr="005E04BA" w:rsidRDefault="00703E1A" w:rsidP="00186A0A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-51,2 %</w:t>
            </w:r>
          </w:p>
        </w:tc>
      </w:tr>
    </w:tbl>
    <w:p w:rsidR="001D19B6" w:rsidRDefault="001D19B6" w:rsidP="00FD758C">
      <w:pPr>
        <w:rPr>
          <w:rFonts w:cs="Times New Roman"/>
          <w:sz w:val="22"/>
          <w:szCs w:val="22"/>
        </w:rPr>
      </w:pPr>
    </w:p>
    <w:p w:rsidR="00BB1A9D" w:rsidRDefault="00BB1A9D" w:rsidP="00FD758C">
      <w:pPr>
        <w:rPr>
          <w:rFonts w:cs="Times New Roman"/>
          <w:sz w:val="22"/>
          <w:szCs w:val="22"/>
        </w:rPr>
      </w:pPr>
    </w:p>
    <w:p w:rsidR="00FB2729" w:rsidRPr="00201C7B" w:rsidRDefault="000774A9" w:rsidP="002533CB">
      <w:pPr>
        <w:pStyle w:val="Nadpis5"/>
        <w:rPr>
          <w:szCs w:val="24"/>
        </w:rPr>
      </w:pPr>
      <w:r w:rsidRPr="00201C7B">
        <w:rPr>
          <w:szCs w:val="24"/>
        </w:rPr>
        <w:t xml:space="preserve">Vývoj konečných zůstatků </w:t>
      </w:r>
      <w:r w:rsidR="0063680E" w:rsidRPr="00201C7B">
        <w:rPr>
          <w:szCs w:val="24"/>
        </w:rPr>
        <w:t>finančních prostředků na bankovních účtech Velké privatizace v letech 1991 - 2016</w:t>
      </w:r>
    </w:p>
    <w:p w:rsidR="001D19B6" w:rsidRPr="003E000A" w:rsidRDefault="002533CB" w:rsidP="00FD758C">
      <w:pPr>
        <w:rPr>
          <w:sz w:val="22"/>
          <w:szCs w:val="22"/>
        </w:rPr>
      </w:pPr>
      <w:r w:rsidRPr="007D0733">
        <w:rPr>
          <w:noProof/>
        </w:rPr>
        <w:drawing>
          <wp:inline distT="0" distB="0" distL="0" distR="0" wp14:anchorId="362A867E" wp14:editId="1876583B">
            <wp:extent cx="5779698" cy="2398144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996" cy="2404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65CF" w:rsidRDefault="007865CF" w:rsidP="00201C7B">
      <w:pPr>
        <w:spacing w:before="120"/>
        <w:rPr>
          <w:rFonts w:cs="Times New Roman"/>
        </w:rPr>
      </w:pPr>
    </w:p>
    <w:p w:rsidR="00FD758C" w:rsidRPr="00112345" w:rsidRDefault="00FD758C" w:rsidP="00201C7B">
      <w:pPr>
        <w:spacing w:before="120"/>
        <w:rPr>
          <w:rFonts w:cs="Times New Roman"/>
        </w:rPr>
      </w:pPr>
      <w:r w:rsidRPr="00112345">
        <w:rPr>
          <w:rFonts w:cs="Times New Roman"/>
        </w:rPr>
        <w:lastRenderedPageBreak/>
        <w:t>Stav je způsoben výdajovým přetěžováním, neboť z účtů Velké privatizace se hradí naprostá většina všech výdajů Fondu privatizace. V roce 2016 byl tento trend přerušen díky dočasnému snížení očekávaného převodu do státního rozpočtu, který ale bude v příštích letech oproti původnímu p</w:t>
      </w:r>
      <w:r w:rsidR="003E000A">
        <w:rPr>
          <w:rFonts w:cs="Times New Roman"/>
        </w:rPr>
        <w:t>ředpokladu navýšen</w:t>
      </w:r>
      <w:r w:rsidRPr="00112345">
        <w:rPr>
          <w:rFonts w:cs="Times New Roman"/>
        </w:rPr>
        <w:t xml:space="preserve">. V případě, </w:t>
      </w:r>
      <w:r w:rsidR="0028617C">
        <w:rPr>
          <w:rFonts w:cs="Times New Roman"/>
        </w:rPr>
        <w:t>kdy</w:t>
      </w:r>
      <w:r w:rsidR="0028617C" w:rsidRPr="00112345">
        <w:rPr>
          <w:rFonts w:cs="Times New Roman"/>
        </w:rPr>
        <w:t xml:space="preserve"> </w:t>
      </w:r>
      <w:r w:rsidRPr="00112345">
        <w:rPr>
          <w:rFonts w:cs="Times New Roman"/>
        </w:rPr>
        <w:t xml:space="preserve">finanční prostředky </w:t>
      </w:r>
      <w:r w:rsidR="0028617C">
        <w:rPr>
          <w:rFonts w:cs="Times New Roman"/>
        </w:rPr>
        <w:t>budou vyčerpány</w:t>
      </w:r>
      <w:r w:rsidRPr="00112345">
        <w:rPr>
          <w:rFonts w:cs="Times New Roman"/>
        </w:rPr>
        <w:t>, budou vznikat soudní spory na závazky, které jsou smluvně podloženy, především pak v oblasti odstraňování ekologických škod vzniklých před privatizací.</w:t>
      </w:r>
    </w:p>
    <w:p w:rsidR="0028617C" w:rsidRDefault="0028617C" w:rsidP="00FD758C">
      <w:pPr>
        <w:rPr>
          <w:rFonts w:cs="Times New Roman"/>
          <w:b/>
        </w:rPr>
      </w:pPr>
    </w:p>
    <w:p w:rsidR="00FD758C" w:rsidRPr="0099366E" w:rsidRDefault="00FD758C" w:rsidP="00FD758C">
      <w:pPr>
        <w:rPr>
          <w:rFonts w:cs="Times New Roman"/>
          <w:b/>
          <w:sz w:val="22"/>
          <w:szCs w:val="22"/>
        </w:rPr>
      </w:pPr>
      <w:r w:rsidRPr="0099366E">
        <w:rPr>
          <w:rFonts w:cs="Times New Roman"/>
          <w:b/>
        </w:rPr>
        <w:t>Pokud bude tento trend pokračovat, tak v</w:t>
      </w:r>
      <w:r w:rsidR="0028617C">
        <w:rPr>
          <w:rFonts w:cs="Times New Roman"/>
          <w:b/>
        </w:rPr>
        <w:t xml:space="preserve"> dohledné době </w:t>
      </w:r>
      <w:r w:rsidRPr="0099366E">
        <w:rPr>
          <w:rFonts w:cs="Times New Roman"/>
          <w:b/>
        </w:rPr>
        <w:t xml:space="preserve">nebude moci Fond privatizace dostát ani všem provozním závazkům, které </w:t>
      </w:r>
      <w:r w:rsidR="0028617C">
        <w:rPr>
          <w:rFonts w:cs="Times New Roman"/>
          <w:b/>
        </w:rPr>
        <w:t xml:space="preserve">zároveň </w:t>
      </w:r>
      <w:r w:rsidRPr="0099366E">
        <w:rPr>
          <w:rFonts w:cs="Times New Roman"/>
          <w:b/>
        </w:rPr>
        <w:t>nelze financovat z jiných</w:t>
      </w:r>
      <w:r w:rsidRPr="0099366E">
        <w:rPr>
          <w:rFonts w:cs="Times New Roman"/>
          <w:b/>
          <w:sz w:val="22"/>
          <w:szCs w:val="22"/>
        </w:rPr>
        <w:t xml:space="preserve"> zdrojů, </w:t>
      </w:r>
      <w:r w:rsidR="006D0EDC">
        <w:rPr>
          <w:rFonts w:cs="Times New Roman"/>
          <w:b/>
          <w:sz w:val="22"/>
          <w:szCs w:val="22"/>
        </w:rPr>
        <w:br/>
      </w:r>
      <w:r w:rsidRPr="0099366E">
        <w:rPr>
          <w:rFonts w:cs="Times New Roman"/>
          <w:b/>
        </w:rPr>
        <w:t>a tím vzniknou pro Ministerstvo financí soudní spory za neplnění smluvních závazků.</w:t>
      </w:r>
    </w:p>
    <w:p w:rsidR="00EE3BE3" w:rsidRDefault="00EE3BE3" w:rsidP="00FD758C">
      <w:pPr>
        <w:rPr>
          <w:rFonts w:cs="Times New Roman"/>
          <w:sz w:val="22"/>
          <w:szCs w:val="22"/>
        </w:rPr>
      </w:pPr>
    </w:p>
    <w:p w:rsidR="000E49FA" w:rsidRPr="00FD758C" w:rsidRDefault="000E49FA" w:rsidP="00FD758C">
      <w:pPr>
        <w:rPr>
          <w:rFonts w:cs="Times New Roman"/>
          <w:sz w:val="22"/>
          <w:szCs w:val="22"/>
        </w:rPr>
      </w:pPr>
    </w:p>
    <w:p w:rsidR="00FD758C" w:rsidRPr="000E49FA" w:rsidRDefault="00FD758C" w:rsidP="00D8582D">
      <w:pPr>
        <w:pStyle w:val="Odstavecseseznamem"/>
        <w:numPr>
          <w:ilvl w:val="0"/>
          <w:numId w:val="2"/>
        </w:numPr>
        <w:rPr>
          <w:b/>
        </w:rPr>
      </w:pPr>
      <w:r w:rsidRPr="000E49FA">
        <w:rPr>
          <w:b/>
        </w:rPr>
        <w:t xml:space="preserve">Příjmy </w:t>
      </w:r>
      <w:r w:rsidR="00EB0579">
        <w:rPr>
          <w:b/>
        </w:rPr>
        <w:t>zvláštních účtů privatizace</w:t>
      </w:r>
      <w:r w:rsidRPr="000E49FA">
        <w:rPr>
          <w:b/>
        </w:rPr>
        <w:t xml:space="preserve"> jsou téměř výlučně závislé na přiznaných dividendách z majetkových účastí státu.</w:t>
      </w:r>
    </w:p>
    <w:p w:rsidR="00FD758C" w:rsidRPr="00FD758C" w:rsidRDefault="00FD758C" w:rsidP="00FD758C">
      <w:pPr>
        <w:pStyle w:val="Odstavecseseznamem"/>
        <w:rPr>
          <w:sz w:val="22"/>
          <w:szCs w:val="22"/>
        </w:rPr>
      </w:pPr>
    </w:p>
    <w:p w:rsidR="00703E1A" w:rsidRDefault="00703E1A" w:rsidP="00A94D90">
      <w:r w:rsidRPr="007D0733">
        <w:t xml:space="preserve">Příjmy </w:t>
      </w:r>
      <w:r w:rsidR="00EB0579">
        <w:t>zvláštních účtů privatizace</w:t>
      </w:r>
      <w:r w:rsidRPr="007D0733">
        <w:t xml:space="preserve"> v celé historii procesu privatizace tvořily jen příjmy z prodeje majetku určeného k privatizaci (kupní ceny, úhrady pohledávek) a další příjmy, které majetek určený k privatizaci generoval (dividendy, nájmy, příjmy ze soudních rozhodnutí)</w:t>
      </w:r>
      <w:r w:rsidR="006E2175">
        <w:t>.</w:t>
      </w:r>
    </w:p>
    <w:p w:rsidR="00973753" w:rsidRDefault="00973753" w:rsidP="00FD758C">
      <w:pPr>
        <w:rPr>
          <w:rFonts w:ascii="Arial" w:hAnsi="Arial" w:cs="Arial"/>
          <w:sz w:val="22"/>
          <w:szCs w:val="22"/>
        </w:rPr>
      </w:pPr>
    </w:p>
    <w:p w:rsidR="0063680E" w:rsidRDefault="0063680E" w:rsidP="0063680E">
      <w:pPr>
        <w:pStyle w:val="Nadpis5"/>
      </w:pPr>
      <w:r>
        <w:t>Struktura příjmů z Velké privatizace v letech 1991 - 2016</w:t>
      </w:r>
    </w:p>
    <w:p w:rsidR="00703E1A" w:rsidRDefault="00703E1A" w:rsidP="00FD758C">
      <w:pPr>
        <w:rPr>
          <w:rFonts w:cs="Times New Roman"/>
          <w:sz w:val="22"/>
          <w:szCs w:val="22"/>
        </w:rPr>
      </w:pPr>
      <w:r w:rsidRPr="007D073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2F5FCDE" wp14:editId="11F2C1CB">
            <wp:extent cx="5727940" cy="2242868"/>
            <wp:effectExtent l="0" t="0" r="6350" b="508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648" cy="22470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3E1A" w:rsidRDefault="00703E1A" w:rsidP="00FD758C">
      <w:pPr>
        <w:rPr>
          <w:rFonts w:cs="Times New Roman"/>
          <w:sz w:val="22"/>
          <w:szCs w:val="22"/>
        </w:rPr>
      </w:pPr>
    </w:p>
    <w:p w:rsidR="00FD758C" w:rsidRDefault="00EB0579" w:rsidP="00A94D90">
      <w:r>
        <w:t>K 31. 12. 2016 bylo přes 79</w:t>
      </w:r>
      <w:r w:rsidR="00FD758C" w:rsidRPr="00FD758C">
        <w:t xml:space="preserve"> % všech</w:t>
      </w:r>
      <w:r w:rsidR="00FB2729">
        <w:t xml:space="preserve"> ročních</w:t>
      </w:r>
      <w:r w:rsidR="00FD758C" w:rsidRPr="00FD758C">
        <w:t xml:space="preserve"> příjmů </w:t>
      </w:r>
      <w:r>
        <w:t>zvláštních účtů privatizace</w:t>
      </w:r>
      <w:r w:rsidR="00FD758C" w:rsidRPr="00FD758C">
        <w:t xml:space="preserve"> tvořeno dividendami společnosti ČEZ, a. s. Konečná výše vyplacených dividend je známa až v červnu daného roku. Pravidelné příjmy zvláštních účtů </w:t>
      </w:r>
      <w:r w:rsidR="001474E1">
        <w:t xml:space="preserve">privatizace </w:t>
      </w:r>
      <w:r w:rsidR="00FD758C" w:rsidRPr="00FD758C">
        <w:t xml:space="preserve">tvoří jen nájmy z majetku, které činí cca 0,5 mil. Kč ročně. </w:t>
      </w:r>
      <w:r w:rsidR="00FD758C" w:rsidRPr="0099366E">
        <w:rPr>
          <w:b/>
        </w:rPr>
        <w:t xml:space="preserve">V případě, že by došlo k jakémukoliv snížení reálných příjmů, vzniklo by výrazné riziko ohrožení solventnosti Fondu privatizace, především pak </w:t>
      </w:r>
      <w:r w:rsidR="00782139">
        <w:rPr>
          <w:b/>
        </w:rPr>
        <w:br/>
      </w:r>
      <w:r w:rsidR="00FD758C" w:rsidRPr="0099366E">
        <w:rPr>
          <w:b/>
        </w:rPr>
        <w:t>u závazků smluvně podložených, jejichž nesplnění by bylo soudně vymáháno.</w:t>
      </w:r>
      <w:r w:rsidR="001474E1">
        <w:t xml:space="preserve"> Tím by vznikaly nad</w:t>
      </w:r>
      <w:r w:rsidR="00FD758C" w:rsidRPr="00FD758C">
        <w:t>bytečné výdaje na právní služby bez cíleného efektu.</w:t>
      </w:r>
    </w:p>
    <w:p w:rsidR="00EE3BE3" w:rsidRDefault="00EE3BE3" w:rsidP="00A94D90"/>
    <w:p w:rsidR="00EE3BE3" w:rsidRDefault="00EE3BE3" w:rsidP="00A94D90"/>
    <w:p w:rsidR="00EE3BE3" w:rsidRPr="000E49FA" w:rsidRDefault="00EE3BE3" w:rsidP="00D8582D">
      <w:pPr>
        <w:pStyle w:val="Odstavecseseznamem"/>
        <w:numPr>
          <w:ilvl w:val="0"/>
          <w:numId w:val="2"/>
        </w:numPr>
        <w:rPr>
          <w:b/>
        </w:rPr>
      </w:pPr>
      <w:r w:rsidRPr="000E49FA">
        <w:rPr>
          <w:b/>
        </w:rPr>
        <w:t>Proces toku finančních prostředků v průběhu roku je značně nepravidelný</w:t>
      </w:r>
      <w:r w:rsidR="000C47C3">
        <w:rPr>
          <w:b/>
        </w:rPr>
        <w:t>.</w:t>
      </w:r>
    </w:p>
    <w:p w:rsidR="00EE3BE3" w:rsidRPr="0002172D" w:rsidRDefault="00EE3BE3" w:rsidP="00EE3BE3">
      <w:pPr>
        <w:pStyle w:val="Odstavecseseznamem"/>
        <w:rPr>
          <w:b/>
        </w:rPr>
      </w:pPr>
    </w:p>
    <w:p w:rsidR="00EE3BE3" w:rsidRPr="000E49FA" w:rsidRDefault="00EE3BE3" w:rsidP="00EE3BE3">
      <w:pPr>
        <w:rPr>
          <w:rFonts w:cs="Times New Roman"/>
        </w:rPr>
      </w:pPr>
      <w:r w:rsidRPr="000E49FA">
        <w:rPr>
          <w:rFonts w:cs="Times New Roman"/>
        </w:rPr>
        <w:t xml:space="preserve">V průběhu kalendářního roku dochází pravidelně k postupnému poklesu finančních prostředků. K nárůstu dochází nárazově, </w:t>
      </w:r>
      <w:r w:rsidR="000C0D9C">
        <w:rPr>
          <w:rFonts w:cs="Times New Roman"/>
        </w:rPr>
        <w:t xml:space="preserve">a to </w:t>
      </w:r>
      <w:r w:rsidRPr="000E49FA">
        <w:rPr>
          <w:rFonts w:cs="Times New Roman"/>
        </w:rPr>
        <w:t xml:space="preserve">vždy v průběhu srpna, kdy jsou inkasovány dividendy společnosti ČEZ, a. s. V průběhu září – listopad pak dochází k převodu finančních prostředků do státního rozpočtu na kompenzaci deficitu důchodového systému, a tedy k jednorázovému prudkému poklesu finančních prostředků. </w:t>
      </w:r>
    </w:p>
    <w:p w:rsidR="00EE3BE3" w:rsidRDefault="00EE3BE3" w:rsidP="00EE3BE3">
      <w:pPr>
        <w:rPr>
          <w:rFonts w:ascii="Arial" w:hAnsi="Arial" w:cs="Arial"/>
          <w:sz w:val="22"/>
          <w:szCs w:val="22"/>
        </w:rPr>
      </w:pPr>
    </w:p>
    <w:p w:rsidR="00EE3BE3" w:rsidRPr="000E49FA" w:rsidRDefault="00EE3BE3" w:rsidP="00D8582D">
      <w:pPr>
        <w:pStyle w:val="Nadpis5"/>
        <w:numPr>
          <w:ilvl w:val="4"/>
          <w:numId w:val="12"/>
        </w:numPr>
        <w:rPr>
          <w:sz w:val="24"/>
          <w:szCs w:val="24"/>
        </w:rPr>
      </w:pPr>
      <w:bookmarkStart w:id="5" w:name="_Toc479574683"/>
      <w:r w:rsidRPr="000E49FA">
        <w:rPr>
          <w:sz w:val="24"/>
          <w:szCs w:val="24"/>
        </w:rPr>
        <w:t>Stavy finančních prostředků Fondu privatizace</w:t>
      </w:r>
      <w:r w:rsidR="00782139" w:rsidRPr="000E49FA">
        <w:rPr>
          <w:sz w:val="24"/>
          <w:szCs w:val="24"/>
        </w:rPr>
        <w:t xml:space="preserve"> ke konci jednotlivých měsíců</w:t>
      </w:r>
      <w:r w:rsidRPr="000E49FA">
        <w:rPr>
          <w:sz w:val="24"/>
          <w:szCs w:val="24"/>
        </w:rPr>
        <w:t xml:space="preserve"> v letech 2013 – 2016</w:t>
      </w:r>
      <w:bookmarkEnd w:id="5"/>
    </w:p>
    <w:p w:rsidR="00EE3BE3" w:rsidRPr="007D0733" w:rsidRDefault="00EE3BE3" w:rsidP="00EE3BE3">
      <w:pPr>
        <w:rPr>
          <w:rFonts w:ascii="Arial" w:hAnsi="Arial" w:cs="Arial"/>
          <w:sz w:val="22"/>
          <w:szCs w:val="22"/>
        </w:rPr>
      </w:pPr>
      <w:r w:rsidRPr="007D073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34C4351" wp14:editId="3FBF39F7">
            <wp:extent cx="5778631" cy="331582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998" cy="3316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BE3" w:rsidRDefault="00EE3BE3" w:rsidP="00EE3BE3">
      <w:pPr>
        <w:rPr>
          <w:rFonts w:cs="Times New Roman"/>
        </w:rPr>
      </w:pPr>
    </w:p>
    <w:p w:rsidR="00EE3BE3" w:rsidRDefault="00EE3BE3" w:rsidP="00EE3BE3">
      <w:pPr>
        <w:rPr>
          <w:rFonts w:cs="Times New Roman"/>
        </w:rPr>
      </w:pPr>
      <w:r>
        <w:rPr>
          <w:rFonts w:cs="Times New Roman"/>
        </w:rPr>
        <w:t>V případě, že bude nadále pokračovat trend poklesu konečných zůstatků na zvláštních účtech</w:t>
      </w:r>
      <w:r w:rsidR="001474E1">
        <w:rPr>
          <w:rFonts w:cs="Times New Roman"/>
        </w:rPr>
        <w:t xml:space="preserve"> privatizace</w:t>
      </w:r>
      <w:r>
        <w:rPr>
          <w:rFonts w:cs="Times New Roman"/>
        </w:rPr>
        <w:t xml:space="preserve">, </w:t>
      </w:r>
      <w:r w:rsidR="000C0D9C">
        <w:rPr>
          <w:rFonts w:cs="Times New Roman"/>
        </w:rPr>
        <w:t xml:space="preserve">nastává </w:t>
      </w:r>
      <w:r>
        <w:rPr>
          <w:rFonts w:cs="Times New Roman"/>
        </w:rPr>
        <w:t>riziko, že při vzniku neočekávaného privatizačního nároku</w:t>
      </w:r>
      <w:r w:rsidR="000C0D9C">
        <w:rPr>
          <w:rFonts w:cs="Times New Roman"/>
        </w:rPr>
        <w:t>,</w:t>
      </w:r>
      <w:r>
        <w:rPr>
          <w:rFonts w:cs="Times New Roman"/>
        </w:rPr>
        <w:t xml:space="preserve"> jako </w:t>
      </w:r>
      <w:r w:rsidR="000C0D9C">
        <w:rPr>
          <w:rFonts w:cs="Times New Roman"/>
        </w:rPr>
        <w:t xml:space="preserve">je </w:t>
      </w:r>
      <w:r>
        <w:rPr>
          <w:rFonts w:cs="Times New Roman"/>
        </w:rPr>
        <w:t>např. úhrad</w:t>
      </w:r>
      <w:r w:rsidR="000C0D9C">
        <w:rPr>
          <w:rFonts w:cs="Times New Roman"/>
        </w:rPr>
        <w:t>a</w:t>
      </w:r>
      <w:r>
        <w:rPr>
          <w:rFonts w:cs="Times New Roman"/>
        </w:rPr>
        <w:t xml:space="preserve"> soudního rozhodnutí, nebude </w:t>
      </w:r>
      <w:r w:rsidR="000C0D9C">
        <w:rPr>
          <w:rFonts w:cs="Times New Roman"/>
        </w:rPr>
        <w:t xml:space="preserve">dočasně </w:t>
      </w:r>
      <w:r>
        <w:rPr>
          <w:rFonts w:cs="Times New Roman"/>
        </w:rPr>
        <w:t>na účtech dostatek prostředků pro úhradu tohoto nároku.</w:t>
      </w:r>
    </w:p>
    <w:p w:rsidR="001D19B6" w:rsidRDefault="001D19B6" w:rsidP="00A94D90">
      <w:pPr>
        <w:rPr>
          <w:rFonts w:cs="Times New Roman"/>
          <w:sz w:val="22"/>
          <w:szCs w:val="22"/>
        </w:rPr>
      </w:pPr>
    </w:p>
    <w:p w:rsidR="00FD758C" w:rsidRDefault="00FD758C" w:rsidP="00FD758C">
      <w:pPr>
        <w:rPr>
          <w:rFonts w:cs="Times New Roman"/>
          <w:sz w:val="22"/>
          <w:szCs w:val="22"/>
        </w:rPr>
      </w:pPr>
    </w:p>
    <w:p w:rsidR="000E49FA" w:rsidRPr="00FD758C" w:rsidRDefault="000E49FA" w:rsidP="00FD758C">
      <w:pPr>
        <w:rPr>
          <w:rFonts w:cs="Times New Roman"/>
          <w:sz w:val="22"/>
          <w:szCs w:val="22"/>
        </w:rPr>
      </w:pPr>
    </w:p>
    <w:p w:rsidR="00112345" w:rsidRPr="000E49FA" w:rsidRDefault="00112345" w:rsidP="00D8582D">
      <w:pPr>
        <w:pStyle w:val="Odstavecseseznamem"/>
        <w:numPr>
          <w:ilvl w:val="0"/>
          <w:numId w:val="2"/>
        </w:numPr>
        <w:rPr>
          <w:b/>
        </w:rPr>
      </w:pPr>
      <w:r w:rsidRPr="000E49FA">
        <w:rPr>
          <w:b/>
        </w:rPr>
        <w:t>Potencionální závazky a finanční požadavky, vztahující se k</w:t>
      </w:r>
      <w:r w:rsidR="00AD2615" w:rsidRPr="000E49FA">
        <w:rPr>
          <w:b/>
        </w:rPr>
        <w:t> tzv. V</w:t>
      </w:r>
      <w:r w:rsidR="003E000A" w:rsidRPr="000E49FA">
        <w:rPr>
          <w:b/>
        </w:rPr>
        <w:t>elké privatizaci</w:t>
      </w:r>
      <w:r w:rsidRPr="000E49FA">
        <w:rPr>
          <w:b/>
        </w:rPr>
        <w:t xml:space="preserve"> (privatizace dle zákona č. 92/1991 Sb.)</w:t>
      </w:r>
      <w:r w:rsidR="000C47C3">
        <w:rPr>
          <w:b/>
        </w:rPr>
        <w:t>,</w:t>
      </w:r>
      <w:r w:rsidRPr="000E49FA">
        <w:rPr>
          <w:b/>
        </w:rPr>
        <w:t xml:space="preserve"> přesahují finanční možnosti jejich krytí </w:t>
      </w:r>
      <w:r w:rsidR="006D0EDC">
        <w:rPr>
          <w:b/>
        </w:rPr>
        <w:br/>
      </w:r>
      <w:r w:rsidRPr="000E49FA">
        <w:rPr>
          <w:b/>
        </w:rPr>
        <w:t>z</w:t>
      </w:r>
      <w:r w:rsidR="003E000A" w:rsidRPr="000E49FA">
        <w:rPr>
          <w:b/>
        </w:rPr>
        <w:t xml:space="preserve"> majetku</w:t>
      </w:r>
      <w:r w:rsidRPr="000E49FA">
        <w:rPr>
          <w:b/>
        </w:rPr>
        <w:t xml:space="preserve"> Fondu privatizace</w:t>
      </w:r>
      <w:r w:rsidR="000C47C3">
        <w:rPr>
          <w:b/>
        </w:rPr>
        <w:t>.</w:t>
      </w:r>
    </w:p>
    <w:p w:rsidR="00FD758C" w:rsidRPr="00FD758C" w:rsidRDefault="00FD758C" w:rsidP="00FD758C">
      <w:pPr>
        <w:rPr>
          <w:rFonts w:cs="Times New Roman"/>
          <w:sz w:val="22"/>
          <w:szCs w:val="22"/>
        </w:rPr>
      </w:pPr>
    </w:p>
    <w:p w:rsidR="00112345" w:rsidRPr="00973753" w:rsidRDefault="00FD758C" w:rsidP="00112345">
      <w:pPr>
        <w:rPr>
          <w:b/>
        </w:rPr>
      </w:pPr>
      <w:r w:rsidRPr="0099366E">
        <w:t xml:space="preserve">Potencionální závazky a finanční požadavky, vztahující se k účtu Fondu privatizace, </w:t>
      </w:r>
      <w:r w:rsidRPr="0099366E">
        <w:br/>
        <w:t>tj. závazky a finanční požadavky, které m</w:t>
      </w:r>
      <w:r w:rsidR="000C47C3">
        <w:t>ohou</w:t>
      </w:r>
      <w:r w:rsidRPr="0099366E">
        <w:t xml:space="preserve">, ale také nemusejí být realizovány, tvoří cca 142 800 mil. Kč, kdežto aktiva Fondu privatizace k 31. 12. 2016 činí jen cca 96 600 mil. Kč. </w:t>
      </w:r>
      <w:r w:rsidRPr="0099366E">
        <w:rPr>
          <w:b/>
        </w:rPr>
        <w:t xml:space="preserve">V případě, že by došlo k neočekávanému výpadku příjmů, </w:t>
      </w:r>
      <w:r w:rsidR="00267D54">
        <w:rPr>
          <w:b/>
        </w:rPr>
        <w:t>nebude</w:t>
      </w:r>
      <w:r w:rsidRPr="0099366E">
        <w:rPr>
          <w:b/>
        </w:rPr>
        <w:t xml:space="preserve"> ve Fondu privatizace dostatek aktiv pro krytí všech potencionálních závazků a finančních požadavků.</w:t>
      </w:r>
    </w:p>
    <w:p w:rsidR="00112345" w:rsidRPr="00112345" w:rsidRDefault="00112345" w:rsidP="00112345"/>
    <w:p w:rsidR="001D19B6" w:rsidRPr="001D19B6" w:rsidRDefault="001D19B6" w:rsidP="00F64199">
      <w:pPr>
        <w:pStyle w:val="Nadpis4"/>
        <w:ind w:left="862" w:hanging="862"/>
      </w:pPr>
      <w:r>
        <w:t>Struktura</w:t>
      </w:r>
      <w:r w:rsidR="0063680E">
        <w:t xml:space="preserve"> majetku </w:t>
      </w:r>
      <w:r w:rsidR="00EB0579">
        <w:t>zvláštních účtů privatizace</w:t>
      </w:r>
      <w:r w:rsidR="0063680E">
        <w:t xml:space="preserve"> (Fond privatizace) k 31. 12. 2016</w:t>
      </w:r>
    </w:p>
    <w:tbl>
      <w:tblPr>
        <w:tblW w:w="902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99"/>
        <w:gridCol w:w="991"/>
        <w:gridCol w:w="1120"/>
        <w:gridCol w:w="982"/>
        <w:gridCol w:w="3033"/>
      </w:tblGrid>
      <w:tr w:rsidR="001D19B6" w:rsidRPr="007D0733" w:rsidTr="00254091">
        <w:trPr>
          <w:trHeight w:val="154"/>
          <w:tblHeader/>
        </w:trPr>
        <w:tc>
          <w:tcPr>
            <w:tcW w:w="287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Položka</w:t>
            </w:r>
          </w:p>
        </w:tc>
        <w:tc>
          <w:tcPr>
            <w:tcW w:w="3092" w:type="dxa"/>
            <w:gridSpan w:val="3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Stav k 31. 12. 2016</w:t>
            </w:r>
          </w:p>
        </w:tc>
        <w:tc>
          <w:tcPr>
            <w:tcW w:w="3060" w:type="dxa"/>
            <w:vMerge w:val="restart"/>
            <w:tcBorders>
              <w:top w:val="single" w:sz="18" w:space="0" w:color="auto"/>
              <w:left w:val="nil"/>
              <w:bottom w:val="single" w:sz="12" w:space="0" w:color="000000"/>
              <w:right w:val="single" w:sz="1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Poznámka</w:t>
            </w:r>
          </w:p>
        </w:tc>
      </w:tr>
      <w:tr w:rsidR="001D19B6" w:rsidRPr="007D0733" w:rsidTr="00254091">
        <w:trPr>
          <w:trHeight w:val="89"/>
          <w:tblHeader/>
        </w:trPr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Celkem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VP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MP</w:t>
            </w:r>
          </w:p>
        </w:tc>
        <w:tc>
          <w:tcPr>
            <w:tcW w:w="3060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8" w:space="0" w:color="auto"/>
            </w:tcBorders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b/>
                <w:bCs/>
                <w:color w:val="000000"/>
              </w:rPr>
            </w:pPr>
          </w:p>
        </w:tc>
      </w:tr>
      <w:tr w:rsidR="001D19B6" w:rsidRPr="007D0733" w:rsidTr="00254091">
        <w:trPr>
          <w:trHeight w:val="166"/>
        </w:trPr>
        <w:tc>
          <w:tcPr>
            <w:tcW w:w="0" w:type="auto"/>
            <w:tcBorders>
              <w:top w:val="nil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Aktiva celkem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96 637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93 045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3 592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 </w:t>
            </w:r>
          </w:p>
        </w:tc>
      </w:tr>
      <w:tr w:rsidR="001D19B6" w:rsidRPr="007D0733" w:rsidTr="00254091">
        <w:trPr>
          <w:trHeight w:val="84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Stálá aktiva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79 134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78 971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163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 </w:t>
            </w:r>
          </w:p>
        </w:tc>
      </w:tr>
      <w:tr w:rsidR="001D19B6" w:rsidRPr="007D0733" w:rsidTr="00254091">
        <w:trPr>
          <w:trHeight w:val="270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Dlouhodobý hmotný majetek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31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31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0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8" w:space="0" w:color="auto"/>
              <w:right w:val="single" w:sz="1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hmotný majetek určený k privatizaci (budovy, pozemky)</w:t>
            </w:r>
          </w:p>
        </w:tc>
      </w:tr>
      <w:tr w:rsidR="001D19B6" w:rsidRPr="007D0733" w:rsidTr="00254091">
        <w:trPr>
          <w:trHeight w:val="116"/>
        </w:trPr>
        <w:tc>
          <w:tcPr>
            <w:tcW w:w="0" w:type="auto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Dlouhodobý finanční majetek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78 791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78 791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majetkové účasti podniků určených k privatizaci</w:t>
            </w:r>
          </w:p>
        </w:tc>
      </w:tr>
      <w:tr w:rsidR="001D19B6" w:rsidRPr="007D0733" w:rsidTr="00254091">
        <w:trPr>
          <w:trHeight w:val="320"/>
        </w:trPr>
        <w:tc>
          <w:tcPr>
            <w:tcW w:w="0" w:type="auto"/>
            <w:tcBorders>
              <w:top w:val="nil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Dlouhodobé pohledávky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149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163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 xml:space="preserve">především zálohy poskytované </w:t>
            </w:r>
            <w:r w:rsidRPr="005E04BA">
              <w:rPr>
                <w:rFonts w:cs="Times New Roman"/>
                <w:color w:val="000000"/>
              </w:rPr>
              <w:lastRenderedPageBreak/>
              <w:t>DIAMO s.</w:t>
            </w:r>
            <w:r w:rsidR="00976DB6" w:rsidRPr="005E04BA">
              <w:rPr>
                <w:rFonts w:cs="Times New Roman"/>
                <w:color w:val="000000"/>
              </w:rPr>
              <w:t xml:space="preserve"> </w:t>
            </w:r>
            <w:r w:rsidRPr="005E04BA">
              <w:rPr>
                <w:rFonts w:cs="Times New Roman"/>
                <w:color w:val="000000"/>
              </w:rPr>
              <w:t>p., které jsou každý měsíc vyúčtovány</w:t>
            </w:r>
          </w:p>
        </w:tc>
      </w:tr>
      <w:tr w:rsidR="001D19B6" w:rsidRPr="007D0733" w:rsidTr="00254091">
        <w:trPr>
          <w:trHeight w:val="143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lastRenderedPageBreak/>
              <w:t>Oběžná aktiva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17 503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14 074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3 429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b/>
                <w:bCs/>
                <w:color w:val="000000"/>
              </w:rPr>
            </w:pPr>
            <w:r w:rsidRPr="005E04BA">
              <w:rPr>
                <w:rFonts w:cs="Times New Roman"/>
                <w:b/>
                <w:bCs/>
                <w:color w:val="000000"/>
              </w:rPr>
              <w:t> </w:t>
            </w:r>
          </w:p>
        </w:tc>
      </w:tr>
      <w:tr w:rsidR="001D19B6" w:rsidRPr="007D0733" w:rsidTr="00254091">
        <w:trPr>
          <w:trHeight w:val="175"/>
        </w:trPr>
        <w:tc>
          <w:tcPr>
            <w:tcW w:w="0" w:type="auto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Zásoby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0</w:t>
            </w:r>
          </w:p>
        </w:tc>
        <w:tc>
          <w:tcPr>
            <w:tcW w:w="98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0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8" w:space="0" w:color="auto"/>
              <w:right w:val="single" w:sz="1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drobné zásoby v hodnotě 75.000 Kč</w:t>
            </w:r>
          </w:p>
        </w:tc>
      </w:tr>
      <w:tr w:rsidR="001D19B6" w:rsidRPr="007D0733" w:rsidTr="00254091">
        <w:trPr>
          <w:trHeight w:val="420"/>
        </w:trPr>
        <w:tc>
          <w:tcPr>
            <w:tcW w:w="0" w:type="auto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Krátkodobé pohledávky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538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0,001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0C47C3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 xml:space="preserve">především pohledávky </w:t>
            </w:r>
            <w:r w:rsidR="00106E1C">
              <w:rPr>
                <w:rFonts w:cs="Times New Roman"/>
                <w:color w:val="000000"/>
              </w:rPr>
              <w:br/>
            </w:r>
            <w:r w:rsidRPr="005E04BA">
              <w:rPr>
                <w:rFonts w:cs="Times New Roman"/>
                <w:color w:val="000000"/>
              </w:rPr>
              <w:t>z kupních cen privatizovaného majetku</w:t>
            </w:r>
            <w:r w:rsidR="000C47C3">
              <w:rPr>
                <w:rFonts w:cs="Times New Roman"/>
                <w:color w:val="000000"/>
              </w:rPr>
              <w:t>; n</w:t>
            </w:r>
            <w:r w:rsidRPr="005E04BA">
              <w:rPr>
                <w:rFonts w:cs="Times New Roman"/>
                <w:color w:val="000000"/>
              </w:rPr>
              <w:t>a absolutní většinu pohledávek již jsou vytvořeny opravné položky na 100 % hodnoty pohledávek</w:t>
            </w:r>
          </w:p>
        </w:tc>
      </w:tr>
      <w:tr w:rsidR="001D19B6" w:rsidRPr="007D0733" w:rsidTr="00254091">
        <w:trPr>
          <w:trHeight w:val="133"/>
        </w:trPr>
        <w:tc>
          <w:tcPr>
            <w:tcW w:w="0" w:type="auto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Krátkodobý finanční majetek</w:t>
            </w:r>
          </w:p>
        </w:tc>
        <w:tc>
          <w:tcPr>
            <w:tcW w:w="991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16 965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13 536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D19B6">
            <w:pPr>
              <w:ind w:right="57"/>
              <w:jc w:val="righ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3 429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0C47C3" w:rsidP="001D19B6">
            <w:pPr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f</w:t>
            </w:r>
            <w:r w:rsidRPr="005E04BA">
              <w:rPr>
                <w:rFonts w:cs="Times New Roman"/>
                <w:color w:val="000000"/>
              </w:rPr>
              <w:t xml:space="preserve">inanční </w:t>
            </w:r>
            <w:r w:rsidR="001D19B6" w:rsidRPr="005E04BA">
              <w:rPr>
                <w:rFonts w:cs="Times New Roman"/>
                <w:color w:val="000000"/>
              </w:rPr>
              <w:t xml:space="preserve">prostředky Fondu privatizace </w:t>
            </w:r>
          </w:p>
        </w:tc>
      </w:tr>
    </w:tbl>
    <w:p w:rsidR="001D19B6" w:rsidRPr="00FD758C" w:rsidRDefault="001D19B6" w:rsidP="00FD758C">
      <w:pPr>
        <w:rPr>
          <w:rFonts w:cs="Times New Roman"/>
          <w:sz w:val="22"/>
          <w:szCs w:val="22"/>
        </w:rPr>
      </w:pPr>
    </w:p>
    <w:p w:rsidR="00FD758C" w:rsidRDefault="00FD758C" w:rsidP="00FD758C">
      <w:pPr>
        <w:rPr>
          <w:rFonts w:cs="Times New Roman"/>
          <w:sz w:val="22"/>
          <w:szCs w:val="22"/>
        </w:rPr>
      </w:pPr>
    </w:p>
    <w:p w:rsidR="001D19B6" w:rsidRPr="00A94D90" w:rsidRDefault="001D19B6" w:rsidP="00F64199">
      <w:pPr>
        <w:pStyle w:val="Nadpis4"/>
        <w:ind w:left="862" w:hanging="862"/>
        <w:rPr>
          <w:sz w:val="22"/>
          <w:szCs w:val="22"/>
        </w:rPr>
      </w:pPr>
      <w:bookmarkStart w:id="6" w:name="_Toc477181337"/>
      <w:bookmarkStart w:id="7" w:name="_Toc479574663"/>
      <w:r w:rsidRPr="00A94D90">
        <w:rPr>
          <w:sz w:val="22"/>
          <w:szCs w:val="22"/>
        </w:rPr>
        <w:t>Seznam všech podmíněných závazků nad 100 mil. Kč ke dni 31. 12. 2016</w:t>
      </w:r>
      <w:bookmarkEnd w:id="6"/>
      <w:bookmarkEnd w:id="7"/>
    </w:p>
    <w:tbl>
      <w:tblPr>
        <w:tblW w:w="9081" w:type="dxa"/>
        <w:tblInd w:w="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678"/>
        <w:gridCol w:w="1403"/>
      </w:tblGrid>
      <w:tr w:rsidR="001D19B6" w:rsidRPr="00A94D90" w:rsidTr="005E04BA">
        <w:trPr>
          <w:trHeight w:val="260"/>
          <w:tblHeader/>
        </w:trPr>
        <w:tc>
          <w:tcPr>
            <w:tcW w:w="767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A94D90" w:rsidRDefault="001D19B6" w:rsidP="00186A0A">
            <w:pPr>
              <w:jc w:val="left"/>
              <w:rPr>
                <w:rFonts w:cs="Times New Roman"/>
                <w:b/>
                <w:bCs/>
              </w:rPr>
            </w:pPr>
            <w:r w:rsidRPr="00A94D90">
              <w:rPr>
                <w:rFonts w:cs="Times New Roman"/>
                <w:b/>
                <w:bCs/>
                <w:sz w:val="22"/>
                <w:szCs w:val="22"/>
              </w:rPr>
              <w:t>Podmíněný závazek</w:t>
            </w:r>
          </w:p>
        </w:tc>
        <w:tc>
          <w:tcPr>
            <w:tcW w:w="1403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A94D90" w:rsidRDefault="001D19B6" w:rsidP="00186A0A">
            <w:pPr>
              <w:jc w:val="center"/>
              <w:rPr>
                <w:rFonts w:cs="Times New Roman"/>
                <w:b/>
                <w:bCs/>
              </w:rPr>
            </w:pPr>
            <w:r w:rsidRPr="00A94D90">
              <w:rPr>
                <w:rFonts w:cs="Times New Roman"/>
                <w:b/>
                <w:bCs/>
                <w:sz w:val="22"/>
                <w:szCs w:val="22"/>
              </w:rPr>
              <w:t>Hodnota v mil. Kč</w:t>
            </w:r>
          </w:p>
        </w:tc>
      </w:tr>
      <w:tr w:rsidR="001D19B6" w:rsidRPr="00A94D90" w:rsidTr="005E04BA">
        <w:trPr>
          <w:trHeight w:val="141"/>
        </w:trPr>
        <w:tc>
          <w:tcPr>
            <w:tcW w:w="767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Odstraňování ekologických škod vzniklých před privatizací (bez úhrady zádržného)</w:t>
            </w:r>
          </w:p>
        </w:tc>
        <w:tc>
          <w:tcPr>
            <w:tcW w:w="1403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</w:rPr>
            </w:pPr>
            <w:r w:rsidRPr="005E04BA">
              <w:rPr>
                <w:rFonts w:cs="Times New Roman"/>
              </w:rPr>
              <w:t>101 908</w:t>
            </w:r>
          </w:p>
        </w:tc>
      </w:tr>
      <w:tr w:rsidR="001D19B6" w:rsidRPr="00A94D90" w:rsidTr="005E04BA">
        <w:trPr>
          <w:trHeight w:val="169"/>
        </w:trPr>
        <w:tc>
          <w:tcPr>
            <w:tcW w:w="76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D19B6" w:rsidRPr="005E04BA" w:rsidRDefault="001D19B6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Odstraňování následků hornické a hutnické činnosti a revitalizace dotčené krajiny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</w:rPr>
            </w:pPr>
            <w:r w:rsidRPr="005E04BA">
              <w:rPr>
                <w:rFonts w:cs="Times New Roman"/>
              </w:rPr>
              <w:t>12 445</w:t>
            </w:r>
          </w:p>
        </w:tc>
      </w:tr>
      <w:tr w:rsidR="001D19B6" w:rsidRPr="00A94D90" w:rsidTr="005E04BA">
        <w:trPr>
          <w:trHeight w:val="145"/>
        </w:trPr>
        <w:tc>
          <w:tcPr>
            <w:tcW w:w="76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5E04BA" w:rsidRDefault="001D19B6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Prostředky určené pro státní podnik DIAMO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</w:rPr>
            </w:pPr>
            <w:r w:rsidRPr="005E04BA">
              <w:rPr>
                <w:rFonts w:cs="Times New Roman"/>
              </w:rPr>
              <w:t>25 607</w:t>
            </w:r>
          </w:p>
        </w:tc>
      </w:tr>
      <w:tr w:rsidR="001D19B6" w:rsidRPr="00A94D90" w:rsidTr="005E04BA">
        <w:trPr>
          <w:trHeight w:val="135"/>
        </w:trPr>
        <w:tc>
          <w:tcPr>
            <w:tcW w:w="76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5E04BA" w:rsidRDefault="001D19B6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Ministerstvo průmyslu a obchodu – Podpora průmyslových zón*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</w:rPr>
            </w:pPr>
            <w:r w:rsidRPr="005E04BA">
              <w:rPr>
                <w:rFonts w:cs="Times New Roman"/>
              </w:rPr>
              <w:t>1 328</w:t>
            </w:r>
          </w:p>
        </w:tc>
      </w:tr>
      <w:tr w:rsidR="001D19B6" w:rsidRPr="00A94D90" w:rsidTr="005E04BA">
        <w:trPr>
          <w:trHeight w:val="111"/>
        </w:trPr>
        <w:tc>
          <w:tcPr>
            <w:tcW w:w="767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5E04BA" w:rsidRDefault="001D19B6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 xml:space="preserve">Závazky z pasivních </w:t>
            </w:r>
            <w:r w:rsidR="00703E1A" w:rsidRPr="005E04BA">
              <w:rPr>
                <w:rFonts w:cs="Times New Roman"/>
                <w:color w:val="000000"/>
              </w:rPr>
              <w:t>soudních sporů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</w:rPr>
            </w:pPr>
            <w:r w:rsidRPr="005E04BA">
              <w:rPr>
                <w:rFonts w:cs="Times New Roman"/>
              </w:rPr>
              <w:t>847</w:t>
            </w:r>
          </w:p>
        </w:tc>
      </w:tr>
      <w:tr w:rsidR="001D19B6" w:rsidRPr="00A94D90" w:rsidTr="005E04BA">
        <w:trPr>
          <w:trHeight w:val="87"/>
        </w:trPr>
        <w:tc>
          <w:tcPr>
            <w:tcW w:w="767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5E04BA" w:rsidRDefault="001D19B6" w:rsidP="00186A0A">
            <w:pPr>
              <w:jc w:val="left"/>
              <w:rPr>
                <w:rFonts w:cs="Times New Roman"/>
                <w:color w:val="000000"/>
              </w:rPr>
            </w:pPr>
            <w:r w:rsidRPr="005E04BA">
              <w:rPr>
                <w:rFonts w:cs="Times New Roman"/>
                <w:color w:val="000000"/>
              </w:rPr>
              <w:t>Ministerstvo kultury - Program péče o národní kulturní poklad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</w:rPr>
            </w:pPr>
            <w:r w:rsidRPr="005E04BA">
              <w:rPr>
                <w:rFonts w:cs="Times New Roman"/>
              </w:rPr>
              <w:t>684</w:t>
            </w:r>
          </w:p>
        </w:tc>
      </w:tr>
      <w:tr w:rsidR="001D19B6" w:rsidRPr="00A94D90" w:rsidTr="005E04BA">
        <w:trPr>
          <w:trHeight w:val="118"/>
        </w:trPr>
        <w:tc>
          <w:tcPr>
            <w:tcW w:w="767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5E04BA" w:rsidRDefault="001D19B6" w:rsidP="00186A0A">
            <w:pPr>
              <w:jc w:val="left"/>
              <w:rPr>
                <w:rFonts w:cs="Times New Roman"/>
                <w:b/>
                <w:bCs/>
              </w:rPr>
            </w:pPr>
            <w:r w:rsidRPr="005E04BA">
              <w:rPr>
                <w:rFonts w:cs="Times New Roman"/>
                <w:b/>
                <w:bCs/>
              </w:rPr>
              <w:t>Celkem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D19B6" w:rsidRPr="005E04BA" w:rsidRDefault="001D19B6" w:rsidP="00186A0A">
            <w:pPr>
              <w:ind w:right="57"/>
              <w:jc w:val="right"/>
              <w:rPr>
                <w:rFonts w:cs="Times New Roman"/>
                <w:b/>
                <w:bCs/>
              </w:rPr>
            </w:pPr>
            <w:r w:rsidRPr="005E04BA">
              <w:rPr>
                <w:rFonts w:cs="Times New Roman"/>
                <w:b/>
                <w:bCs/>
              </w:rPr>
              <w:t>142 819</w:t>
            </w:r>
          </w:p>
        </w:tc>
      </w:tr>
    </w:tbl>
    <w:p w:rsidR="001D19B6" w:rsidRPr="00A94D90" w:rsidRDefault="001D19B6" w:rsidP="00FD758C">
      <w:pPr>
        <w:rPr>
          <w:rFonts w:ascii="Arial" w:hAnsi="Arial" w:cs="Arial"/>
          <w:i/>
          <w:sz w:val="22"/>
          <w:szCs w:val="22"/>
        </w:rPr>
      </w:pPr>
      <w:r w:rsidRPr="007D0733">
        <w:rPr>
          <w:rFonts w:ascii="Arial" w:hAnsi="Arial" w:cs="Arial"/>
          <w:sz w:val="22"/>
          <w:szCs w:val="22"/>
        </w:rPr>
        <w:t>*</w:t>
      </w:r>
      <w:r w:rsidRPr="007D0733">
        <w:rPr>
          <w:rFonts w:ascii="Arial" w:hAnsi="Arial" w:cs="Arial"/>
          <w:i/>
          <w:sz w:val="22"/>
          <w:szCs w:val="22"/>
        </w:rPr>
        <w:t xml:space="preserve"> </w:t>
      </w:r>
      <w:r w:rsidRPr="00E63A9A">
        <w:rPr>
          <w:rFonts w:cs="Times New Roman"/>
          <w:i/>
          <w:sz w:val="22"/>
          <w:szCs w:val="22"/>
        </w:rPr>
        <w:t>od roku 2017</w:t>
      </w:r>
      <w:r w:rsidR="000C47C3">
        <w:rPr>
          <w:rFonts w:cs="Times New Roman"/>
          <w:i/>
          <w:sz w:val="22"/>
          <w:szCs w:val="22"/>
        </w:rPr>
        <w:t>,</w:t>
      </w:r>
      <w:r w:rsidRPr="00E63A9A">
        <w:rPr>
          <w:rFonts w:cs="Times New Roman"/>
          <w:i/>
          <w:sz w:val="22"/>
          <w:szCs w:val="22"/>
        </w:rPr>
        <w:t xml:space="preserve"> </w:t>
      </w:r>
      <w:r w:rsidR="001474E1">
        <w:rPr>
          <w:rFonts w:cs="Times New Roman"/>
          <w:i/>
          <w:sz w:val="22"/>
          <w:szCs w:val="22"/>
        </w:rPr>
        <w:t xml:space="preserve">kdy platí nová usnesení </w:t>
      </w:r>
      <w:r w:rsidR="001474E1" w:rsidRPr="00872DA7">
        <w:rPr>
          <w:rFonts w:cs="Times New Roman"/>
          <w:i/>
          <w:sz w:val="22"/>
          <w:szCs w:val="22"/>
        </w:rPr>
        <w:t>vlády č. 97 ze</w:t>
      </w:r>
      <w:r w:rsidR="001474E1">
        <w:rPr>
          <w:rFonts w:cs="Times New Roman"/>
          <w:i/>
          <w:sz w:val="22"/>
          <w:szCs w:val="22"/>
        </w:rPr>
        <w:t xml:space="preserve"> dne</w:t>
      </w:r>
      <w:r w:rsidRPr="00E63A9A">
        <w:rPr>
          <w:rFonts w:cs="Times New Roman"/>
          <w:i/>
          <w:sz w:val="22"/>
          <w:szCs w:val="22"/>
        </w:rPr>
        <w:t xml:space="preserve"> 9. února 2015 a usnesení vlády č. 576 ze dne 22. července 2015</w:t>
      </w:r>
      <w:r w:rsidR="000C47C3">
        <w:rPr>
          <w:rFonts w:cs="Times New Roman"/>
          <w:i/>
          <w:sz w:val="22"/>
          <w:szCs w:val="22"/>
        </w:rPr>
        <w:t>,</w:t>
      </w:r>
      <w:r w:rsidRPr="00E63A9A">
        <w:rPr>
          <w:rFonts w:cs="Times New Roman"/>
          <w:i/>
          <w:sz w:val="22"/>
          <w:szCs w:val="22"/>
        </w:rPr>
        <w:t xml:space="preserve"> bude činit celková částka 1 327,8 mil. Kč</w:t>
      </w:r>
    </w:p>
    <w:p w:rsidR="001D19B6" w:rsidRDefault="001D19B6" w:rsidP="00FD758C">
      <w:pPr>
        <w:rPr>
          <w:rFonts w:cs="Times New Roman"/>
          <w:sz w:val="22"/>
          <w:szCs w:val="22"/>
        </w:rPr>
      </w:pPr>
    </w:p>
    <w:p w:rsidR="0046404C" w:rsidRPr="00FD758C" w:rsidRDefault="0046404C" w:rsidP="00FD758C">
      <w:pPr>
        <w:rPr>
          <w:rFonts w:cs="Times New Roman"/>
          <w:sz w:val="22"/>
          <w:szCs w:val="22"/>
        </w:rPr>
      </w:pPr>
    </w:p>
    <w:p w:rsidR="00FD758C" w:rsidRPr="00201C7B" w:rsidRDefault="00FD758C" w:rsidP="00D8582D">
      <w:pPr>
        <w:pStyle w:val="Odstavecseseznamem"/>
        <w:numPr>
          <w:ilvl w:val="0"/>
          <w:numId w:val="2"/>
        </w:numPr>
        <w:rPr>
          <w:b/>
          <w:szCs w:val="22"/>
        </w:rPr>
      </w:pPr>
      <w:r w:rsidRPr="00201C7B">
        <w:rPr>
          <w:b/>
          <w:szCs w:val="22"/>
        </w:rPr>
        <w:t>Významná část výdajů je placena na základě uzavřených smluv</w:t>
      </w:r>
      <w:r w:rsidR="00C212DC">
        <w:rPr>
          <w:b/>
          <w:szCs w:val="22"/>
        </w:rPr>
        <w:t>.</w:t>
      </w:r>
    </w:p>
    <w:p w:rsidR="00FD758C" w:rsidRPr="00FD758C" w:rsidRDefault="00FD758C" w:rsidP="00FD758C">
      <w:pPr>
        <w:pStyle w:val="Odstavecseseznamem"/>
        <w:rPr>
          <w:b/>
          <w:sz w:val="22"/>
          <w:szCs w:val="22"/>
        </w:rPr>
      </w:pPr>
    </w:p>
    <w:p w:rsidR="00FD758C" w:rsidRDefault="00FD758C" w:rsidP="00FD758C">
      <w:pPr>
        <w:rPr>
          <w:rFonts w:cs="Times New Roman"/>
          <w:b/>
        </w:rPr>
      </w:pPr>
      <w:r w:rsidRPr="0099366E">
        <w:rPr>
          <w:rFonts w:cs="Times New Roman"/>
        </w:rPr>
        <w:t xml:space="preserve">Významná část výdajů především provozního charakteru je placena na základě smluv na konkrétní částku s čerpáním na několik let. </w:t>
      </w:r>
      <w:r w:rsidRPr="0099366E">
        <w:rPr>
          <w:rFonts w:cs="Times New Roman"/>
          <w:b/>
        </w:rPr>
        <w:t xml:space="preserve">Jedná se především o realizační smlouvy na odstraňování ekologických škod vzniklých před privatizací. Pokud by tedy došlo ke snížení příjmů, </w:t>
      </w:r>
      <w:r w:rsidR="00C212DC">
        <w:rPr>
          <w:rFonts w:cs="Times New Roman"/>
          <w:b/>
        </w:rPr>
        <w:t xml:space="preserve">budou </w:t>
      </w:r>
      <w:r w:rsidRPr="0099366E">
        <w:rPr>
          <w:rFonts w:cs="Times New Roman"/>
          <w:b/>
        </w:rPr>
        <w:t>tyto závazky právně vymahatelné</w:t>
      </w:r>
      <w:r w:rsidR="001474E1">
        <w:rPr>
          <w:rFonts w:cs="Times New Roman"/>
          <w:b/>
        </w:rPr>
        <w:t>.</w:t>
      </w:r>
    </w:p>
    <w:p w:rsidR="00973753" w:rsidRDefault="00973753" w:rsidP="00F22608">
      <w:pPr>
        <w:rPr>
          <w:rFonts w:cs="Times New Roman"/>
        </w:rPr>
      </w:pPr>
    </w:p>
    <w:p w:rsidR="009D0998" w:rsidRPr="009D0998" w:rsidRDefault="009D0998" w:rsidP="00F22608">
      <w:pPr>
        <w:rPr>
          <w:rFonts w:cs="Times New Roman"/>
          <w:b/>
        </w:rPr>
      </w:pPr>
      <w:r w:rsidRPr="009D0998">
        <w:rPr>
          <w:rFonts w:cs="Times New Roman"/>
          <w:b/>
        </w:rPr>
        <w:t>Z výše uvede</w:t>
      </w:r>
      <w:r w:rsidR="00973753">
        <w:rPr>
          <w:rFonts w:cs="Times New Roman"/>
          <w:b/>
        </w:rPr>
        <w:t>ných skutečností vyplývá ZÁSADNÍ</w:t>
      </w:r>
      <w:r w:rsidRPr="009D0998">
        <w:rPr>
          <w:rFonts w:cs="Times New Roman"/>
          <w:b/>
        </w:rPr>
        <w:t xml:space="preserve"> riziko nesolventnosti </w:t>
      </w:r>
      <w:r w:rsidR="00EB0579">
        <w:rPr>
          <w:rFonts w:cs="Times New Roman"/>
          <w:b/>
        </w:rPr>
        <w:t>zvláštních účtů privatizace</w:t>
      </w:r>
      <w:r w:rsidRPr="009D0998">
        <w:rPr>
          <w:rFonts w:cs="Times New Roman"/>
          <w:b/>
        </w:rPr>
        <w:t xml:space="preserve">, a </w:t>
      </w:r>
      <w:r w:rsidR="00C212DC">
        <w:rPr>
          <w:rFonts w:cs="Times New Roman"/>
          <w:b/>
        </w:rPr>
        <w:t xml:space="preserve">tedy </w:t>
      </w:r>
      <w:r w:rsidRPr="009D0998">
        <w:rPr>
          <w:rFonts w:cs="Times New Roman"/>
          <w:b/>
        </w:rPr>
        <w:t>vzniku následných nákladů vyplývajících z neplnění smluvně podložených závazků, jenž nelze financovat z jiných zdrojů než ze zvláštních účtů</w:t>
      </w:r>
      <w:r w:rsidR="001474E1">
        <w:rPr>
          <w:rFonts w:cs="Times New Roman"/>
          <w:b/>
        </w:rPr>
        <w:t xml:space="preserve"> privatizace</w:t>
      </w:r>
      <w:r w:rsidRPr="009D0998">
        <w:rPr>
          <w:rFonts w:cs="Times New Roman"/>
          <w:b/>
        </w:rPr>
        <w:t>.</w:t>
      </w:r>
    </w:p>
    <w:p w:rsidR="008832C1" w:rsidRDefault="008832C1" w:rsidP="00F22608">
      <w:pPr>
        <w:rPr>
          <w:rFonts w:cs="Times New Roman"/>
          <w:b/>
        </w:rPr>
      </w:pPr>
    </w:p>
    <w:p w:rsidR="008832C1" w:rsidRPr="009D0998" w:rsidRDefault="008832C1" w:rsidP="00F22608">
      <w:pPr>
        <w:rPr>
          <w:rFonts w:cs="Times New Roman"/>
          <w:b/>
        </w:rPr>
      </w:pPr>
    </w:p>
    <w:p w:rsidR="003B207B" w:rsidRDefault="003B207B" w:rsidP="00F22608">
      <w:pPr>
        <w:rPr>
          <w:rFonts w:cs="Times New Roman"/>
        </w:rPr>
      </w:pPr>
    </w:p>
    <w:p w:rsidR="00F64199" w:rsidRDefault="00F64199" w:rsidP="00F22608">
      <w:pPr>
        <w:rPr>
          <w:rFonts w:cs="Times New Roman"/>
        </w:rPr>
      </w:pPr>
    </w:p>
    <w:p w:rsidR="00F64199" w:rsidRDefault="00F64199" w:rsidP="00F22608">
      <w:pPr>
        <w:rPr>
          <w:rFonts w:cs="Times New Roman"/>
        </w:rPr>
      </w:pPr>
    </w:p>
    <w:p w:rsidR="00A52238" w:rsidRDefault="00A94D90" w:rsidP="00F22608">
      <w:pPr>
        <w:rPr>
          <w:rFonts w:cs="Times New Roman"/>
        </w:rPr>
      </w:pPr>
      <w:r w:rsidRPr="00973753">
        <w:rPr>
          <w:rFonts w:cs="Times New Roman"/>
        </w:rPr>
        <w:lastRenderedPageBreak/>
        <w:t>Pro odstranění</w:t>
      </w:r>
      <w:r w:rsidR="000774A9" w:rsidRPr="00973753">
        <w:rPr>
          <w:rFonts w:cs="Times New Roman"/>
        </w:rPr>
        <w:t xml:space="preserve"> tohoto rizika </w:t>
      </w:r>
      <w:r w:rsidRPr="00973753">
        <w:rPr>
          <w:rFonts w:cs="Times New Roman"/>
        </w:rPr>
        <w:t xml:space="preserve">navrhlo </w:t>
      </w:r>
      <w:r w:rsidR="00A52238" w:rsidRPr="00973753">
        <w:rPr>
          <w:rFonts w:cs="Times New Roman"/>
        </w:rPr>
        <w:t>M</w:t>
      </w:r>
      <w:r w:rsidRPr="00973753">
        <w:rPr>
          <w:rFonts w:cs="Times New Roman"/>
        </w:rPr>
        <w:t>inisterstvo financí tato opatření</w:t>
      </w:r>
      <w:r w:rsidR="00A52238" w:rsidRPr="00973753">
        <w:rPr>
          <w:rFonts w:cs="Times New Roman"/>
        </w:rPr>
        <w:t>:</w:t>
      </w:r>
    </w:p>
    <w:p w:rsidR="00973753" w:rsidRPr="00973753" w:rsidRDefault="00973753" w:rsidP="00F22608">
      <w:pPr>
        <w:rPr>
          <w:rFonts w:cs="Times New Roman"/>
        </w:rPr>
      </w:pPr>
    </w:p>
    <w:p w:rsidR="00A94D90" w:rsidRDefault="00A94D90" w:rsidP="00D8582D">
      <w:pPr>
        <w:pStyle w:val="Odstavecseseznamem"/>
        <w:numPr>
          <w:ilvl w:val="0"/>
          <w:numId w:val="3"/>
        </w:numPr>
      </w:pPr>
      <w:bookmarkStart w:id="8" w:name="_Toc473612747"/>
      <w:bookmarkStart w:id="9" w:name="_Ref473639477"/>
      <w:bookmarkStart w:id="10" w:name="_Ref473639485"/>
      <w:bookmarkStart w:id="11" w:name="_Ref473731674"/>
      <w:bookmarkStart w:id="12" w:name="_Toc474238736"/>
      <w:bookmarkStart w:id="13" w:name="_Toc477181322"/>
      <w:bookmarkStart w:id="14" w:name="_Toc481051341"/>
      <w:r w:rsidRPr="00973753">
        <w:t>Ukončení vládních výdajů</w:t>
      </w:r>
      <w:bookmarkEnd w:id="8"/>
      <w:bookmarkEnd w:id="9"/>
      <w:bookmarkEnd w:id="10"/>
      <w:r w:rsidRPr="00973753">
        <w:t xml:space="preserve"> financovatelných z jiných zdrojů</w:t>
      </w:r>
      <w:bookmarkEnd w:id="11"/>
      <w:bookmarkEnd w:id="12"/>
      <w:bookmarkEnd w:id="13"/>
      <w:bookmarkEnd w:id="14"/>
      <w:r w:rsidR="003607D6">
        <w:t>.</w:t>
      </w:r>
    </w:p>
    <w:p w:rsidR="00873C37" w:rsidRDefault="004C6697" w:rsidP="00367B93">
      <w:pPr>
        <w:pStyle w:val="Odstavecseseznamem"/>
      </w:pPr>
      <w:r>
        <w:t xml:space="preserve">Opatření je realizováno </w:t>
      </w:r>
    </w:p>
    <w:p w:rsidR="004C6697" w:rsidRDefault="004C6697" w:rsidP="00367B93">
      <w:pPr>
        <w:pStyle w:val="Odstavecseseznamem"/>
        <w:numPr>
          <w:ilvl w:val="0"/>
          <w:numId w:val="21"/>
        </w:numPr>
      </w:pPr>
      <w:r>
        <w:t xml:space="preserve">prostřednictvím </w:t>
      </w:r>
      <w:r w:rsidR="00544412">
        <w:t>vylouč</w:t>
      </w:r>
      <w:r w:rsidR="00EE6D22">
        <w:t>ení zvláštních účtů privatizace</w:t>
      </w:r>
      <w:r>
        <w:t xml:space="preserve"> </w:t>
      </w:r>
      <w:r w:rsidR="00544412">
        <w:t xml:space="preserve">z financování </w:t>
      </w:r>
      <w:r w:rsidR="009B5B42">
        <w:t>podpory</w:t>
      </w:r>
      <w:r w:rsidR="00544412">
        <w:t xml:space="preserve"> průmyslových zón v usnesení vlády č. 97/2015 a 576/2015</w:t>
      </w:r>
      <w:r w:rsidR="00BA15B4">
        <w:t>,</w:t>
      </w:r>
    </w:p>
    <w:p w:rsidR="00873C37" w:rsidRPr="00973753" w:rsidRDefault="00EE6D22" w:rsidP="00367B93">
      <w:pPr>
        <w:pStyle w:val="Odstavecseseznamem"/>
        <w:numPr>
          <w:ilvl w:val="0"/>
          <w:numId w:val="21"/>
        </w:numPr>
      </w:pPr>
      <w:r>
        <w:t xml:space="preserve">ukončením financování </w:t>
      </w:r>
      <w:r w:rsidRPr="00EE6D22">
        <w:t>Programu péče o národní kulturní poklad</w:t>
      </w:r>
      <w:r>
        <w:t xml:space="preserve"> z prostředků privatizace nejpozději v roce 2018</w:t>
      </w:r>
      <w:r w:rsidR="00BA15B4">
        <w:t>.</w:t>
      </w:r>
    </w:p>
    <w:p w:rsidR="00A94D90" w:rsidRDefault="000774A9" w:rsidP="00D8582D">
      <w:pPr>
        <w:pStyle w:val="Odstavecseseznamem"/>
        <w:numPr>
          <w:ilvl w:val="0"/>
          <w:numId w:val="3"/>
        </w:numPr>
      </w:pPr>
      <w:bookmarkStart w:id="15" w:name="_Toc474238740"/>
      <w:bookmarkStart w:id="16" w:name="_Toc477181326"/>
      <w:bookmarkStart w:id="17" w:name="_Toc481051345"/>
      <w:bookmarkStart w:id="18" w:name="_Toc473612754"/>
      <w:r w:rsidRPr="00973753">
        <w:t>N</w:t>
      </w:r>
      <w:r w:rsidR="00A94D90" w:rsidRPr="00973753">
        <w:t>avýšení finančních prostředků v oblasti odstraňování ekologických škod</w:t>
      </w:r>
      <w:bookmarkEnd w:id="15"/>
      <w:bookmarkEnd w:id="16"/>
      <w:bookmarkEnd w:id="17"/>
      <w:r w:rsidR="003607D6">
        <w:t>.</w:t>
      </w:r>
      <w:r w:rsidR="00A94D90" w:rsidRPr="00973753">
        <w:t xml:space="preserve"> </w:t>
      </w:r>
      <w:bookmarkEnd w:id="18"/>
    </w:p>
    <w:p w:rsidR="00873C37" w:rsidRPr="00973753" w:rsidRDefault="00873C37" w:rsidP="00367B93">
      <w:pPr>
        <w:pStyle w:val="Odstavecseseznamem"/>
      </w:pPr>
      <w:r>
        <w:t>Doporučena</w:t>
      </w:r>
      <w:r w:rsidR="00EE6D22">
        <w:t xml:space="preserve"> byla na základě výpočtů částka</w:t>
      </w:r>
      <w:r>
        <w:t xml:space="preserve"> 4,5 mld. Kč</w:t>
      </w:r>
      <w:r w:rsidR="00BA15B4">
        <w:t>.</w:t>
      </w:r>
      <w:r>
        <w:t xml:space="preserve"> </w:t>
      </w:r>
    </w:p>
    <w:p w:rsidR="00A94D90" w:rsidRDefault="00172B7F" w:rsidP="00D8582D">
      <w:pPr>
        <w:pStyle w:val="Odstavecseseznamem"/>
        <w:numPr>
          <w:ilvl w:val="0"/>
          <w:numId w:val="3"/>
        </w:numPr>
      </w:pPr>
      <w:r w:rsidRPr="00973753">
        <w:t>V</w:t>
      </w:r>
      <w:r w:rsidR="00A94D90" w:rsidRPr="00973753">
        <w:t>yčlenění vázaných prostředků na odstraňování ekologických škod vzniklých před privatizací pro případ výpadku příjmů</w:t>
      </w:r>
      <w:r w:rsidR="00A52238" w:rsidRPr="00973753">
        <w:t>.</w:t>
      </w:r>
    </w:p>
    <w:p w:rsidR="00873C37" w:rsidRPr="007D0733" w:rsidRDefault="00873C37" w:rsidP="00367B93">
      <w:pPr>
        <w:pStyle w:val="Odstavecseseznamem"/>
      </w:pPr>
      <w:r>
        <w:t xml:space="preserve">Na základě </w:t>
      </w:r>
      <w:r w:rsidR="006702D0">
        <w:t>s</w:t>
      </w:r>
      <w:r w:rsidR="002078DD">
        <w:t>kutečnosti</w:t>
      </w:r>
      <w:r>
        <w:t>, že značná část závazků, především v oblasti odstraňování ekologických škod vzniklých před privatizací, je smluvně podložena a faktu, že klíčové příjmy jsou inkasovány je</w:t>
      </w:r>
      <w:r w:rsidR="001C234D">
        <w:t>n</w:t>
      </w:r>
      <w:r>
        <w:t xml:space="preserve"> jednou ročně v období září – listopad</w:t>
      </w:r>
      <w:r w:rsidR="001C234D">
        <w:t>. Proto</w:t>
      </w:r>
      <w:r>
        <w:t xml:space="preserve"> bylo navrženo vyčlenění části prostředků na bankovních účtech, kter</w:t>
      </w:r>
      <w:r w:rsidR="00EE6D22">
        <w:t>é tato rizika pokryjí.</w:t>
      </w:r>
    </w:p>
    <w:p w:rsidR="00A94D90" w:rsidRDefault="00A94D90" w:rsidP="00F22608">
      <w:pPr>
        <w:rPr>
          <w:rFonts w:cs="Times New Roman"/>
        </w:rPr>
      </w:pPr>
    </w:p>
    <w:p w:rsidR="001B5A25" w:rsidRDefault="002409B7" w:rsidP="00F22608">
      <w:pPr>
        <w:rPr>
          <w:rFonts w:cs="Times New Roman"/>
        </w:rPr>
      </w:pPr>
      <w:r w:rsidRPr="002409B7">
        <w:rPr>
          <w:rFonts w:cs="Times New Roman"/>
        </w:rPr>
        <w:t>Koncepce stabilizace finančního stavu zvláštních účtů privatizace</w:t>
      </w:r>
      <w:r w:rsidR="00A94D90">
        <w:rPr>
          <w:rFonts w:cs="Times New Roman"/>
        </w:rPr>
        <w:t xml:space="preserve"> včetně </w:t>
      </w:r>
      <w:r w:rsidR="00E63A9A">
        <w:rPr>
          <w:rFonts w:cs="Times New Roman"/>
        </w:rPr>
        <w:t xml:space="preserve">návrhů byla schválena </w:t>
      </w:r>
      <w:r w:rsidR="00A94D90">
        <w:rPr>
          <w:rFonts w:cs="Times New Roman"/>
        </w:rPr>
        <w:t>usnesením vlády č. 610 ze dne 4. září 2017</w:t>
      </w:r>
      <w:r w:rsidR="00E63A9A">
        <w:rPr>
          <w:rFonts w:cs="Times New Roman"/>
        </w:rPr>
        <w:t>.</w:t>
      </w:r>
    </w:p>
    <w:p w:rsidR="007C7850" w:rsidRDefault="007C7850" w:rsidP="00F22608">
      <w:pPr>
        <w:rPr>
          <w:rFonts w:cs="Times New Roman"/>
        </w:rPr>
      </w:pPr>
    </w:p>
    <w:p w:rsidR="007C7850" w:rsidRDefault="007C7850" w:rsidP="00F22608">
      <w:pPr>
        <w:rPr>
          <w:rFonts w:cs="Times New Roman"/>
        </w:rPr>
      </w:pPr>
    </w:p>
    <w:p w:rsidR="00DD6712" w:rsidRPr="00F64199" w:rsidRDefault="00A56A79" w:rsidP="00F22608">
      <w:pPr>
        <w:rPr>
          <w:rFonts w:cs="Times New Roman"/>
          <w:b/>
        </w:rPr>
      </w:pPr>
      <w:r>
        <w:rPr>
          <w:rFonts w:cs="Times New Roman"/>
          <w:b/>
        </w:rPr>
        <w:t>Aktualizace informací</w:t>
      </w:r>
      <w:r w:rsidR="00DD6712" w:rsidRPr="00F64199">
        <w:rPr>
          <w:rFonts w:cs="Times New Roman"/>
          <w:b/>
        </w:rPr>
        <w:t xml:space="preserve"> k analýze </w:t>
      </w:r>
    </w:p>
    <w:p w:rsidR="00DD6712" w:rsidRDefault="00DD6712" w:rsidP="00F22608">
      <w:pPr>
        <w:rPr>
          <w:rFonts w:cs="Times New Roman"/>
        </w:rPr>
      </w:pPr>
    </w:p>
    <w:p w:rsidR="007C7850" w:rsidRDefault="007C7850" w:rsidP="00F64199">
      <w:pPr>
        <w:rPr>
          <w:rFonts w:cs="Times New Roman"/>
        </w:rPr>
      </w:pPr>
      <w:r>
        <w:rPr>
          <w:rFonts w:cs="Times New Roman"/>
        </w:rPr>
        <w:t xml:space="preserve">K výše uvedené analýze je nutno dodat, že v letech 2014-2017 bylo v souladu </w:t>
      </w:r>
      <w:r w:rsidR="00DD6712">
        <w:rPr>
          <w:rFonts w:cs="Times New Roman"/>
        </w:rPr>
        <w:t xml:space="preserve">s usneseními vlády odváděno 68 % všech výdajů do státního rozpočtu dle § 5 odst. 3 písm. c) bod 5, který zní: </w:t>
      </w:r>
    </w:p>
    <w:p w:rsidR="00DD6712" w:rsidRDefault="00DD6712" w:rsidP="00DD6712">
      <w:pPr>
        <w:rPr>
          <w:rFonts w:cs="Times New Roman"/>
        </w:rPr>
      </w:pPr>
      <w:r>
        <w:rPr>
          <w:i/>
          <w:color w:val="000000"/>
        </w:rPr>
        <w:t>„</w:t>
      </w:r>
      <w:r w:rsidRPr="00FC4316">
        <w:rPr>
          <w:i/>
          <w:color w:val="000000"/>
        </w:rPr>
        <w:t>v případě, kdy rozpočtované příjmy pojistného na důchodové pojištění</w:t>
      </w:r>
      <w:r>
        <w:rPr>
          <w:i/>
          <w:color w:val="000000"/>
        </w:rPr>
        <w:t>,</w:t>
      </w:r>
      <w:r w:rsidRPr="00FC4316">
        <w:rPr>
          <w:i/>
          <w:color w:val="000000"/>
        </w:rPr>
        <w:t xml:space="preserve"> včetně příjmů </w:t>
      </w:r>
      <w:r w:rsidR="00227DAF">
        <w:rPr>
          <w:i/>
          <w:color w:val="000000"/>
        </w:rPr>
        <w:br/>
      </w:r>
      <w:r w:rsidRPr="00FC4316">
        <w:rPr>
          <w:i/>
          <w:color w:val="000000"/>
        </w:rPr>
        <w:t>z penále a pokut připadajících na důchodové pojištění budou nižší než rozpočtované výdaje na dávky důchodového pojištění včetně výdajů spojených s výběrem pojistného na důchodové pojištění a výplatou dávek důchodového pojištění; rozpočtovaná částka se převede maximálně do výše předpokládaného skutečného rozdílu podle části věty před středníkem,</w:t>
      </w:r>
      <w:r>
        <w:rPr>
          <w:i/>
          <w:color w:val="000000"/>
        </w:rPr>
        <w:t>“</w:t>
      </w:r>
    </w:p>
    <w:p w:rsidR="007C7850" w:rsidRDefault="007C7850" w:rsidP="00F64199">
      <w:pPr>
        <w:rPr>
          <w:rFonts w:cs="Times New Roman"/>
        </w:rPr>
      </w:pPr>
    </w:p>
    <w:p w:rsidR="00DD6712" w:rsidRPr="00647716" w:rsidRDefault="00DD6712" w:rsidP="00F64199">
      <w:pPr>
        <w:pStyle w:val="Nadpis4"/>
        <w:ind w:left="1361" w:hanging="1361"/>
      </w:pPr>
      <w:r>
        <w:t>Podíl převodů do státního rozpočtu dle § 5 odst. 3 písm. c) bod 5 na celkových výdajích zvláštních účtů privatizace (v tis. Kč)</w:t>
      </w:r>
    </w:p>
    <w:tbl>
      <w:tblPr>
        <w:tblW w:w="9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0"/>
        <w:gridCol w:w="1840"/>
        <w:gridCol w:w="1840"/>
        <w:gridCol w:w="1840"/>
      </w:tblGrid>
      <w:tr w:rsidR="007C7850" w:rsidRPr="007C7850" w:rsidTr="00F64199">
        <w:trPr>
          <w:divId w:val="1329792478"/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7C7850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2016</w:t>
            </w:r>
          </w:p>
        </w:tc>
      </w:tr>
      <w:tr w:rsidR="007C7850" w:rsidRPr="007C7850" w:rsidTr="00F64199">
        <w:trPr>
          <w:divId w:val="1329792478"/>
          <w:trHeight w:val="30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7C7850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>Výdaje zvláštních účtů celkem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15 802 410 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16 385 086 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11 590 409 </w:t>
            </w:r>
          </w:p>
        </w:tc>
      </w:tr>
      <w:tr w:rsidR="007C7850" w:rsidRPr="007C7850" w:rsidTr="00F64199">
        <w:trPr>
          <w:divId w:val="1329792478"/>
          <w:trHeight w:val="300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7C7850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>z toho převod do 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10 300 000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10 700 000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8 700 000 </w:t>
            </w:r>
          </w:p>
        </w:tc>
      </w:tr>
      <w:tr w:rsidR="007C7850" w:rsidRPr="007C7850" w:rsidTr="00F64199">
        <w:trPr>
          <w:divId w:val="1329792478"/>
          <w:trHeight w:val="31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7C7850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>% z celkových výdajů zvláštních účtů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>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>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7850" w:rsidRPr="007C7850" w:rsidRDefault="007C7850" w:rsidP="00F64199">
            <w:pPr>
              <w:ind w:right="113"/>
              <w:jc w:val="righ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7C7850">
              <w:rPr>
                <w:rFonts w:eastAsia="Times New Roman" w:cs="Times New Roman"/>
                <w:color w:val="000000"/>
                <w:sz w:val="22"/>
                <w:szCs w:val="22"/>
              </w:rPr>
              <w:t>75%</w:t>
            </w:r>
          </w:p>
        </w:tc>
      </w:tr>
    </w:tbl>
    <w:p w:rsidR="007C7850" w:rsidRDefault="007C7850" w:rsidP="00F22608">
      <w:pPr>
        <w:rPr>
          <w:rFonts w:cs="Times New Roman"/>
        </w:rPr>
      </w:pPr>
    </w:p>
    <w:p w:rsidR="00DD6712" w:rsidRDefault="00DD6712" w:rsidP="00F22608">
      <w:pPr>
        <w:rPr>
          <w:rFonts w:cs="Times New Roman"/>
        </w:rPr>
      </w:pPr>
      <w:r>
        <w:rPr>
          <w:rFonts w:cs="Times New Roman"/>
        </w:rPr>
        <w:t>V současné době podmínky pro převod do státního rozpočtu na výše uvedený titul nemohou být splněny, neboť příjmy z důchodového pojištění převyšují výdaje na důchodové zabezpečení a tento stav je předpokládán i na rok 2018</w:t>
      </w:r>
      <w:r w:rsidR="00A56A79">
        <w:rPr>
          <w:rFonts w:cs="Times New Roman"/>
        </w:rPr>
        <w:t>. Tím při nezměněné situaci naopak bude docházet k vysoké kumulaci peněžních prostředků, které při současné legislativě nebude možno využít.</w:t>
      </w:r>
    </w:p>
    <w:p w:rsidR="009F04A3" w:rsidRDefault="009F04A3" w:rsidP="00F22608">
      <w:pPr>
        <w:rPr>
          <w:rFonts w:cs="Times New Roman"/>
        </w:rPr>
      </w:pPr>
    </w:p>
    <w:p w:rsidR="00A56A79" w:rsidRDefault="00A56A79" w:rsidP="00F22608">
      <w:pPr>
        <w:rPr>
          <w:rFonts w:cs="Times New Roman"/>
        </w:rPr>
      </w:pPr>
    </w:p>
    <w:p w:rsidR="002409B7" w:rsidRDefault="002409B7" w:rsidP="00F22608">
      <w:pPr>
        <w:rPr>
          <w:rFonts w:cs="Times New Roman"/>
        </w:rPr>
      </w:pPr>
    </w:p>
    <w:p w:rsidR="00F64199" w:rsidRPr="00FD758C" w:rsidRDefault="00F64199" w:rsidP="00F22608">
      <w:pPr>
        <w:rPr>
          <w:rFonts w:cs="Times New Roman"/>
        </w:rPr>
      </w:pPr>
    </w:p>
    <w:p w:rsidR="0027201B" w:rsidRPr="00F05827" w:rsidRDefault="0027201B" w:rsidP="002B7D45">
      <w:pPr>
        <w:pStyle w:val="Nadpis3"/>
      </w:pPr>
      <w:r w:rsidRPr="00F05827">
        <w:lastRenderedPageBreak/>
        <w:t xml:space="preserve">Některé </w:t>
      </w:r>
      <w:r w:rsidR="005573F1" w:rsidRPr="008B0A42">
        <w:t>výdajové</w:t>
      </w:r>
      <w:r w:rsidR="005573F1" w:rsidRPr="00F05827">
        <w:t xml:space="preserve"> tituly již ztratily svůj význam</w:t>
      </w:r>
    </w:p>
    <w:p w:rsidR="0027201B" w:rsidRPr="00F05827" w:rsidRDefault="0027201B" w:rsidP="005A12A2">
      <w:pPr>
        <w:rPr>
          <w:color w:val="FF0000"/>
        </w:rPr>
      </w:pPr>
    </w:p>
    <w:p w:rsidR="00A2198D" w:rsidRDefault="00BE59BC" w:rsidP="005A12A2">
      <w:pPr>
        <w:rPr>
          <w:color w:val="000000" w:themeColor="text1"/>
        </w:rPr>
      </w:pPr>
      <w:r w:rsidRPr="00FB2729">
        <w:rPr>
          <w:color w:val="000000" w:themeColor="text1"/>
        </w:rPr>
        <w:t xml:space="preserve">V zákoně č. 178/2005 Sb. </w:t>
      </w:r>
      <w:r w:rsidR="00E1482E" w:rsidRPr="00FB2729">
        <w:rPr>
          <w:color w:val="000000" w:themeColor="text1"/>
        </w:rPr>
        <w:t xml:space="preserve">jsou </w:t>
      </w:r>
      <w:r w:rsidR="00A2198D">
        <w:rPr>
          <w:color w:val="000000" w:themeColor="text1"/>
        </w:rPr>
        <w:t xml:space="preserve">v </w:t>
      </w:r>
      <w:r w:rsidR="00BC1919" w:rsidRPr="00FB2729">
        <w:rPr>
          <w:color w:val="000000" w:themeColor="text1"/>
        </w:rPr>
        <w:t>§ 5 odst. 3</w:t>
      </w:r>
      <w:r w:rsidRPr="00FB2729">
        <w:rPr>
          <w:color w:val="000000" w:themeColor="text1"/>
        </w:rPr>
        <w:t xml:space="preserve"> obsažena některá ustanovení, která již nemají</w:t>
      </w:r>
      <w:r w:rsidR="00BC1919" w:rsidRPr="00FB2729">
        <w:rPr>
          <w:color w:val="000000" w:themeColor="text1"/>
        </w:rPr>
        <w:t xml:space="preserve"> věcné opodstatnění z důvodu vzniku nových skutečností</w:t>
      </w:r>
      <w:r w:rsidR="00A2198D">
        <w:rPr>
          <w:color w:val="000000" w:themeColor="text1"/>
        </w:rPr>
        <w:t>.</w:t>
      </w:r>
    </w:p>
    <w:p w:rsidR="00BE59BC" w:rsidRDefault="00BE59BC" w:rsidP="005A12A2">
      <w:pPr>
        <w:rPr>
          <w:color w:val="000000" w:themeColor="text1"/>
        </w:rPr>
      </w:pPr>
    </w:p>
    <w:p w:rsidR="009E794C" w:rsidRPr="00FB2729" w:rsidRDefault="009E794C" w:rsidP="005A12A2">
      <w:pPr>
        <w:rPr>
          <w:color w:val="000000" w:themeColor="text1"/>
        </w:rPr>
      </w:pPr>
      <w:r>
        <w:rPr>
          <w:color w:val="000000" w:themeColor="text1"/>
        </w:rPr>
        <w:t xml:space="preserve">Jedná se o: </w:t>
      </w:r>
    </w:p>
    <w:p w:rsidR="009E794C" w:rsidRPr="009E794C" w:rsidRDefault="009E794C" w:rsidP="009E794C">
      <w:pPr>
        <w:rPr>
          <w:color w:val="000000" w:themeColor="text1"/>
        </w:rPr>
      </w:pPr>
    </w:p>
    <w:p w:rsidR="00AD2615" w:rsidRPr="00AD2615" w:rsidRDefault="009E794C" w:rsidP="00EE6D22">
      <w:pPr>
        <w:pStyle w:val="Odstavecseseznamem"/>
        <w:numPr>
          <w:ilvl w:val="0"/>
          <w:numId w:val="1"/>
        </w:numPr>
        <w:rPr>
          <w:i/>
          <w:color w:val="000000" w:themeColor="text1"/>
        </w:rPr>
      </w:pPr>
      <w:r>
        <w:rPr>
          <w:color w:val="000000" w:themeColor="text1"/>
        </w:rPr>
        <w:t>§ 5 odst. 3 písm. b) bod 4, který zní: „</w:t>
      </w:r>
      <w:r w:rsidR="00EE6D22" w:rsidRPr="00EE6D22">
        <w:rPr>
          <w:i/>
          <w:color w:val="000000"/>
        </w:rPr>
        <w:t>k převodu pro účely nemocenského, důchodového a zdravotního pojištění a státní politiky zaměstnanosti,</w:t>
      </w:r>
      <w:r>
        <w:rPr>
          <w:color w:val="000000" w:themeColor="text1"/>
        </w:rPr>
        <w:t>“</w:t>
      </w:r>
      <w:r w:rsidR="00AD2615">
        <w:rPr>
          <w:color w:val="000000" w:themeColor="text1"/>
        </w:rPr>
        <w:t>.</w:t>
      </w:r>
    </w:p>
    <w:p w:rsidR="00BE59BC" w:rsidRPr="009E794C" w:rsidRDefault="00AD2615" w:rsidP="00AD2615">
      <w:pPr>
        <w:pStyle w:val="Odstavecseseznamem"/>
        <w:rPr>
          <w:i/>
          <w:color w:val="000000" w:themeColor="text1"/>
        </w:rPr>
      </w:pPr>
      <w:r w:rsidRPr="00AD2615">
        <w:rPr>
          <w:color w:val="000000" w:themeColor="text1"/>
        </w:rPr>
        <w:t>Jeho</w:t>
      </w:r>
      <w:r w:rsidR="009E794C" w:rsidRPr="00AD2615">
        <w:rPr>
          <w:color w:val="000000" w:themeColor="text1"/>
        </w:rPr>
        <w:t xml:space="preserve"> věcná podstata je zrušena </w:t>
      </w:r>
      <w:r w:rsidR="00BE59BC" w:rsidRPr="00AD2615">
        <w:rPr>
          <w:color w:val="000000" w:themeColor="text1"/>
        </w:rPr>
        <w:t>usnesení</w:t>
      </w:r>
      <w:r w:rsidR="009E794C" w:rsidRPr="00AD2615">
        <w:rPr>
          <w:color w:val="000000" w:themeColor="text1"/>
        </w:rPr>
        <w:t>m</w:t>
      </w:r>
      <w:r w:rsidR="00BE59BC" w:rsidRPr="00AD2615">
        <w:rPr>
          <w:color w:val="000000" w:themeColor="text1"/>
        </w:rPr>
        <w:t xml:space="preserve"> vlády č. 780 ze dne 31. srpna 201</w:t>
      </w:r>
      <w:r w:rsidR="00EE6D22">
        <w:rPr>
          <w:color w:val="000000" w:themeColor="text1"/>
        </w:rPr>
        <w:t>6</w:t>
      </w:r>
      <w:r w:rsidR="00BE59BC" w:rsidRPr="00AD2615">
        <w:rPr>
          <w:color w:val="000000" w:themeColor="text1"/>
        </w:rPr>
        <w:t>,</w:t>
      </w:r>
      <w:r w:rsidR="00BE59BC" w:rsidRPr="00FB2729">
        <w:rPr>
          <w:color w:val="000000" w:themeColor="text1"/>
        </w:rPr>
        <w:t xml:space="preserve"> </w:t>
      </w:r>
      <w:r w:rsidR="00BE59BC" w:rsidRPr="009E794C">
        <w:rPr>
          <w:i/>
          <w:color w:val="000000" w:themeColor="text1"/>
        </w:rPr>
        <w:t xml:space="preserve">které schvaluje využití prostředků původně určených na finančních prostředků získaných </w:t>
      </w:r>
      <w:r w:rsidR="00782139">
        <w:rPr>
          <w:i/>
          <w:color w:val="000000" w:themeColor="text1"/>
        </w:rPr>
        <w:br/>
      </w:r>
      <w:r w:rsidR="00BE59BC" w:rsidRPr="009E794C">
        <w:rPr>
          <w:i/>
          <w:color w:val="000000" w:themeColor="text1"/>
        </w:rPr>
        <w:t xml:space="preserve">z prodeje akcií určených pro účely nemocenského, důchodového a zdravotního pojištění a pojištění v zaměstnanosti na účely uvedené v § 5 odst. 3 písm. c) zákona </w:t>
      </w:r>
      <w:r w:rsidR="00782139">
        <w:rPr>
          <w:i/>
          <w:color w:val="000000" w:themeColor="text1"/>
        </w:rPr>
        <w:br/>
      </w:r>
      <w:r w:rsidR="00BE59BC" w:rsidRPr="009E794C">
        <w:rPr>
          <w:i/>
          <w:color w:val="000000" w:themeColor="text1"/>
        </w:rPr>
        <w:t>č. 178/2005 Sb., o zrušení Fondu národního majetku České republiky.</w:t>
      </w:r>
    </w:p>
    <w:p w:rsidR="0027201B" w:rsidRPr="00FB2729" w:rsidRDefault="0027201B" w:rsidP="005A12A2">
      <w:pPr>
        <w:rPr>
          <w:color w:val="000000" w:themeColor="text1"/>
        </w:rPr>
      </w:pPr>
    </w:p>
    <w:p w:rsidR="0027201B" w:rsidRPr="00FB2729" w:rsidRDefault="0027201B" w:rsidP="005A12A2">
      <w:pPr>
        <w:rPr>
          <w:color w:val="000000" w:themeColor="text1"/>
        </w:rPr>
      </w:pPr>
    </w:p>
    <w:p w:rsidR="00BC1919" w:rsidRPr="003607D6" w:rsidRDefault="00AD2615" w:rsidP="003607D6">
      <w:pPr>
        <w:pStyle w:val="Odstavecseseznamem"/>
        <w:numPr>
          <w:ilvl w:val="0"/>
          <w:numId w:val="1"/>
        </w:numPr>
        <w:rPr>
          <w:i/>
          <w:iCs/>
          <w:color w:val="000000" w:themeColor="text1"/>
        </w:rPr>
      </w:pPr>
      <w:r>
        <w:rPr>
          <w:iCs/>
          <w:color w:val="000000" w:themeColor="text1"/>
        </w:rPr>
        <w:t>§ 5 odst. 3</w:t>
      </w:r>
      <w:r w:rsidR="00BC1919" w:rsidRPr="009E794C">
        <w:rPr>
          <w:iCs/>
          <w:color w:val="000000" w:themeColor="text1"/>
        </w:rPr>
        <w:t xml:space="preserve"> písm. b), bod 5</w:t>
      </w:r>
      <w:r w:rsidR="003607D6">
        <w:rPr>
          <w:iCs/>
          <w:color w:val="000000" w:themeColor="text1"/>
        </w:rPr>
        <w:t>,</w:t>
      </w:r>
      <w:r w:rsidR="00BC1919" w:rsidRPr="003607D6">
        <w:rPr>
          <w:iCs/>
          <w:color w:val="000000" w:themeColor="text1"/>
        </w:rPr>
        <w:t xml:space="preserve"> který </w:t>
      </w:r>
      <w:r w:rsidR="009E794C" w:rsidRPr="003607D6">
        <w:rPr>
          <w:iCs/>
          <w:color w:val="000000" w:themeColor="text1"/>
        </w:rPr>
        <w:t>zní</w:t>
      </w:r>
      <w:r w:rsidR="00BC1919" w:rsidRPr="003607D6">
        <w:rPr>
          <w:i/>
          <w:iCs/>
          <w:color w:val="000000" w:themeColor="text1"/>
        </w:rPr>
        <w:t>: „k převodu na Nadační investiční fond pro účely podpory nadací určených Poslaneckou sněmovnou Parlamentu České republiky na návrh vlády, nebo</w:t>
      </w:r>
      <w:r w:rsidR="00F53375">
        <w:rPr>
          <w:i/>
          <w:iCs/>
          <w:color w:val="000000" w:themeColor="text1"/>
        </w:rPr>
        <w:t>“.</w:t>
      </w:r>
    </w:p>
    <w:p w:rsidR="009E794C" w:rsidRDefault="00782139" w:rsidP="009E794C">
      <w:pPr>
        <w:pStyle w:val="Odstavecseseznamem"/>
        <w:rPr>
          <w:color w:val="000000" w:themeColor="text1"/>
        </w:rPr>
      </w:pPr>
      <w:r>
        <w:rPr>
          <w:color w:val="000000" w:themeColor="text1"/>
        </w:rPr>
        <w:t>Ustanovení bylo zrušeno</w:t>
      </w:r>
      <w:r w:rsidR="009E794C">
        <w:rPr>
          <w:color w:val="000000" w:themeColor="text1"/>
        </w:rPr>
        <w:t xml:space="preserve"> ukončením agendy Nadačního investičního fondu. </w:t>
      </w:r>
      <w:r w:rsidR="003E63A5" w:rsidRPr="003E63A5">
        <w:rPr>
          <w:color w:val="000000" w:themeColor="text1"/>
        </w:rPr>
        <w:t>K 30. 6. 2015 byla uzavřena „</w:t>
      </w:r>
      <w:r w:rsidR="00254091">
        <w:rPr>
          <w:color w:val="000000" w:themeColor="text1"/>
        </w:rPr>
        <w:t>Dohoda</w:t>
      </w:r>
      <w:r w:rsidR="003E63A5" w:rsidRPr="003E63A5">
        <w:rPr>
          <w:color w:val="000000" w:themeColor="text1"/>
        </w:rPr>
        <w:t xml:space="preserve"> o ukonče</w:t>
      </w:r>
      <w:r w:rsidR="00254091">
        <w:rPr>
          <w:color w:val="000000" w:themeColor="text1"/>
        </w:rPr>
        <w:t xml:space="preserve">ní smlouvy“ se všemi </w:t>
      </w:r>
      <w:r w:rsidR="003E63A5" w:rsidRPr="003E63A5">
        <w:rPr>
          <w:color w:val="000000" w:themeColor="text1"/>
        </w:rPr>
        <w:t>70 nadacemi</w:t>
      </w:r>
      <w:r w:rsidR="009E794C">
        <w:rPr>
          <w:color w:val="000000" w:themeColor="text1"/>
        </w:rPr>
        <w:t xml:space="preserve">, 3 nadace vrátily prostředky převedené v rámci Nadačního investičního fondu již dříve </w:t>
      </w:r>
      <w:r>
        <w:rPr>
          <w:color w:val="000000" w:themeColor="text1"/>
        </w:rPr>
        <w:br/>
      </w:r>
      <w:r w:rsidR="009E794C">
        <w:rPr>
          <w:color w:val="000000" w:themeColor="text1"/>
        </w:rPr>
        <w:t>a jedna nadace je v likvidaci.</w:t>
      </w:r>
    </w:p>
    <w:p w:rsidR="00A56A79" w:rsidRDefault="00A56A79" w:rsidP="005A12A2"/>
    <w:p w:rsidR="003E03BF" w:rsidRDefault="003E03BF" w:rsidP="005A12A2"/>
    <w:p w:rsidR="008B0A42" w:rsidRPr="00E702DC" w:rsidRDefault="00BC5489" w:rsidP="00172B7F">
      <w:pPr>
        <w:pStyle w:val="Nadpis2"/>
      </w:pPr>
      <w:r>
        <w:t>Popis existujícího právního stavu v dané oblasti</w:t>
      </w:r>
    </w:p>
    <w:p w:rsidR="008B0A42" w:rsidRPr="00E702DC" w:rsidRDefault="008B0A42" w:rsidP="008B0A42">
      <w:pPr>
        <w:rPr>
          <w:color w:val="0D0D0D" w:themeColor="text1" w:themeTint="F2"/>
        </w:rPr>
      </w:pPr>
    </w:p>
    <w:p w:rsidR="002409B7" w:rsidRDefault="008B0A42" w:rsidP="008B0A42">
      <w:pPr>
        <w:rPr>
          <w:color w:val="0D0D0D" w:themeColor="text1" w:themeTint="F2"/>
        </w:rPr>
      </w:pPr>
      <w:r w:rsidRPr="00E702DC">
        <w:rPr>
          <w:color w:val="0D0D0D" w:themeColor="text1" w:themeTint="F2"/>
        </w:rPr>
        <w:t xml:space="preserve">Nakládání s prostředky získanými prostředky z výnosu prodeje majetku privatizovaného </w:t>
      </w:r>
      <w:r w:rsidR="00E1482E">
        <w:rPr>
          <w:color w:val="0D0D0D" w:themeColor="text1" w:themeTint="F2"/>
        </w:rPr>
        <w:t>po</w:t>
      </w:r>
      <w:r w:rsidRPr="00E702DC">
        <w:rPr>
          <w:color w:val="0D0D0D" w:themeColor="text1" w:themeTint="F2"/>
        </w:rPr>
        <w:t xml:space="preserve">dle zákona č. 92/1991 Sb. a ze zisku z účasti státu v obchodních společnostech určených k privatizaci </w:t>
      </w:r>
      <w:r w:rsidR="004A68CB">
        <w:rPr>
          <w:color w:val="0D0D0D" w:themeColor="text1" w:themeTint="F2"/>
        </w:rPr>
        <w:t>po</w:t>
      </w:r>
      <w:r w:rsidRPr="00E702DC">
        <w:rPr>
          <w:color w:val="0D0D0D" w:themeColor="text1" w:themeTint="F2"/>
        </w:rPr>
        <w:t>dle zákona č. 92/1991 Sb</w:t>
      </w:r>
      <w:r w:rsidRPr="00973753">
        <w:rPr>
          <w:color w:val="0D0D0D" w:themeColor="text1" w:themeTint="F2"/>
        </w:rPr>
        <w:t>.</w:t>
      </w:r>
      <w:r w:rsidRPr="00E702DC">
        <w:rPr>
          <w:color w:val="0D0D0D" w:themeColor="text1" w:themeTint="F2"/>
        </w:rPr>
        <w:t xml:space="preserve"> je upraveno </w:t>
      </w:r>
      <w:r w:rsidR="004A68CB">
        <w:rPr>
          <w:color w:val="0D0D0D" w:themeColor="text1" w:themeTint="F2"/>
        </w:rPr>
        <w:t>v § 5 odst. 3  </w:t>
      </w:r>
      <w:r w:rsidRPr="00E702DC">
        <w:rPr>
          <w:color w:val="0D0D0D" w:themeColor="text1" w:themeTint="F2"/>
        </w:rPr>
        <w:t>zákon</w:t>
      </w:r>
      <w:r w:rsidR="004A68CB">
        <w:rPr>
          <w:color w:val="0D0D0D" w:themeColor="text1" w:themeTint="F2"/>
        </w:rPr>
        <w:t>a č.</w:t>
      </w:r>
      <w:r w:rsidRPr="00E702DC">
        <w:rPr>
          <w:color w:val="0D0D0D" w:themeColor="text1" w:themeTint="F2"/>
        </w:rPr>
        <w:t xml:space="preserve"> 178/2005 Sb</w:t>
      </w:r>
      <w:r w:rsidRPr="0046404C">
        <w:rPr>
          <w:color w:val="0D0D0D" w:themeColor="text1" w:themeTint="F2"/>
        </w:rPr>
        <w:t xml:space="preserve">., </w:t>
      </w:r>
      <w:r w:rsidR="003607D6">
        <w:rPr>
          <w:color w:val="0D0D0D" w:themeColor="text1" w:themeTint="F2"/>
        </w:rPr>
        <w:br/>
      </w:r>
      <w:r w:rsidRPr="0046404C">
        <w:rPr>
          <w:color w:val="0D0D0D" w:themeColor="text1" w:themeTint="F2"/>
        </w:rPr>
        <w:t>o zrušení Fondu národního majetku České republiky a o působnosti Ministerstva financí při privatizaci majetku České republiky (zákon o zrušení Fondu národního majetku)</w:t>
      </w:r>
      <w:r w:rsidR="004A68CB" w:rsidRPr="0046404C">
        <w:rPr>
          <w:color w:val="0D0D0D" w:themeColor="text1" w:themeTint="F2"/>
        </w:rPr>
        <w:t>.</w:t>
      </w:r>
    </w:p>
    <w:p w:rsidR="0077691E" w:rsidRDefault="0077691E" w:rsidP="008B0A42">
      <w:pPr>
        <w:rPr>
          <w:color w:val="0D0D0D" w:themeColor="text1" w:themeTint="F2"/>
        </w:rPr>
      </w:pPr>
    </w:p>
    <w:p w:rsidR="008B0A42" w:rsidRDefault="008B0A42" w:rsidP="008B0A42">
      <w:pPr>
        <w:rPr>
          <w:color w:val="0D0D0D" w:themeColor="text1" w:themeTint="F2"/>
        </w:rPr>
      </w:pPr>
      <w:r>
        <w:rPr>
          <w:color w:val="0D0D0D" w:themeColor="text1" w:themeTint="F2"/>
        </w:rPr>
        <w:t>Nedostatky současné</w:t>
      </w:r>
      <w:r w:rsidR="00AD2615">
        <w:rPr>
          <w:color w:val="0D0D0D" w:themeColor="text1" w:themeTint="F2"/>
        </w:rPr>
        <w:t>ho znění zákona č. 178/2005 Sb.</w:t>
      </w:r>
      <w:r>
        <w:rPr>
          <w:color w:val="0D0D0D" w:themeColor="text1" w:themeTint="F2"/>
        </w:rPr>
        <w:t>:</w:t>
      </w:r>
    </w:p>
    <w:p w:rsidR="008B0A42" w:rsidRDefault="008B0A42" w:rsidP="008B0A42">
      <w:pPr>
        <w:rPr>
          <w:color w:val="0D0D0D" w:themeColor="text1" w:themeTint="F2"/>
        </w:rPr>
      </w:pPr>
    </w:p>
    <w:p w:rsidR="008B0A42" w:rsidRPr="00F05827" w:rsidRDefault="008B0A42" w:rsidP="00D8582D">
      <w:pPr>
        <w:pStyle w:val="Odstavecseseznamem"/>
        <w:numPr>
          <w:ilvl w:val="0"/>
          <w:numId w:val="5"/>
        </w:numPr>
        <w:rPr>
          <w:b/>
          <w:color w:val="0D0D0D" w:themeColor="text1" w:themeTint="F2"/>
        </w:rPr>
      </w:pPr>
      <w:r w:rsidRPr="00F05827">
        <w:rPr>
          <w:b/>
          <w:color w:val="0D0D0D" w:themeColor="text1" w:themeTint="F2"/>
        </w:rPr>
        <w:t>V zákoně jsou uvedena ustanovení, která již nemají věcné opodstatnění</w:t>
      </w:r>
      <w:r w:rsidR="00D354C3">
        <w:rPr>
          <w:b/>
          <w:color w:val="0D0D0D" w:themeColor="text1" w:themeTint="F2"/>
        </w:rPr>
        <w:t>.</w:t>
      </w:r>
    </w:p>
    <w:p w:rsidR="00973753" w:rsidRDefault="00973753" w:rsidP="008B0A42">
      <w:pPr>
        <w:rPr>
          <w:color w:val="0D0D0D" w:themeColor="text1" w:themeTint="F2"/>
        </w:rPr>
      </w:pPr>
    </w:p>
    <w:p w:rsidR="008B0A42" w:rsidRDefault="008B0A42" w:rsidP="008B0A42">
      <w:pPr>
        <w:rPr>
          <w:color w:val="0D0D0D" w:themeColor="text1" w:themeTint="F2"/>
        </w:rPr>
      </w:pPr>
      <w:r>
        <w:rPr>
          <w:color w:val="0D0D0D" w:themeColor="text1" w:themeTint="F2"/>
        </w:rPr>
        <w:t>Jedná se o tato ustanovení:</w:t>
      </w:r>
    </w:p>
    <w:p w:rsidR="00973753" w:rsidRDefault="00973753" w:rsidP="008B0A42">
      <w:pPr>
        <w:rPr>
          <w:color w:val="0D0D0D" w:themeColor="text1" w:themeTint="F2"/>
        </w:rPr>
      </w:pPr>
    </w:p>
    <w:p w:rsidR="00973753" w:rsidRDefault="004A68CB" w:rsidP="00D8582D">
      <w:pPr>
        <w:pStyle w:val="Odstavecseseznamem"/>
        <w:numPr>
          <w:ilvl w:val="0"/>
          <w:numId w:val="11"/>
        </w:numPr>
      </w:pPr>
      <w:r>
        <w:t>§ 5 odst. 3</w:t>
      </w:r>
      <w:r w:rsidR="00EE3841">
        <w:t xml:space="preserve"> písm. </w:t>
      </w:r>
      <w:r w:rsidR="004B18E5">
        <w:t>b</w:t>
      </w:r>
      <w:r w:rsidR="00EE3841">
        <w:t xml:space="preserve">) </w:t>
      </w:r>
      <w:r w:rsidR="00650C3F">
        <w:t xml:space="preserve">bod </w:t>
      </w:r>
      <w:r w:rsidR="004B18E5">
        <w:t>4</w:t>
      </w:r>
      <w:r w:rsidR="00973753">
        <w:t>,</w:t>
      </w:r>
      <w:r w:rsidR="004B18E5">
        <w:t xml:space="preserve"> </w:t>
      </w:r>
      <w:r w:rsidR="00973753">
        <w:t xml:space="preserve">který </w:t>
      </w:r>
      <w:r w:rsidR="001B367E">
        <w:t>zní</w:t>
      </w:r>
      <w:r w:rsidR="00973753">
        <w:t>: „</w:t>
      </w:r>
      <w:r w:rsidR="00973753" w:rsidRPr="00973753">
        <w:rPr>
          <w:i/>
        </w:rPr>
        <w:t>k převodu pro účely nemocenského, důchodového a zdravotního pojištění a státní politiky zaměstnanosti</w:t>
      </w:r>
      <w:r w:rsidR="00973753" w:rsidRPr="00973753">
        <w:t>,</w:t>
      </w:r>
      <w:r w:rsidR="00973753">
        <w:t>“</w:t>
      </w:r>
    </w:p>
    <w:p w:rsidR="008B0A42" w:rsidRPr="00973753" w:rsidRDefault="00650C3F" w:rsidP="00D8582D">
      <w:pPr>
        <w:pStyle w:val="Odstavecseseznamem"/>
        <w:numPr>
          <w:ilvl w:val="0"/>
          <w:numId w:val="11"/>
        </w:numPr>
        <w:rPr>
          <w:i/>
          <w:color w:val="0D0D0D" w:themeColor="text1" w:themeTint="F2"/>
        </w:rPr>
      </w:pPr>
      <w:r>
        <w:t xml:space="preserve">§ 5 odst. 3 písm. </w:t>
      </w:r>
      <w:r w:rsidR="004B18E5">
        <w:t>b</w:t>
      </w:r>
      <w:r>
        <w:t>) bod 5</w:t>
      </w:r>
      <w:r w:rsidR="00973753">
        <w:t>,</w:t>
      </w:r>
      <w:r>
        <w:t xml:space="preserve"> </w:t>
      </w:r>
      <w:r w:rsidR="00973753">
        <w:t xml:space="preserve">který </w:t>
      </w:r>
      <w:r w:rsidR="001B367E">
        <w:t>zní</w:t>
      </w:r>
      <w:r w:rsidR="00973753">
        <w:t xml:space="preserve">: </w:t>
      </w:r>
      <w:r w:rsidR="00973753" w:rsidRPr="00973753">
        <w:rPr>
          <w:i/>
        </w:rPr>
        <w:t>„k převodu na Nadační investiční fond pro účely podpory nadací určených Poslaneckou sněmovnou Parlamentu České republiky na návrh vlády, nebo“</w:t>
      </w:r>
    </w:p>
    <w:p w:rsidR="008B0A42" w:rsidRDefault="008B0A42" w:rsidP="008B0A42">
      <w:pPr>
        <w:rPr>
          <w:color w:val="0D0D0D" w:themeColor="text1" w:themeTint="F2"/>
        </w:rPr>
      </w:pPr>
    </w:p>
    <w:p w:rsidR="00A56A79" w:rsidRDefault="00A56A79" w:rsidP="008B0A42">
      <w:pPr>
        <w:rPr>
          <w:color w:val="0D0D0D" w:themeColor="text1" w:themeTint="F2"/>
        </w:rPr>
      </w:pPr>
    </w:p>
    <w:p w:rsidR="00A56A79" w:rsidRDefault="00A56A79" w:rsidP="008B0A42">
      <w:pPr>
        <w:rPr>
          <w:color w:val="0D0D0D" w:themeColor="text1" w:themeTint="F2"/>
        </w:rPr>
      </w:pPr>
    </w:p>
    <w:p w:rsidR="00F64199" w:rsidRDefault="00F64199" w:rsidP="008B0A42">
      <w:pPr>
        <w:rPr>
          <w:color w:val="0D0D0D" w:themeColor="text1" w:themeTint="F2"/>
        </w:rPr>
      </w:pPr>
    </w:p>
    <w:p w:rsidR="00F64199" w:rsidRPr="00F05827" w:rsidRDefault="00F64199" w:rsidP="008B0A42">
      <w:pPr>
        <w:rPr>
          <w:color w:val="0D0D0D" w:themeColor="text1" w:themeTint="F2"/>
        </w:rPr>
      </w:pPr>
    </w:p>
    <w:p w:rsidR="008B0A42" w:rsidRDefault="008B0A42" w:rsidP="00D8582D">
      <w:pPr>
        <w:pStyle w:val="Odstavecseseznamem"/>
        <w:numPr>
          <w:ilvl w:val="0"/>
          <w:numId w:val="5"/>
        </w:numPr>
        <w:rPr>
          <w:b/>
          <w:color w:val="0D0D0D" w:themeColor="text1" w:themeTint="F2"/>
        </w:rPr>
      </w:pPr>
      <w:r w:rsidRPr="00270712">
        <w:rPr>
          <w:b/>
          <w:color w:val="0D0D0D" w:themeColor="text1" w:themeTint="F2"/>
        </w:rPr>
        <w:lastRenderedPageBreak/>
        <w:t xml:space="preserve">V zákoně jsou ustanovení, </w:t>
      </w:r>
      <w:r w:rsidR="0046404C">
        <w:rPr>
          <w:b/>
          <w:color w:val="0D0D0D" w:themeColor="text1" w:themeTint="F2"/>
        </w:rPr>
        <w:t xml:space="preserve">u kterých není </w:t>
      </w:r>
      <w:r w:rsidR="00782139">
        <w:rPr>
          <w:b/>
          <w:color w:val="0D0D0D" w:themeColor="text1" w:themeTint="F2"/>
        </w:rPr>
        <w:t>již předpokládáno žádné čerpání</w:t>
      </w:r>
      <w:r w:rsidR="0046404C">
        <w:rPr>
          <w:b/>
          <w:color w:val="0D0D0D" w:themeColor="text1" w:themeTint="F2"/>
        </w:rPr>
        <w:t xml:space="preserve">, </w:t>
      </w:r>
      <w:r w:rsidR="00D354C3">
        <w:rPr>
          <w:b/>
          <w:color w:val="0D0D0D" w:themeColor="text1" w:themeTint="F2"/>
        </w:rPr>
        <w:t xml:space="preserve">nicméně </w:t>
      </w:r>
      <w:r w:rsidRPr="00270712">
        <w:rPr>
          <w:b/>
          <w:color w:val="0D0D0D" w:themeColor="text1" w:themeTint="F2"/>
        </w:rPr>
        <w:t>na základě kterých mohou vznikat nové výdajové požadavky na zvláštní účty privatizace</w:t>
      </w:r>
      <w:r w:rsidR="00BC49CC">
        <w:rPr>
          <w:b/>
          <w:color w:val="0D0D0D" w:themeColor="text1" w:themeTint="F2"/>
        </w:rPr>
        <w:t xml:space="preserve"> a</w:t>
      </w:r>
      <w:r w:rsidR="001474E1">
        <w:rPr>
          <w:b/>
          <w:color w:val="0D0D0D" w:themeColor="text1" w:themeTint="F2"/>
        </w:rPr>
        <w:t xml:space="preserve"> které lze zároveň financovat </w:t>
      </w:r>
      <w:r w:rsidR="00BC49CC">
        <w:rPr>
          <w:b/>
          <w:color w:val="0D0D0D" w:themeColor="text1" w:themeTint="F2"/>
        </w:rPr>
        <w:t>z jiných zdrojů</w:t>
      </w:r>
      <w:r w:rsidR="00D354C3">
        <w:rPr>
          <w:b/>
          <w:color w:val="0D0D0D" w:themeColor="text1" w:themeTint="F2"/>
        </w:rPr>
        <w:t>.</w:t>
      </w:r>
    </w:p>
    <w:p w:rsidR="003607D6" w:rsidRPr="003607D6" w:rsidRDefault="003607D6" w:rsidP="003607D6">
      <w:pPr>
        <w:rPr>
          <w:b/>
          <w:color w:val="0D0D0D" w:themeColor="text1" w:themeTint="F2"/>
        </w:rPr>
      </w:pPr>
    </w:p>
    <w:p w:rsidR="008B0A42" w:rsidRDefault="008B0A42" w:rsidP="008B0A42">
      <w:pPr>
        <w:rPr>
          <w:color w:val="0D0D0D" w:themeColor="text1" w:themeTint="F2"/>
        </w:rPr>
      </w:pPr>
      <w:r>
        <w:rPr>
          <w:color w:val="0D0D0D" w:themeColor="text1" w:themeTint="F2"/>
        </w:rPr>
        <w:t xml:space="preserve">Ministerstvo </w:t>
      </w:r>
      <w:r w:rsidR="00326B37">
        <w:rPr>
          <w:color w:val="0D0D0D" w:themeColor="text1" w:themeTint="F2"/>
        </w:rPr>
        <w:t xml:space="preserve">proto </w:t>
      </w:r>
      <w:r>
        <w:rPr>
          <w:color w:val="0D0D0D" w:themeColor="text1" w:themeTint="F2"/>
        </w:rPr>
        <w:t>financi navrhuje vypustit tyto části zákona</w:t>
      </w:r>
      <w:r w:rsidR="00AD2615">
        <w:rPr>
          <w:color w:val="0D0D0D" w:themeColor="text1" w:themeTint="F2"/>
        </w:rPr>
        <w:t>:</w:t>
      </w:r>
    </w:p>
    <w:p w:rsidR="008B0A42" w:rsidRDefault="00973753" w:rsidP="00D8582D">
      <w:pPr>
        <w:pStyle w:val="Odstavecseseznamem"/>
        <w:numPr>
          <w:ilvl w:val="0"/>
          <w:numId w:val="8"/>
        </w:numPr>
      </w:pPr>
      <w:r>
        <w:t xml:space="preserve">§ 5 odst. 3 písm. b) bod 6, který </w:t>
      </w:r>
      <w:r w:rsidR="00BA374A">
        <w:t>zní:</w:t>
      </w:r>
      <w:r>
        <w:t xml:space="preserve"> „</w:t>
      </w:r>
      <w:r w:rsidRPr="00973753">
        <w:rPr>
          <w:i/>
        </w:rPr>
        <w:t xml:space="preserve">k převodu </w:t>
      </w:r>
      <w:r>
        <w:rPr>
          <w:i/>
        </w:rPr>
        <w:t>na obecně prospěšné společnosti</w:t>
      </w:r>
      <w:r w:rsidR="009A3E4C">
        <w:rPr>
          <w:i/>
        </w:rPr>
        <w:t>,</w:t>
      </w:r>
      <w:r>
        <w:rPr>
          <w:i/>
        </w:rPr>
        <w:t>“</w:t>
      </w:r>
    </w:p>
    <w:p w:rsidR="008B0A42" w:rsidRPr="00973753" w:rsidRDefault="008B0A42" w:rsidP="00D8582D">
      <w:pPr>
        <w:pStyle w:val="Odstavecseseznamem"/>
        <w:numPr>
          <w:ilvl w:val="0"/>
          <w:numId w:val="8"/>
        </w:numPr>
        <w:rPr>
          <w:i/>
        </w:rPr>
      </w:pPr>
      <w:r>
        <w:t>§ 5 odst. 3 písm. c) bod 4</w:t>
      </w:r>
      <w:r w:rsidR="00973753">
        <w:t>, část</w:t>
      </w:r>
      <w:r w:rsidR="0046404C">
        <w:t>, která říká</w:t>
      </w:r>
      <w:r w:rsidR="00973753">
        <w:t xml:space="preserve">: </w:t>
      </w:r>
      <w:r w:rsidR="002533CB">
        <w:rPr>
          <w:i/>
        </w:rPr>
        <w:t>„</w:t>
      </w:r>
      <w:r w:rsidR="00973753" w:rsidRPr="00973753">
        <w:rPr>
          <w:i/>
          <w:color w:val="000000"/>
        </w:rPr>
        <w:t>a k úhradě nákladů spojených se záchranou klenotů naší národní identity a architektonického dědictví České republiky,“</w:t>
      </w:r>
    </w:p>
    <w:p w:rsidR="008B0A42" w:rsidRPr="00FC4316" w:rsidRDefault="00FC4316" w:rsidP="00D8582D">
      <w:pPr>
        <w:pStyle w:val="Odstavecseseznamem"/>
        <w:numPr>
          <w:ilvl w:val="0"/>
          <w:numId w:val="8"/>
        </w:numPr>
        <w:rPr>
          <w:i/>
        </w:rPr>
      </w:pPr>
      <w:r>
        <w:t xml:space="preserve">§ 5 odst. 3 písm. c) bod 6, který </w:t>
      </w:r>
      <w:r w:rsidR="00BA374A">
        <w:t xml:space="preserve">zní: </w:t>
      </w:r>
      <w:r w:rsidRPr="00FC4316">
        <w:rPr>
          <w:i/>
        </w:rPr>
        <w:t>„</w:t>
      </w:r>
      <w:r w:rsidRPr="00FC4316">
        <w:rPr>
          <w:i/>
          <w:color w:val="000000"/>
        </w:rPr>
        <w:t>k převodu na Státní fond dopravní infrastruktury,“</w:t>
      </w:r>
    </w:p>
    <w:p w:rsidR="008B0A42" w:rsidRDefault="008B0A42" w:rsidP="00D8582D">
      <w:pPr>
        <w:pStyle w:val="Odstavecseseznamem"/>
        <w:numPr>
          <w:ilvl w:val="0"/>
          <w:numId w:val="8"/>
        </w:numPr>
      </w:pPr>
      <w:r>
        <w:t>§ 5 odst. 3 písm. c) bod 7</w:t>
      </w:r>
      <w:r w:rsidR="00FC4316">
        <w:t xml:space="preserve">, který </w:t>
      </w:r>
      <w:r w:rsidR="00BA374A">
        <w:t xml:space="preserve">zní: </w:t>
      </w:r>
      <w:r w:rsidR="00FC4316" w:rsidRPr="00FC4316">
        <w:rPr>
          <w:i/>
        </w:rPr>
        <w:t>„</w:t>
      </w:r>
      <w:r w:rsidR="00FC4316" w:rsidRPr="00FC4316">
        <w:rPr>
          <w:i/>
          <w:color w:val="000000"/>
        </w:rPr>
        <w:t>k převodu na Státní fond rozvoje bydlení,“</w:t>
      </w:r>
    </w:p>
    <w:p w:rsidR="008B0A42" w:rsidRPr="00FC4316" w:rsidRDefault="008B0A42" w:rsidP="00D8582D">
      <w:pPr>
        <w:pStyle w:val="Odstavecseseznamem"/>
        <w:numPr>
          <w:ilvl w:val="0"/>
          <w:numId w:val="8"/>
        </w:numPr>
        <w:tabs>
          <w:tab w:val="left" w:pos="6276"/>
        </w:tabs>
        <w:rPr>
          <w:i/>
        </w:rPr>
      </w:pPr>
      <w:r>
        <w:t>§ 5 odst. 3 písm. c) bod 8</w:t>
      </w:r>
      <w:r w:rsidR="00FC4316">
        <w:t xml:space="preserve">, který </w:t>
      </w:r>
      <w:r w:rsidR="00BA374A">
        <w:t xml:space="preserve">zní: </w:t>
      </w:r>
      <w:r w:rsidR="00FC4316" w:rsidRPr="00FC4316">
        <w:rPr>
          <w:i/>
        </w:rPr>
        <w:t>„k finanční podpoře projektů rozvoje území určených pro průmyslové využití schválených vládou.</w:t>
      </w:r>
      <w:r w:rsidR="009A3E4C">
        <w:rPr>
          <w:i/>
        </w:rPr>
        <w:t>“</w:t>
      </w:r>
    </w:p>
    <w:p w:rsidR="00FC4316" w:rsidRDefault="00FC4316" w:rsidP="00FC4316">
      <w:pPr>
        <w:tabs>
          <w:tab w:val="left" w:pos="6276"/>
        </w:tabs>
      </w:pPr>
    </w:p>
    <w:p w:rsidR="00FC4316" w:rsidRDefault="00FC4316" w:rsidP="00FC4316">
      <w:pPr>
        <w:tabs>
          <w:tab w:val="left" w:pos="6276"/>
        </w:tabs>
      </w:pPr>
    </w:p>
    <w:p w:rsidR="008B0A42" w:rsidRDefault="008B0A42" w:rsidP="00D8582D">
      <w:pPr>
        <w:pStyle w:val="Odstavecseseznamem"/>
        <w:numPr>
          <w:ilvl w:val="0"/>
          <w:numId w:val="5"/>
        </w:numPr>
        <w:rPr>
          <w:b/>
        </w:rPr>
      </w:pPr>
      <w:r w:rsidRPr="00270712">
        <w:rPr>
          <w:b/>
        </w:rPr>
        <w:t xml:space="preserve">Zákon neumožňuje využívat jiné prostředky než výnosy z privatizace majetku v režimu zákona </w:t>
      </w:r>
      <w:r w:rsidR="00FC4316">
        <w:rPr>
          <w:b/>
        </w:rPr>
        <w:t xml:space="preserve">č. </w:t>
      </w:r>
      <w:r w:rsidRPr="00270712">
        <w:rPr>
          <w:b/>
        </w:rPr>
        <w:t>92/1991 Sb.</w:t>
      </w:r>
      <w:r w:rsidR="00FC4316">
        <w:rPr>
          <w:b/>
        </w:rPr>
        <w:t xml:space="preserve">, </w:t>
      </w:r>
      <w:r w:rsidR="00FC4316" w:rsidRPr="00FC4316">
        <w:rPr>
          <w:b/>
        </w:rPr>
        <w:t>o podmínkách převodu majetku státu na jiné osoby</w:t>
      </w:r>
      <w:r w:rsidR="00D354C3">
        <w:rPr>
          <w:b/>
        </w:rPr>
        <w:t>.</w:t>
      </w:r>
    </w:p>
    <w:p w:rsidR="008B0A42" w:rsidRDefault="008B0A42" w:rsidP="008B0A42">
      <w:pPr>
        <w:rPr>
          <w:b/>
        </w:rPr>
      </w:pPr>
    </w:p>
    <w:p w:rsidR="00D7797F" w:rsidRDefault="00C16AA8" w:rsidP="008B0A42">
      <w:pPr>
        <w:rPr>
          <w:color w:val="000000" w:themeColor="text1"/>
        </w:rPr>
      </w:pPr>
      <w:r w:rsidRPr="00C16AA8">
        <w:t>Výdaje privatizačního charakte</w:t>
      </w:r>
      <w:r w:rsidR="001474E1">
        <w:t>ru nelze hradit z jiných zdrojů</w:t>
      </w:r>
      <w:r w:rsidRPr="00C16AA8">
        <w:t xml:space="preserve"> než ze zvláštních účtů </w:t>
      </w:r>
      <w:r w:rsidR="00EB0579">
        <w:t>privatizace</w:t>
      </w:r>
      <w:r w:rsidRPr="00C16AA8">
        <w:t xml:space="preserve"> zřízených </w:t>
      </w:r>
      <w:r w:rsidR="0048476A">
        <w:t>po</w:t>
      </w:r>
      <w:r w:rsidRPr="00C16AA8">
        <w:t>dle 4 § zákona č. 178/2005</w:t>
      </w:r>
      <w:r w:rsidR="00FC4316">
        <w:t xml:space="preserve"> Sb.</w:t>
      </w:r>
      <w:r>
        <w:t xml:space="preserve"> Při současném trendu</w:t>
      </w:r>
      <w:r w:rsidR="0046404C">
        <w:t>,</w:t>
      </w:r>
      <w:r>
        <w:t xml:space="preserve"> kdy výnosy prodeje majetku jsou již minimá</w:t>
      </w:r>
      <w:r w:rsidR="00EE3BE3">
        <w:t xml:space="preserve">lní, </w:t>
      </w:r>
      <w:r w:rsidR="00E8454E">
        <w:t xml:space="preserve">je předpokládána stagnace </w:t>
      </w:r>
      <w:r>
        <w:t xml:space="preserve">až pokles </w:t>
      </w:r>
      <w:r>
        <w:rPr>
          <w:color w:val="000000" w:themeColor="text1"/>
        </w:rPr>
        <w:t xml:space="preserve">výnosů </w:t>
      </w:r>
      <w:r w:rsidR="003607D6">
        <w:rPr>
          <w:color w:val="000000" w:themeColor="text1"/>
        </w:rPr>
        <w:br/>
      </w:r>
      <w:r>
        <w:rPr>
          <w:color w:val="000000" w:themeColor="text1"/>
        </w:rPr>
        <w:t>z účasti státu v obchodních společnostech</w:t>
      </w:r>
      <w:r w:rsidR="00EE3BE3">
        <w:rPr>
          <w:color w:val="000000" w:themeColor="text1"/>
        </w:rPr>
        <w:t xml:space="preserve"> a inkaso hlavní</w:t>
      </w:r>
      <w:r w:rsidR="00782139">
        <w:rPr>
          <w:color w:val="000000" w:themeColor="text1"/>
        </w:rPr>
        <w:t>ch příjmů probíhá jen 1x ročně,</w:t>
      </w:r>
      <w:r>
        <w:rPr>
          <w:color w:val="000000" w:themeColor="text1"/>
        </w:rPr>
        <w:t xml:space="preserve"> </w:t>
      </w:r>
      <w:r w:rsidR="00D354C3">
        <w:rPr>
          <w:color w:val="000000" w:themeColor="text1"/>
        </w:rPr>
        <w:t xml:space="preserve">kdy tak </w:t>
      </w:r>
      <w:r>
        <w:rPr>
          <w:color w:val="000000" w:themeColor="text1"/>
        </w:rPr>
        <w:t>vzniká riziko</w:t>
      </w:r>
      <w:r w:rsidR="0046404C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EE3BE3">
        <w:rPr>
          <w:color w:val="000000" w:themeColor="text1"/>
        </w:rPr>
        <w:t>že při uplatnění neočekávaného výdaje nebude na účtech dostatek finančních prostředků pro jeho úhradu.</w:t>
      </w:r>
      <w:r w:rsidR="006D09A7">
        <w:rPr>
          <w:color w:val="000000" w:themeColor="text1"/>
        </w:rPr>
        <w:t xml:space="preserve"> Tím by vznikly dodatečné náklady za neplnění závazků</w:t>
      </w:r>
      <w:r w:rsidR="00E8454E">
        <w:rPr>
          <w:color w:val="000000" w:themeColor="text1"/>
        </w:rPr>
        <w:t>.</w:t>
      </w:r>
    </w:p>
    <w:p w:rsidR="00E8454E" w:rsidRDefault="00E8454E" w:rsidP="008B0A42">
      <w:pPr>
        <w:rPr>
          <w:color w:val="000000" w:themeColor="text1"/>
        </w:rPr>
      </w:pPr>
    </w:p>
    <w:p w:rsidR="00E8454E" w:rsidRPr="003607D6" w:rsidRDefault="00E8454E" w:rsidP="00E8454E">
      <w:r w:rsidRPr="00E8454E">
        <w:t>Aktuální verze zákona</w:t>
      </w:r>
      <w:r>
        <w:t xml:space="preserve"> č. 178/2005 Sb</w:t>
      </w:r>
      <w:r w:rsidR="0046404C">
        <w:t>.</w:t>
      </w:r>
      <w:r w:rsidRPr="00E8454E">
        <w:t xml:space="preserve"> neumožňuje využívat jiné prostředky než výnosy z privatizace majetku</w:t>
      </w:r>
      <w:r w:rsidR="001474E1">
        <w:t>, které se privatizují</w:t>
      </w:r>
      <w:r w:rsidRPr="00E8454E">
        <w:t xml:space="preserve"> v režimu zákona </w:t>
      </w:r>
      <w:r w:rsidR="00D354C3">
        <w:t xml:space="preserve">č. </w:t>
      </w:r>
      <w:r w:rsidRPr="00E8454E">
        <w:t>92/1991 Sb.</w:t>
      </w:r>
      <w:r>
        <w:t xml:space="preserve">, </w:t>
      </w:r>
      <w:r w:rsidRPr="003607D6">
        <w:t>o podmínkách převodu majetku státu na jiné osoby.</w:t>
      </w:r>
    </w:p>
    <w:p w:rsidR="00E8454E" w:rsidRDefault="00E8454E" w:rsidP="008B0A42">
      <w:pPr>
        <w:rPr>
          <w:color w:val="000000" w:themeColor="text1"/>
        </w:rPr>
      </w:pPr>
    </w:p>
    <w:p w:rsidR="00872DA7" w:rsidRPr="00C16AA8" w:rsidRDefault="00E8454E" w:rsidP="008B0A42">
      <w:r>
        <w:rPr>
          <w:color w:val="000000" w:themeColor="text1"/>
        </w:rPr>
        <w:t xml:space="preserve">Pro eliminaci rizika je tedy potřeba v případě výpadku příjmů zajistit možnost převodu prostředků </w:t>
      </w:r>
      <w:r w:rsidR="00006BAC">
        <w:rPr>
          <w:color w:val="000000" w:themeColor="text1"/>
        </w:rPr>
        <w:t>státního rozpočtu</w:t>
      </w:r>
      <w:r w:rsidR="00367B93">
        <w:rPr>
          <w:color w:val="000000" w:themeColor="text1"/>
        </w:rPr>
        <w:t xml:space="preserve"> </w:t>
      </w:r>
      <w:r w:rsidR="00006BAC">
        <w:rPr>
          <w:color w:val="000000" w:themeColor="text1"/>
        </w:rPr>
        <w:t>pouze ve výši</w:t>
      </w:r>
      <w:r>
        <w:rPr>
          <w:color w:val="000000" w:themeColor="text1"/>
        </w:rPr>
        <w:t xml:space="preserve">, </w:t>
      </w:r>
      <w:r w:rsidR="00006BAC">
        <w:rPr>
          <w:color w:val="000000" w:themeColor="text1"/>
        </w:rPr>
        <w:t>která umožní</w:t>
      </w:r>
      <w:r>
        <w:rPr>
          <w:color w:val="000000" w:themeColor="text1"/>
        </w:rPr>
        <w:t xml:space="preserve"> financovat smluvní závazky, které lze financovat jen ze </w:t>
      </w:r>
      <w:r w:rsidR="00EB0579">
        <w:rPr>
          <w:color w:val="000000" w:themeColor="text1"/>
        </w:rPr>
        <w:t>zvláštních účtů privatizace</w:t>
      </w:r>
      <w:r>
        <w:rPr>
          <w:color w:val="000000" w:themeColor="text1"/>
        </w:rPr>
        <w:t>.</w:t>
      </w:r>
      <w:r w:rsidR="00D11C7C">
        <w:rPr>
          <w:color w:val="000000" w:themeColor="text1"/>
        </w:rPr>
        <w:t xml:space="preserve"> </w:t>
      </w:r>
    </w:p>
    <w:p w:rsidR="00D7797F" w:rsidRDefault="00D7797F" w:rsidP="008B0A42">
      <w:pPr>
        <w:rPr>
          <w:b/>
        </w:rPr>
      </w:pPr>
    </w:p>
    <w:p w:rsidR="008B0A42" w:rsidRPr="007570EE" w:rsidRDefault="008B0A42" w:rsidP="00D8582D">
      <w:pPr>
        <w:pStyle w:val="Odstavecseseznamem"/>
        <w:numPr>
          <w:ilvl w:val="0"/>
          <w:numId w:val="5"/>
        </w:numPr>
        <w:rPr>
          <w:b/>
        </w:rPr>
      </w:pPr>
      <w:r>
        <w:rPr>
          <w:b/>
        </w:rPr>
        <w:t>Vzhledem k naplňování usnesení v</w:t>
      </w:r>
      <w:r w:rsidR="001474E1">
        <w:rPr>
          <w:b/>
        </w:rPr>
        <w:t>lády č. 610 ze dne 4. září 2017</w:t>
      </w:r>
      <w:r>
        <w:rPr>
          <w:b/>
        </w:rPr>
        <w:t xml:space="preserve"> část III. odst. 3 písm. a) není dostatečný prostor pro převod prostředků do státního rozpočtu.</w:t>
      </w:r>
    </w:p>
    <w:p w:rsidR="008B0A42" w:rsidRDefault="008B0A42" w:rsidP="008B0A42">
      <w:pPr>
        <w:rPr>
          <w:b/>
        </w:rPr>
      </w:pPr>
    </w:p>
    <w:p w:rsidR="00D7797F" w:rsidRDefault="00E8454E" w:rsidP="008B0A42">
      <w:pPr>
        <w:rPr>
          <w:i/>
          <w:color w:val="000000"/>
        </w:rPr>
      </w:pPr>
      <w:r w:rsidRPr="00E8454E">
        <w:t xml:space="preserve">Pro aplikaci usnesení vlády č. 610 ze dne 4. </w:t>
      </w:r>
      <w:r>
        <w:t>z</w:t>
      </w:r>
      <w:r w:rsidRPr="00E8454E">
        <w:t xml:space="preserve">áří 2017 vyvstala potřeba </w:t>
      </w:r>
      <w:r w:rsidR="00900587">
        <w:t>zajistit</w:t>
      </w:r>
      <w:r w:rsidRPr="00E8454E">
        <w:t xml:space="preserve"> </w:t>
      </w:r>
      <w:r>
        <w:t>převod ze zvláštních účtů privatizace do příjmů kapitoly 322 Ministerstvo průmyslu a obchodu</w:t>
      </w:r>
      <w:r w:rsidR="00352347">
        <w:t>, a to</w:t>
      </w:r>
      <w:r>
        <w:t xml:space="preserve"> pro účely financování odstraňování následků po chemické těžbě uranu ve Stráži pod Ralskem. Současné znění umožňuje je</w:t>
      </w:r>
      <w:r w:rsidR="005452D0">
        <w:t xml:space="preserve">n převod do státního rozpočtu pouze </w:t>
      </w:r>
      <w:r w:rsidR="005452D0" w:rsidRPr="00FC4316">
        <w:rPr>
          <w:i/>
        </w:rPr>
        <w:t>„</w:t>
      </w:r>
      <w:r w:rsidR="005452D0" w:rsidRPr="00FC4316">
        <w:rPr>
          <w:i/>
          <w:color w:val="000000"/>
        </w:rPr>
        <w:t>v případě, kdy rozpočtované příjmy pojistného na důchodové pojištění</w:t>
      </w:r>
      <w:r w:rsidR="00A32892">
        <w:rPr>
          <w:i/>
          <w:color w:val="000000"/>
        </w:rPr>
        <w:t>,</w:t>
      </w:r>
      <w:r w:rsidR="005452D0" w:rsidRPr="00FC4316">
        <w:rPr>
          <w:i/>
          <w:color w:val="000000"/>
        </w:rPr>
        <w:t xml:space="preserve"> včetně příjmů z penále a pokut připadajících na důchodové pojištění budou nižší než rozpočtované výdaje na dávky důchodového pojištění včetně výdajů spojených s výběrem pojistného na důchodové pojištění a výplatou dávek důchodového pojištění; rozpočtovaná částka se převede maximálně do výše předpokládaného skutečného rozdílu podle části věty před středníkem,“</w:t>
      </w:r>
    </w:p>
    <w:p w:rsidR="00131D95" w:rsidRPr="00367B93" w:rsidRDefault="00131D95" w:rsidP="008B0A42">
      <w:pPr>
        <w:rPr>
          <w:color w:val="000000"/>
        </w:rPr>
      </w:pPr>
    </w:p>
    <w:p w:rsidR="00131D95" w:rsidRPr="00131D95" w:rsidRDefault="00131D95" w:rsidP="00131D95">
      <w:pPr>
        <w:rPr>
          <w:color w:val="000000"/>
        </w:rPr>
      </w:pPr>
      <w:r>
        <w:rPr>
          <w:color w:val="000000"/>
        </w:rPr>
        <w:lastRenderedPageBreak/>
        <w:t>Úprava u</w:t>
      </w:r>
      <w:r w:rsidRPr="00131D95">
        <w:rPr>
          <w:color w:val="000000"/>
        </w:rPr>
        <w:t>stanovení umožní využívání volných privatizačních prostředků pro účely státního rozpočtu. Bude tak značně sníženo riziko neuhrazení privatizačních závazků a s ním souvisejících výdajů.</w:t>
      </w:r>
    </w:p>
    <w:p w:rsidR="00131D95" w:rsidRPr="00131D95" w:rsidRDefault="00131D95" w:rsidP="008B0A42"/>
    <w:p w:rsidR="00FC4316" w:rsidRPr="007570EE" w:rsidRDefault="00FC4316" w:rsidP="008B0A42">
      <w:pPr>
        <w:rPr>
          <w:b/>
        </w:rPr>
      </w:pPr>
    </w:p>
    <w:p w:rsidR="008B0A42" w:rsidRPr="00FC4316" w:rsidRDefault="008B0A42" w:rsidP="008B0A42">
      <w:r w:rsidRPr="00FC4316">
        <w:t xml:space="preserve">Novelou </w:t>
      </w:r>
      <w:r w:rsidR="006F12B5" w:rsidRPr="00FC4316">
        <w:t xml:space="preserve">zákona </w:t>
      </w:r>
      <w:r w:rsidR="00AD2615">
        <w:t>č. 178/2005 Sb.</w:t>
      </w:r>
      <w:r w:rsidR="006F12B5" w:rsidRPr="00FC4316">
        <w:t xml:space="preserve"> </w:t>
      </w:r>
      <w:r w:rsidRPr="00FC4316">
        <w:t xml:space="preserve">budou rovněž </w:t>
      </w:r>
      <w:r w:rsidR="00D7797F" w:rsidRPr="00FC4316">
        <w:t>novelizovány</w:t>
      </w:r>
      <w:r w:rsidRPr="00FC4316">
        <w:t xml:space="preserve"> tyto zákony:</w:t>
      </w:r>
    </w:p>
    <w:p w:rsidR="00FC4316" w:rsidRPr="00AE00DE" w:rsidRDefault="00FC4316" w:rsidP="008B0A42">
      <w:pPr>
        <w:rPr>
          <w:b/>
        </w:rPr>
      </w:pPr>
    </w:p>
    <w:p w:rsidR="008B0A42" w:rsidRDefault="008B0A42" w:rsidP="008B0A42">
      <w:r>
        <w:t>Zákon č. 92/1991 Sb</w:t>
      </w:r>
      <w:r w:rsidRPr="00FD7AE1">
        <w:t>., o převodu majetku státu na jiné osoby</w:t>
      </w:r>
      <w:r w:rsidR="00F533D2" w:rsidRPr="00FD7AE1">
        <w:rPr>
          <w:rFonts w:cs="Times New Roman"/>
        </w:rPr>
        <w:t>, ve znění pozdějších předpisů</w:t>
      </w:r>
      <w:r w:rsidR="006F12B5" w:rsidRPr="00FD7AE1">
        <w:rPr>
          <w:rFonts w:cs="Times New Roman"/>
        </w:rPr>
        <w:t>.</w:t>
      </w:r>
    </w:p>
    <w:p w:rsidR="008B0A42" w:rsidRDefault="008B0A42" w:rsidP="008B0A42">
      <w:r>
        <w:t>Zákon č. 104/2000 Sb.</w:t>
      </w:r>
      <w:r w:rsidR="00FC4316">
        <w:t>,</w:t>
      </w:r>
      <w:r>
        <w:t xml:space="preserve"> </w:t>
      </w:r>
      <w:r w:rsidRPr="00FD7AE1">
        <w:t>o Státním fondu dopravní infrastruktury</w:t>
      </w:r>
      <w:r w:rsidR="006F12B5" w:rsidRPr="00FD7AE1">
        <w:t xml:space="preserve">, ve znění pozdějších </w:t>
      </w:r>
      <w:r w:rsidR="006F12B5" w:rsidRPr="0062269F">
        <w:t>předpisů.</w:t>
      </w:r>
    </w:p>
    <w:p w:rsidR="0062269F" w:rsidRDefault="0062269F" w:rsidP="008B0A42"/>
    <w:p w:rsidR="0062269F" w:rsidRDefault="0062269F" w:rsidP="00F64199">
      <w:pPr>
        <w:pStyle w:val="Odstavecseseznamem"/>
        <w:numPr>
          <w:ilvl w:val="0"/>
          <w:numId w:val="5"/>
        </w:numPr>
        <w:rPr>
          <w:b/>
        </w:rPr>
      </w:pPr>
      <w:r w:rsidRPr="00F64199">
        <w:rPr>
          <w:b/>
        </w:rPr>
        <w:t>Zákon znemožňuje převod prostředků do státního rozpočtu</w:t>
      </w:r>
      <w:r>
        <w:rPr>
          <w:b/>
        </w:rPr>
        <w:t xml:space="preserve"> na úhradu deficitu důchodového systému</w:t>
      </w:r>
    </w:p>
    <w:p w:rsidR="0062269F" w:rsidRPr="00F64199" w:rsidRDefault="0062269F">
      <w:pPr>
        <w:rPr>
          <w:b/>
        </w:rPr>
      </w:pPr>
    </w:p>
    <w:p w:rsidR="009F7E09" w:rsidRDefault="009F7E09" w:rsidP="009F7E09">
      <w:r>
        <w:t>Nutnost uvolnění podmínek pro převod do státního rozpočtu se týká § 5 odst. 3, písm. c) bod 5, říká:</w:t>
      </w:r>
    </w:p>
    <w:p w:rsidR="009F7E09" w:rsidRDefault="009F7E09" w:rsidP="009F7E09">
      <w:pPr>
        <w:rPr>
          <w:i/>
        </w:rPr>
      </w:pPr>
      <w:r>
        <w:rPr>
          <w:i/>
        </w:rPr>
        <w:t>„</w:t>
      </w:r>
      <w:r w:rsidRPr="00EF7039">
        <w:rPr>
          <w:i/>
        </w:rPr>
        <w:t>převodu do státního rozpočtu v případě, kdy rozpočtované příjmy pojistného na důchodové pojištění včetně příjmů z penále a pokut připadajících na důchodové pojištění budou nižší než rozpočtované výdaje na dávky důchodového pojištění včetně výdajů spojených s výběrem pojistného na důchodové pojištění a výplatou dávek důchodového pojištění; rozpočtovaná částka se převede maximálně do výše předpokládaného skutečného rozdílu podle části věty před středníkem,</w:t>
      </w:r>
      <w:r>
        <w:rPr>
          <w:i/>
        </w:rPr>
        <w:t>“</w:t>
      </w:r>
    </w:p>
    <w:p w:rsidR="009F7E09" w:rsidRDefault="009F7E09" w:rsidP="009F7E09">
      <w:pPr>
        <w:rPr>
          <w:i/>
        </w:rPr>
      </w:pPr>
    </w:p>
    <w:p w:rsidR="009F7E09" w:rsidRDefault="009F7E09" w:rsidP="009F7E09">
      <w:r>
        <w:t xml:space="preserve">Současné znění zákona č. 178/2005 Sb., § 5, odst. 3, písm. c) bod 5 stanovuje poměrně přísné podmínky pro převod do státního rozpočtu neboť v letech kdy příjmy z důchodového pojištění včetně příjmů z penále a pokut připadajících na důchodové pojištění budou vyšší než rozpočtované výdaje na dávky důchodového pojištění včetně výdajů spojených s výběrem pojistného na důchodové pojištění a výplatou dávek důchodového pojištění, nebude možno čerpat prostředky zvláštních účtů privatizace do státního rozpočtu. </w:t>
      </w:r>
    </w:p>
    <w:p w:rsidR="009F7E09" w:rsidRPr="00EF7039" w:rsidRDefault="009F7E09" w:rsidP="009F7E09"/>
    <w:p w:rsidR="009F7E09" w:rsidRDefault="009F7E09" w:rsidP="009F7E09">
      <w:r>
        <w:t xml:space="preserve">V roce 2017 byl naplánován převod do SR z titulu § 5 odst. 3, písm. c) bod 5 v celkové výši </w:t>
      </w:r>
    </w:p>
    <w:p w:rsidR="009F7E09" w:rsidRDefault="009F7E09" w:rsidP="009F7E09">
      <w:r>
        <w:t xml:space="preserve">10 540 000 000 Kč., k 1. 1. 2018 však bylo vyčerpáno jen 5 800 000 000 Kč a to z důvodu nesplnění podmínky dle tohoto zákona. V usnesení vlády č. 674 ze dne </w:t>
      </w:r>
      <w:r w:rsidRPr="00563DBD">
        <w:t>25. září 2017</w:t>
      </w:r>
      <w:r>
        <w:t xml:space="preserve"> pak není převod do státního rozpočtu na úhradu deficitu důchodového systému uveden vůbec. </w:t>
      </w:r>
    </w:p>
    <w:p w:rsidR="009F7E09" w:rsidRDefault="009F7E09" w:rsidP="009F7E09">
      <w:pPr>
        <w:rPr>
          <w:i/>
        </w:rPr>
      </w:pPr>
    </w:p>
    <w:p w:rsidR="009F7E09" w:rsidRDefault="009F7E09" w:rsidP="009F7E09">
      <w:r>
        <w:t>Současné znění zákona znemožňuje převod prostředků do státního rozpočtu, což znamená kumulaci prostředků na účtech bez jakéhokoliv využití.</w:t>
      </w:r>
    </w:p>
    <w:p w:rsidR="009F7E09" w:rsidRDefault="009F7E09" w:rsidP="008B0A42"/>
    <w:p w:rsidR="008B0A42" w:rsidRDefault="008B0A42" w:rsidP="008B0A42"/>
    <w:p w:rsidR="008B0A42" w:rsidRDefault="008B0A42" w:rsidP="00D56AF1">
      <w:pPr>
        <w:pStyle w:val="Nadpis2"/>
      </w:pPr>
      <w:r>
        <w:t>Identifikace dotčených subjektů</w:t>
      </w:r>
    </w:p>
    <w:p w:rsidR="005452D0" w:rsidRDefault="005452D0" w:rsidP="005452D0"/>
    <w:p w:rsidR="005452D0" w:rsidRDefault="005452D0" w:rsidP="005452D0">
      <w:r>
        <w:t>Novelou zákona budou dotčeny tyto subjekty:</w:t>
      </w:r>
    </w:p>
    <w:p w:rsidR="00EA26C4" w:rsidRDefault="00EA26C4" w:rsidP="005452D0"/>
    <w:p w:rsidR="005C6980" w:rsidRPr="005C6980" w:rsidRDefault="005C6980" w:rsidP="005C6980">
      <w:pPr>
        <w:pStyle w:val="Odstavecseseznamem"/>
        <w:keepNext/>
        <w:numPr>
          <w:ilvl w:val="0"/>
          <w:numId w:val="9"/>
        </w:numPr>
        <w:contextualSpacing w:val="0"/>
        <w:outlineLvl w:val="0"/>
        <w:rPr>
          <w:rFonts w:eastAsia="Calibri"/>
          <w:b/>
          <w:bCs/>
          <w:vanish/>
          <w:kern w:val="32"/>
          <w:sz w:val="32"/>
          <w:szCs w:val="32"/>
        </w:rPr>
      </w:pPr>
    </w:p>
    <w:p w:rsidR="005C6980" w:rsidRPr="005C6980" w:rsidRDefault="005C6980" w:rsidP="005C6980">
      <w:pPr>
        <w:pStyle w:val="Odstavecseseznamem"/>
        <w:keepNext/>
        <w:numPr>
          <w:ilvl w:val="1"/>
          <w:numId w:val="9"/>
        </w:numPr>
        <w:spacing w:before="240" w:after="60"/>
        <w:contextualSpacing w:val="0"/>
        <w:outlineLvl w:val="1"/>
        <w:rPr>
          <w:rFonts w:eastAsia="Calibri"/>
          <w:b/>
          <w:bCs/>
          <w:iCs/>
          <w:vanish/>
          <w:sz w:val="28"/>
          <w:szCs w:val="28"/>
        </w:rPr>
      </w:pPr>
    </w:p>
    <w:p w:rsidR="005C6980" w:rsidRPr="005C6980" w:rsidRDefault="005C6980" w:rsidP="005C6980">
      <w:pPr>
        <w:pStyle w:val="Odstavecseseznamem"/>
        <w:keepNext/>
        <w:numPr>
          <w:ilvl w:val="1"/>
          <w:numId w:val="9"/>
        </w:numPr>
        <w:spacing w:before="240" w:after="60"/>
        <w:contextualSpacing w:val="0"/>
        <w:outlineLvl w:val="1"/>
        <w:rPr>
          <w:rFonts w:eastAsia="Calibri"/>
          <w:b/>
          <w:bCs/>
          <w:iCs/>
          <w:vanish/>
          <w:sz w:val="28"/>
          <w:szCs w:val="28"/>
        </w:rPr>
      </w:pPr>
    </w:p>
    <w:p w:rsidR="005C6980" w:rsidRPr="005C6980" w:rsidRDefault="005C6980" w:rsidP="005C6980">
      <w:pPr>
        <w:pStyle w:val="Odstavecseseznamem"/>
        <w:keepNext/>
        <w:numPr>
          <w:ilvl w:val="1"/>
          <w:numId w:val="9"/>
        </w:numPr>
        <w:spacing w:before="240" w:after="60"/>
        <w:contextualSpacing w:val="0"/>
        <w:outlineLvl w:val="1"/>
        <w:rPr>
          <w:rFonts w:eastAsia="Calibri"/>
          <w:b/>
          <w:bCs/>
          <w:iCs/>
          <w:vanish/>
          <w:sz w:val="28"/>
          <w:szCs w:val="28"/>
        </w:rPr>
      </w:pPr>
    </w:p>
    <w:p w:rsidR="005C6980" w:rsidRPr="005C6980" w:rsidRDefault="005C6980" w:rsidP="005C6980">
      <w:pPr>
        <w:pStyle w:val="Odstavecseseznamem"/>
        <w:keepNext/>
        <w:numPr>
          <w:ilvl w:val="2"/>
          <w:numId w:val="9"/>
        </w:numPr>
        <w:contextualSpacing w:val="0"/>
        <w:outlineLvl w:val="2"/>
        <w:rPr>
          <w:rFonts w:eastAsia="Calibri"/>
          <w:b/>
          <w:vanish/>
          <w:szCs w:val="20"/>
        </w:rPr>
      </w:pPr>
    </w:p>
    <w:p w:rsidR="005C6980" w:rsidRPr="005C6980" w:rsidRDefault="005C6980" w:rsidP="005C6980">
      <w:pPr>
        <w:pStyle w:val="Odstavecseseznamem"/>
        <w:keepNext/>
        <w:numPr>
          <w:ilvl w:val="2"/>
          <w:numId w:val="9"/>
        </w:numPr>
        <w:contextualSpacing w:val="0"/>
        <w:outlineLvl w:val="2"/>
        <w:rPr>
          <w:rFonts w:eastAsia="Calibri"/>
          <w:b/>
          <w:vanish/>
          <w:szCs w:val="20"/>
        </w:rPr>
      </w:pPr>
    </w:p>
    <w:p w:rsidR="005C6980" w:rsidRPr="005C6980" w:rsidRDefault="005C6980" w:rsidP="005C6980">
      <w:pPr>
        <w:pStyle w:val="Odstavecseseznamem"/>
        <w:keepNext/>
        <w:numPr>
          <w:ilvl w:val="2"/>
          <w:numId w:val="9"/>
        </w:numPr>
        <w:contextualSpacing w:val="0"/>
        <w:outlineLvl w:val="2"/>
        <w:rPr>
          <w:rFonts w:eastAsia="Calibri"/>
          <w:b/>
          <w:vanish/>
          <w:szCs w:val="20"/>
        </w:rPr>
      </w:pPr>
    </w:p>
    <w:p w:rsidR="005C6980" w:rsidRPr="005C6980" w:rsidRDefault="005C6980" w:rsidP="005C6980">
      <w:pPr>
        <w:pStyle w:val="Odstavecseseznamem"/>
        <w:keepNext/>
        <w:numPr>
          <w:ilvl w:val="2"/>
          <w:numId w:val="9"/>
        </w:numPr>
        <w:contextualSpacing w:val="0"/>
        <w:outlineLvl w:val="2"/>
        <w:rPr>
          <w:rFonts w:eastAsia="Calibri"/>
          <w:b/>
          <w:vanish/>
          <w:szCs w:val="20"/>
        </w:rPr>
      </w:pPr>
    </w:p>
    <w:p w:rsidR="005C6980" w:rsidRPr="005C6980" w:rsidRDefault="005C6980" w:rsidP="005C6980">
      <w:pPr>
        <w:pStyle w:val="Odstavecseseznamem"/>
        <w:keepNext/>
        <w:numPr>
          <w:ilvl w:val="3"/>
          <w:numId w:val="9"/>
        </w:numPr>
        <w:contextualSpacing w:val="0"/>
        <w:outlineLvl w:val="3"/>
        <w:rPr>
          <w:rFonts w:eastAsia="Calibri"/>
          <w:bCs/>
          <w:vanish/>
          <w:szCs w:val="28"/>
        </w:rPr>
      </w:pPr>
    </w:p>
    <w:p w:rsidR="005C6980" w:rsidRPr="005C6980" w:rsidRDefault="005C6980" w:rsidP="005C6980">
      <w:pPr>
        <w:pStyle w:val="Odstavecseseznamem"/>
        <w:keepNext/>
        <w:numPr>
          <w:ilvl w:val="3"/>
          <w:numId w:val="9"/>
        </w:numPr>
        <w:contextualSpacing w:val="0"/>
        <w:outlineLvl w:val="3"/>
        <w:rPr>
          <w:rFonts w:eastAsia="Calibri"/>
          <w:bCs/>
          <w:vanish/>
          <w:szCs w:val="28"/>
        </w:rPr>
      </w:pPr>
    </w:p>
    <w:p w:rsidR="005C6980" w:rsidRPr="005C6980" w:rsidRDefault="005C6980" w:rsidP="005C6980">
      <w:pPr>
        <w:pStyle w:val="Odstavecseseznamem"/>
        <w:keepNext/>
        <w:numPr>
          <w:ilvl w:val="3"/>
          <w:numId w:val="9"/>
        </w:numPr>
        <w:contextualSpacing w:val="0"/>
        <w:outlineLvl w:val="3"/>
        <w:rPr>
          <w:rFonts w:eastAsia="Calibri"/>
          <w:bCs/>
          <w:vanish/>
          <w:szCs w:val="28"/>
        </w:rPr>
      </w:pPr>
    </w:p>
    <w:p w:rsidR="005C6980" w:rsidRPr="005C6980" w:rsidRDefault="005C6980" w:rsidP="005C6980">
      <w:pPr>
        <w:pStyle w:val="Odstavecseseznamem"/>
        <w:keepNext/>
        <w:numPr>
          <w:ilvl w:val="3"/>
          <w:numId w:val="9"/>
        </w:numPr>
        <w:contextualSpacing w:val="0"/>
        <w:outlineLvl w:val="3"/>
        <w:rPr>
          <w:rFonts w:eastAsia="Calibri"/>
          <w:bCs/>
          <w:vanish/>
          <w:szCs w:val="28"/>
        </w:rPr>
      </w:pPr>
    </w:p>
    <w:p w:rsidR="00F64199" w:rsidRDefault="00F64199" w:rsidP="005C6980">
      <w:pPr>
        <w:pStyle w:val="Nadpis4"/>
        <w:ind w:left="862" w:hanging="862"/>
      </w:pPr>
      <w:r>
        <w:t xml:space="preserve"> Seznam subjektů dotčených novelou </w:t>
      </w:r>
    </w:p>
    <w:tbl>
      <w:tblPr>
        <w:tblW w:w="898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0"/>
        <w:gridCol w:w="6350"/>
      </w:tblGrid>
      <w:tr w:rsidR="00FD3079" w:rsidRPr="00FD3079" w:rsidTr="00F64199">
        <w:trPr>
          <w:trHeight w:val="322"/>
          <w:tblHeader/>
        </w:trPr>
        <w:tc>
          <w:tcPr>
            <w:tcW w:w="2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D3079" w:rsidRPr="0029391D" w:rsidRDefault="00FD3079" w:rsidP="00FD3079">
            <w:pPr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29391D">
              <w:rPr>
                <w:rFonts w:cs="Times New Roman"/>
                <w:b/>
                <w:bCs/>
                <w:sz w:val="22"/>
                <w:szCs w:val="22"/>
              </w:rPr>
              <w:t>Subjekt</w:t>
            </w:r>
          </w:p>
        </w:tc>
        <w:tc>
          <w:tcPr>
            <w:tcW w:w="63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FD3079" w:rsidRPr="0029391D" w:rsidRDefault="00FD3079" w:rsidP="00FD3079">
            <w:pPr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29391D">
              <w:rPr>
                <w:rFonts w:cs="Times New Roman"/>
                <w:b/>
                <w:bCs/>
                <w:sz w:val="22"/>
                <w:szCs w:val="22"/>
              </w:rPr>
              <w:t>Dopad</w:t>
            </w:r>
          </w:p>
        </w:tc>
      </w:tr>
      <w:tr w:rsidR="00FD3079" w:rsidRPr="00FD3079" w:rsidTr="00FD3079">
        <w:trPr>
          <w:trHeight w:val="322"/>
        </w:trPr>
        <w:tc>
          <w:tcPr>
            <w:tcW w:w="263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3079" w:rsidRPr="00DE6EF5" w:rsidRDefault="00FD3079" w:rsidP="00FD3079">
            <w:pPr>
              <w:jc w:val="left"/>
              <w:rPr>
                <w:rFonts w:eastAsia="Times New Roman" w:cs="Times New Roman"/>
                <w:color w:val="000000"/>
              </w:rPr>
            </w:pPr>
            <w:r w:rsidRPr="00DE6EF5">
              <w:rPr>
                <w:rFonts w:eastAsia="Times New Roman" w:cs="Times New Roman"/>
                <w:color w:val="000000"/>
              </w:rPr>
              <w:t xml:space="preserve">Ministerstvo průmyslu </w:t>
            </w:r>
            <w:r w:rsidR="00705C2A" w:rsidRPr="00DE6EF5">
              <w:rPr>
                <w:rFonts w:eastAsia="Times New Roman" w:cs="Times New Roman"/>
                <w:color w:val="000000"/>
              </w:rPr>
              <w:br/>
            </w:r>
            <w:r w:rsidRPr="00DE6EF5">
              <w:rPr>
                <w:rFonts w:eastAsia="Times New Roman" w:cs="Times New Roman"/>
                <w:color w:val="000000"/>
              </w:rPr>
              <w:t>a obchodu</w:t>
            </w:r>
          </w:p>
        </w:tc>
        <w:tc>
          <w:tcPr>
            <w:tcW w:w="635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D3079" w:rsidRPr="00DE6EF5" w:rsidRDefault="006F14D6">
            <w:pPr>
              <w:jc w:val="left"/>
              <w:rPr>
                <w:rFonts w:eastAsia="Times New Roman" w:cs="Times New Roman"/>
                <w:color w:val="000000"/>
              </w:rPr>
            </w:pPr>
            <w:r w:rsidRPr="00DE6EF5">
              <w:rPr>
                <w:rFonts w:eastAsia="Times New Roman" w:cs="Times New Roman"/>
                <w:color w:val="000000"/>
              </w:rPr>
              <w:t>Z</w:t>
            </w:r>
            <w:r w:rsidR="00FD3079" w:rsidRPr="00DE6EF5">
              <w:rPr>
                <w:rFonts w:eastAsia="Times New Roman" w:cs="Times New Roman"/>
                <w:color w:val="000000"/>
              </w:rPr>
              <w:t xml:space="preserve">tráta </w:t>
            </w:r>
            <w:r w:rsidR="00131D95">
              <w:rPr>
                <w:rFonts w:eastAsia="Times New Roman" w:cs="Times New Roman"/>
                <w:color w:val="000000"/>
              </w:rPr>
              <w:t>potenciální</w:t>
            </w:r>
            <w:r w:rsidR="00131D95" w:rsidRPr="00DE6EF5">
              <w:rPr>
                <w:rFonts w:eastAsia="Times New Roman" w:cs="Times New Roman"/>
                <w:color w:val="000000"/>
              </w:rPr>
              <w:t xml:space="preserve"> </w:t>
            </w:r>
            <w:r w:rsidR="00FD3079" w:rsidRPr="00DE6EF5">
              <w:rPr>
                <w:rFonts w:eastAsia="Times New Roman" w:cs="Times New Roman"/>
                <w:color w:val="000000"/>
              </w:rPr>
              <w:t>možnost</w:t>
            </w:r>
            <w:r w:rsidRPr="00DE6EF5">
              <w:rPr>
                <w:rFonts w:eastAsia="Times New Roman" w:cs="Times New Roman"/>
                <w:color w:val="000000"/>
              </w:rPr>
              <w:t xml:space="preserve">i využití prostředků </w:t>
            </w:r>
            <w:r w:rsidR="00EB0579" w:rsidRPr="00DE6EF5">
              <w:rPr>
                <w:rFonts w:eastAsia="Times New Roman" w:cs="Times New Roman"/>
                <w:color w:val="000000"/>
              </w:rPr>
              <w:t>zvláštních účtů privatizace</w:t>
            </w:r>
            <w:r w:rsidR="00F425C5">
              <w:rPr>
                <w:rFonts w:eastAsia="Times New Roman" w:cs="Times New Roman"/>
                <w:color w:val="000000"/>
              </w:rPr>
              <w:t xml:space="preserve"> na podporu průmyslových zón</w:t>
            </w:r>
          </w:p>
        </w:tc>
      </w:tr>
      <w:tr w:rsidR="00FD3079" w:rsidRPr="00FD3079" w:rsidTr="006F14D6">
        <w:trPr>
          <w:trHeight w:val="322"/>
        </w:trPr>
        <w:tc>
          <w:tcPr>
            <w:tcW w:w="2630" w:type="dxa"/>
            <w:shd w:val="clear" w:color="auto" w:fill="auto"/>
            <w:noWrap/>
            <w:vAlign w:val="center"/>
            <w:hideMark/>
          </w:tcPr>
          <w:p w:rsidR="00FD3079" w:rsidRPr="00DE6EF5" w:rsidRDefault="00FD3079" w:rsidP="006F14D6">
            <w:pPr>
              <w:jc w:val="left"/>
              <w:rPr>
                <w:rFonts w:eastAsia="Times New Roman" w:cs="Times New Roman"/>
                <w:color w:val="000000"/>
              </w:rPr>
            </w:pPr>
            <w:r w:rsidRPr="00DE6EF5">
              <w:rPr>
                <w:rFonts w:eastAsia="Times New Roman" w:cs="Times New Roman"/>
                <w:color w:val="000000"/>
              </w:rPr>
              <w:t>Ministerstvo kultury</w:t>
            </w:r>
          </w:p>
        </w:tc>
        <w:tc>
          <w:tcPr>
            <w:tcW w:w="6350" w:type="dxa"/>
            <w:shd w:val="clear" w:color="auto" w:fill="auto"/>
            <w:noWrap/>
            <w:vAlign w:val="bottom"/>
            <w:hideMark/>
          </w:tcPr>
          <w:p w:rsidR="00FD3079" w:rsidRPr="00DE6EF5" w:rsidRDefault="00106E1C">
            <w:pPr>
              <w:jc w:val="left"/>
              <w:rPr>
                <w:rFonts w:eastAsia="Times New Roman" w:cs="Times New Roman"/>
                <w:color w:val="000000"/>
              </w:rPr>
            </w:pPr>
            <w:r w:rsidRPr="00DE6EF5">
              <w:rPr>
                <w:rFonts w:eastAsia="Times New Roman" w:cs="Times New Roman"/>
                <w:color w:val="000000"/>
              </w:rPr>
              <w:t xml:space="preserve">Ztráta </w:t>
            </w:r>
            <w:r w:rsidR="00131D95">
              <w:rPr>
                <w:rFonts w:eastAsia="Times New Roman" w:cs="Times New Roman"/>
                <w:color w:val="000000"/>
              </w:rPr>
              <w:t>potenciální</w:t>
            </w:r>
            <w:r w:rsidR="00131D95" w:rsidRPr="00DE6EF5">
              <w:rPr>
                <w:rFonts w:eastAsia="Times New Roman" w:cs="Times New Roman"/>
                <w:color w:val="000000"/>
              </w:rPr>
              <w:t xml:space="preserve"> </w:t>
            </w:r>
            <w:r w:rsidRPr="00DE6EF5">
              <w:rPr>
                <w:rFonts w:eastAsia="Times New Roman" w:cs="Times New Roman"/>
                <w:color w:val="000000"/>
              </w:rPr>
              <w:t xml:space="preserve">možnosti využití prostředků </w:t>
            </w:r>
            <w:r w:rsidR="00EB0579" w:rsidRPr="00DE6EF5">
              <w:rPr>
                <w:rFonts w:eastAsia="Times New Roman" w:cs="Times New Roman"/>
                <w:color w:val="000000"/>
              </w:rPr>
              <w:t>zvláštních účtů privatizace</w:t>
            </w:r>
          </w:p>
        </w:tc>
      </w:tr>
      <w:tr w:rsidR="00FD3079" w:rsidRPr="00FD3079" w:rsidTr="00FD3079">
        <w:trPr>
          <w:trHeight w:val="338"/>
        </w:trPr>
        <w:tc>
          <w:tcPr>
            <w:tcW w:w="2630" w:type="dxa"/>
            <w:shd w:val="clear" w:color="auto" w:fill="auto"/>
            <w:noWrap/>
            <w:vAlign w:val="center"/>
            <w:hideMark/>
          </w:tcPr>
          <w:p w:rsidR="00FD3079" w:rsidRPr="00FD3079" w:rsidRDefault="00FD3079" w:rsidP="00FD3079">
            <w:pPr>
              <w:rPr>
                <w:rFonts w:eastAsia="Times New Roman" w:cs="Times New Roman"/>
                <w:color w:val="000000"/>
              </w:rPr>
            </w:pPr>
            <w:r w:rsidRPr="00FD3079">
              <w:rPr>
                <w:rFonts w:eastAsia="Times New Roman" w:cs="Times New Roman"/>
                <w:color w:val="000000"/>
              </w:rPr>
              <w:t>Státní fond dopravní infrastruktury</w:t>
            </w:r>
          </w:p>
        </w:tc>
        <w:tc>
          <w:tcPr>
            <w:tcW w:w="6350" w:type="dxa"/>
            <w:shd w:val="clear" w:color="auto" w:fill="auto"/>
            <w:noWrap/>
            <w:vAlign w:val="bottom"/>
            <w:hideMark/>
          </w:tcPr>
          <w:p w:rsidR="00FD3079" w:rsidRPr="00DE6EF5" w:rsidRDefault="00106E1C">
            <w:pPr>
              <w:jc w:val="left"/>
              <w:rPr>
                <w:rFonts w:eastAsia="Times New Roman" w:cs="Times New Roman"/>
                <w:color w:val="000000"/>
              </w:rPr>
            </w:pPr>
            <w:r w:rsidRPr="00DE6EF5">
              <w:rPr>
                <w:rFonts w:eastAsia="Times New Roman" w:cs="Times New Roman"/>
                <w:color w:val="000000"/>
              </w:rPr>
              <w:t xml:space="preserve">Ztráta </w:t>
            </w:r>
            <w:r w:rsidR="00131D95">
              <w:rPr>
                <w:rFonts w:eastAsia="Times New Roman" w:cs="Times New Roman"/>
                <w:color w:val="000000"/>
              </w:rPr>
              <w:t>potenciální</w:t>
            </w:r>
            <w:r w:rsidR="00131D95" w:rsidRPr="00DE6EF5">
              <w:rPr>
                <w:rFonts w:eastAsia="Times New Roman" w:cs="Times New Roman"/>
                <w:color w:val="000000"/>
              </w:rPr>
              <w:t xml:space="preserve"> </w:t>
            </w:r>
            <w:r w:rsidRPr="00DE6EF5">
              <w:rPr>
                <w:rFonts w:eastAsia="Times New Roman" w:cs="Times New Roman"/>
                <w:color w:val="000000"/>
              </w:rPr>
              <w:t xml:space="preserve">možnosti využití prostředků </w:t>
            </w:r>
            <w:r w:rsidR="00EB0579" w:rsidRPr="00DE6EF5">
              <w:rPr>
                <w:rFonts w:eastAsia="Times New Roman" w:cs="Times New Roman"/>
                <w:color w:val="000000"/>
              </w:rPr>
              <w:t>zvláštních účtů privatizace</w:t>
            </w:r>
          </w:p>
        </w:tc>
      </w:tr>
      <w:tr w:rsidR="00FD3079" w:rsidRPr="00FD3079" w:rsidTr="00FD3079">
        <w:trPr>
          <w:trHeight w:val="338"/>
        </w:trPr>
        <w:tc>
          <w:tcPr>
            <w:tcW w:w="2630" w:type="dxa"/>
            <w:shd w:val="clear" w:color="auto" w:fill="auto"/>
            <w:noWrap/>
            <w:vAlign w:val="bottom"/>
            <w:hideMark/>
          </w:tcPr>
          <w:p w:rsidR="00FD3079" w:rsidRPr="00FD3079" w:rsidRDefault="00FD3079" w:rsidP="00FD3079">
            <w:pPr>
              <w:jc w:val="left"/>
              <w:rPr>
                <w:rFonts w:eastAsia="Times New Roman" w:cs="Times New Roman"/>
                <w:color w:val="000000"/>
              </w:rPr>
            </w:pPr>
            <w:r w:rsidRPr="00FD3079">
              <w:rPr>
                <w:rFonts w:eastAsia="Times New Roman" w:cs="Times New Roman"/>
                <w:color w:val="000000"/>
              </w:rPr>
              <w:t>Státní fond rozvoje bydlení</w:t>
            </w:r>
          </w:p>
        </w:tc>
        <w:tc>
          <w:tcPr>
            <w:tcW w:w="6350" w:type="dxa"/>
            <w:shd w:val="clear" w:color="auto" w:fill="auto"/>
            <w:noWrap/>
            <w:vAlign w:val="bottom"/>
            <w:hideMark/>
          </w:tcPr>
          <w:p w:rsidR="00FD3079" w:rsidRPr="00DE6EF5" w:rsidRDefault="00106E1C">
            <w:pPr>
              <w:jc w:val="left"/>
              <w:rPr>
                <w:rFonts w:eastAsia="Times New Roman" w:cs="Times New Roman"/>
                <w:color w:val="000000"/>
              </w:rPr>
            </w:pPr>
            <w:r w:rsidRPr="00DE6EF5">
              <w:rPr>
                <w:rFonts w:eastAsia="Times New Roman" w:cs="Times New Roman"/>
                <w:color w:val="000000"/>
              </w:rPr>
              <w:t xml:space="preserve">Ztráta </w:t>
            </w:r>
            <w:r w:rsidR="00131D95">
              <w:rPr>
                <w:rFonts w:eastAsia="Times New Roman" w:cs="Times New Roman"/>
                <w:color w:val="000000"/>
              </w:rPr>
              <w:t>potenciální</w:t>
            </w:r>
            <w:r w:rsidR="00131D95" w:rsidRPr="00DE6EF5">
              <w:rPr>
                <w:rFonts w:eastAsia="Times New Roman" w:cs="Times New Roman"/>
                <w:color w:val="000000"/>
              </w:rPr>
              <w:t xml:space="preserve"> </w:t>
            </w:r>
            <w:r w:rsidRPr="00DE6EF5">
              <w:rPr>
                <w:rFonts w:eastAsia="Times New Roman" w:cs="Times New Roman"/>
                <w:color w:val="000000"/>
              </w:rPr>
              <w:t xml:space="preserve">možnosti využití prostředků </w:t>
            </w:r>
            <w:r w:rsidR="00EB0579" w:rsidRPr="00DE6EF5">
              <w:rPr>
                <w:rFonts w:eastAsia="Times New Roman" w:cs="Times New Roman"/>
                <w:color w:val="000000"/>
              </w:rPr>
              <w:t>zvláštních účtů privatizace</w:t>
            </w:r>
          </w:p>
        </w:tc>
      </w:tr>
    </w:tbl>
    <w:p w:rsidR="00D6297B" w:rsidRDefault="00D6297B" w:rsidP="005452D0"/>
    <w:p w:rsidR="00FD3079" w:rsidRDefault="00FD3079" w:rsidP="005452D0">
      <w:r>
        <w:t xml:space="preserve">U žádného z dotčených subjektů není ke dni předpokládaného nabytí účinnosti zákona znám žádný nárok na finanční prostředky </w:t>
      </w:r>
      <w:r w:rsidR="00EB0579">
        <w:t>zvláštních účtů privatizace</w:t>
      </w:r>
      <w:r w:rsidR="003607D6">
        <w:t>.</w:t>
      </w:r>
    </w:p>
    <w:p w:rsidR="00112345" w:rsidRDefault="00112345" w:rsidP="005452D0">
      <w:pPr>
        <w:pStyle w:val="Nadpis2"/>
      </w:pPr>
      <w:r>
        <w:t>Popis cílového stavu</w:t>
      </w:r>
    </w:p>
    <w:p w:rsidR="002B7D45" w:rsidRDefault="002B7D45" w:rsidP="00112345"/>
    <w:p w:rsidR="00890799" w:rsidRDefault="00890799" w:rsidP="00890799">
      <w:r>
        <w:t xml:space="preserve">Cílem novely je eliminace známých rizik a zjednodušení zákona, aniž by </w:t>
      </w:r>
      <w:r w:rsidR="0045755F">
        <w:t xml:space="preserve">tím </w:t>
      </w:r>
      <w:r>
        <w:t>vznikly přímé nároky na státní rozpočet</w:t>
      </w:r>
      <w:r w:rsidR="00352347">
        <w:t xml:space="preserve"> </w:t>
      </w:r>
      <w:r>
        <w:t>či byly omeze</w:t>
      </w:r>
      <w:r w:rsidR="00DD5BB3">
        <w:t>ny nároky ze státního rozpočtu a faktický dopad na dotčené subjekty.</w:t>
      </w:r>
    </w:p>
    <w:p w:rsidR="00352347" w:rsidRDefault="00352347" w:rsidP="00890799"/>
    <w:p w:rsidR="003D7185" w:rsidRDefault="00367B93" w:rsidP="00890799">
      <w:r>
        <w:t>V</w:t>
      </w:r>
      <w:r w:rsidR="003D7185">
        <w:t xml:space="preserve">láda ve svém  usnesení </w:t>
      </w:r>
      <w:r w:rsidR="00AD335F">
        <w:t>č. 610 ze dne 4. září 2017</w:t>
      </w:r>
      <w:r>
        <w:t xml:space="preserve"> </w:t>
      </w:r>
      <w:r w:rsidR="003D7185">
        <w:t xml:space="preserve">mimo jiné </w:t>
      </w:r>
      <w:r w:rsidR="00AD335F">
        <w:t xml:space="preserve">schválila přenesení </w:t>
      </w:r>
      <w:r w:rsidR="0078488A">
        <w:t>výdajové zátěže podpory průmyslových zón ze zvláštních účtů privatizace na státní rozpočet</w:t>
      </w:r>
      <w:r w:rsidR="00EA1542">
        <w:t xml:space="preserve"> a </w:t>
      </w:r>
      <w:r w:rsidR="00EA1542" w:rsidRPr="00367B93">
        <w:rPr>
          <w:b/>
        </w:rPr>
        <w:t xml:space="preserve">dočerpání </w:t>
      </w:r>
      <w:r w:rsidR="00EA1542">
        <w:t>prostředků na program péče o národní kulturní poklad do roku 2018, které bylo dohodnuto mezi Ministerstvem financí a Ministerstvem kultury.</w:t>
      </w:r>
      <w:r w:rsidR="003D7185">
        <w:t xml:space="preserve"> Tato novela výše uvedené přenesení výdajové zátěže včleňuje do zákona</w:t>
      </w:r>
      <w:r>
        <w:t>.</w:t>
      </w:r>
    </w:p>
    <w:p w:rsidR="00EA1542" w:rsidRDefault="00EA1542" w:rsidP="00890799"/>
    <w:p w:rsidR="001474E1" w:rsidRDefault="001474E1" w:rsidP="00112345"/>
    <w:p w:rsidR="00112345" w:rsidRDefault="00112345" w:rsidP="00112345">
      <w:r>
        <w:t>Cílovým stavem novely je:</w:t>
      </w:r>
    </w:p>
    <w:p w:rsidR="00112345" w:rsidRDefault="00112345" w:rsidP="00112345"/>
    <w:p w:rsidR="00112345" w:rsidRDefault="00112345" w:rsidP="0045755F">
      <w:pPr>
        <w:pStyle w:val="Odstavecseseznamem"/>
        <w:numPr>
          <w:ilvl w:val="0"/>
          <w:numId w:val="16"/>
        </w:numPr>
      </w:pPr>
      <w:r>
        <w:t>Zákon odrážející výdajovou strukturu zvláštních účtů privatizace</w:t>
      </w:r>
      <w:r w:rsidR="008F4A34">
        <w:t>.</w:t>
      </w:r>
    </w:p>
    <w:p w:rsidR="00112345" w:rsidRDefault="00112345" w:rsidP="0045755F">
      <w:pPr>
        <w:pStyle w:val="Odstavecseseznamem"/>
        <w:numPr>
          <w:ilvl w:val="0"/>
          <w:numId w:val="16"/>
        </w:numPr>
      </w:pPr>
      <w:r>
        <w:t>Eliminace rizik spojených s nedostatkem prostředků na zvláštních účtech privatizace</w:t>
      </w:r>
      <w:r w:rsidR="00AD2615">
        <w:t xml:space="preserve"> </w:t>
      </w:r>
      <w:r w:rsidR="00F31939">
        <w:t>formou vypuštění těch výdajových účelů, které lze financovat z jiných zdrojů</w:t>
      </w:r>
      <w:r w:rsidR="00BE5B04">
        <w:t>.</w:t>
      </w:r>
    </w:p>
    <w:p w:rsidR="00112345" w:rsidRDefault="00C1607C" w:rsidP="0045755F">
      <w:pPr>
        <w:pStyle w:val="Odstavecseseznamem"/>
        <w:numPr>
          <w:ilvl w:val="0"/>
          <w:numId w:val="16"/>
        </w:numPr>
      </w:pPr>
      <w:r>
        <w:lastRenderedPageBreak/>
        <w:t>Odstranění přebytečných výdajových titulů</w:t>
      </w:r>
      <w:r w:rsidR="007B0BEA">
        <w:t xml:space="preserve">, které nebyly nikdy </w:t>
      </w:r>
      <w:r w:rsidR="00352347">
        <w:t xml:space="preserve">využity </w:t>
      </w:r>
      <w:r w:rsidR="007B0BEA">
        <w:t xml:space="preserve">nebo z nich již </w:t>
      </w:r>
      <w:r w:rsidR="00C14A3C">
        <w:t xml:space="preserve">delší dobu </w:t>
      </w:r>
      <w:r w:rsidR="007B0BEA">
        <w:t>nebyly vzneseny žádné nároky</w:t>
      </w:r>
      <w:r w:rsidR="00C14A3C">
        <w:t xml:space="preserve">, kdy navíc </w:t>
      </w:r>
      <w:r w:rsidR="007B0BEA">
        <w:t>žádné nároky nejsou očekávány ani v</w:t>
      </w:r>
      <w:r w:rsidR="003607D6">
        <w:t> </w:t>
      </w:r>
      <w:r w:rsidR="007B0BEA">
        <w:t>budoucnu</w:t>
      </w:r>
      <w:r w:rsidR="003607D6">
        <w:t>.</w:t>
      </w:r>
    </w:p>
    <w:p w:rsidR="00FC4316" w:rsidRDefault="001938F8" w:rsidP="0045755F">
      <w:pPr>
        <w:pStyle w:val="Odstavecseseznamem"/>
        <w:numPr>
          <w:ilvl w:val="0"/>
          <w:numId w:val="16"/>
        </w:numPr>
      </w:pPr>
      <w:r>
        <w:t>Umožnění převod</w:t>
      </w:r>
      <w:r w:rsidR="00301276">
        <w:t>u potřebného množství financí ze zdrojů státního rozpočtu</w:t>
      </w:r>
      <w:r>
        <w:t xml:space="preserve"> v</w:t>
      </w:r>
      <w:r w:rsidR="00FC4316">
        <w:t> případě nedostatku finančních prostředků</w:t>
      </w:r>
      <w:r w:rsidR="00BE5B04">
        <w:t>.</w:t>
      </w:r>
    </w:p>
    <w:p w:rsidR="00FC4316" w:rsidRDefault="00131D95" w:rsidP="0045755F">
      <w:pPr>
        <w:pStyle w:val="Odstavecseseznamem"/>
        <w:numPr>
          <w:ilvl w:val="0"/>
          <w:numId w:val="16"/>
        </w:numPr>
      </w:pPr>
      <w:r>
        <w:t>Umožnění převodu všech zbytkových prostředků hospodaření zvláštních účtů privatizace do státního rozpočtu</w:t>
      </w:r>
      <w:r w:rsidR="00F41354">
        <w:t>.</w:t>
      </w:r>
    </w:p>
    <w:p w:rsidR="00A95CFA" w:rsidRPr="00112345" w:rsidRDefault="00A95CFA" w:rsidP="0045755F">
      <w:pPr>
        <w:pStyle w:val="Odstavecseseznamem"/>
        <w:numPr>
          <w:ilvl w:val="0"/>
          <w:numId w:val="16"/>
        </w:numPr>
      </w:pPr>
      <w:r>
        <w:t>V zákoně jsou implementovány závěry z usnesení vlády č. 610 ze dne 4. září 2017</w:t>
      </w:r>
      <w:r w:rsidR="003607D6">
        <w:t>.</w:t>
      </w:r>
    </w:p>
    <w:p w:rsidR="003607D6" w:rsidRDefault="003607D6" w:rsidP="00753B08">
      <w:pPr>
        <w:rPr>
          <w:color w:val="0D0D0D" w:themeColor="text1" w:themeTint="F2"/>
        </w:rPr>
      </w:pPr>
    </w:p>
    <w:p w:rsidR="00041FC8" w:rsidRDefault="00041FC8" w:rsidP="00172B7F">
      <w:pPr>
        <w:pStyle w:val="Nadpis2"/>
      </w:pPr>
      <w:r>
        <w:t>Zhodnocení rizika</w:t>
      </w:r>
    </w:p>
    <w:p w:rsidR="00516516" w:rsidRDefault="000D215D" w:rsidP="00753B08">
      <w:pPr>
        <w:rPr>
          <w:color w:val="0D0D0D" w:themeColor="text1" w:themeTint="F2"/>
        </w:rPr>
      </w:pPr>
      <w:r>
        <w:rPr>
          <w:color w:val="0D0D0D" w:themeColor="text1" w:themeTint="F2"/>
        </w:rPr>
        <w:t xml:space="preserve"> </w:t>
      </w:r>
    </w:p>
    <w:p w:rsidR="000D215D" w:rsidRDefault="000D215D" w:rsidP="00753B08">
      <w:pPr>
        <w:rPr>
          <w:color w:val="0D0D0D" w:themeColor="text1" w:themeTint="F2"/>
        </w:rPr>
      </w:pPr>
      <w:r>
        <w:rPr>
          <w:color w:val="0D0D0D" w:themeColor="text1" w:themeTint="F2"/>
        </w:rPr>
        <w:t xml:space="preserve">V případě nepřijetí novely zákona jsou </w:t>
      </w:r>
      <w:r w:rsidR="00A37A8C">
        <w:rPr>
          <w:color w:val="0D0D0D" w:themeColor="text1" w:themeTint="F2"/>
        </w:rPr>
        <w:t>oč</w:t>
      </w:r>
      <w:r w:rsidR="003B65D4">
        <w:rPr>
          <w:color w:val="0D0D0D" w:themeColor="text1" w:themeTint="F2"/>
        </w:rPr>
        <w:t>eká</w:t>
      </w:r>
      <w:r w:rsidR="00A37A8C">
        <w:rPr>
          <w:color w:val="0D0D0D" w:themeColor="text1" w:themeTint="F2"/>
        </w:rPr>
        <w:t>vána</w:t>
      </w:r>
      <w:r w:rsidR="00435EBE">
        <w:rPr>
          <w:color w:val="0D0D0D" w:themeColor="text1" w:themeTint="F2"/>
        </w:rPr>
        <w:t xml:space="preserve"> </w:t>
      </w:r>
      <w:r w:rsidR="00A95CFA">
        <w:rPr>
          <w:color w:val="0D0D0D" w:themeColor="text1" w:themeTint="F2"/>
        </w:rPr>
        <w:t>tato rizika</w:t>
      </w:r>
      <w:r>
        <w:rPr>
          <w:color w:val="0D0D0D" w:themeColor="text1" w:themeTint="F2"/>
        </w:rPr>
        <w:t>:</w:t>
      </w:r>
    </w:p>
    <w:p w:rsidR="003607D6" w:rsidRDefault="003607D6" w:rsidP="00753B08">
      <w:pPr>
        <w:rPr>
          <w:color w:val="0D0D0D" w:themeColor="text1" w:themeTint="F2"/>
        </w:rPr>
      </w:pPr>
    </w:p>
    <w:p w:rsidR="00CD62DF" w:rsidRPr="0095552C" w:rsidRDefault="00CD62DF" w:rsidP="00D8582D">
      <w:pPr>
        <w:pStyle w:val="Odstavecseseznamem"/>
        <w:numPr>
          <w:ilvl w:val="0"/>
          <w:numId w:val="15"/>
        </w:numPr>
        <w:rPr>
          <w:b/>
          <w:color w:val="0D0D0D" w:themeColor="text1" w:themeTint="F2"/>
        </w:rPr>
      </w:pPr>
      <w:r w:rsidRPr="0095552C">
        <w:rPr>
          <w:b/>
          <w:color w:val="0D0D0D" w:themeColor="text1" w:themeTint="F2"/>
        </w:rPr>
        <w:t>Riziko vzniku dodatečných nákladů související s</w:t>
      </w:r>
      <w:r w:rsidR="00435EBE" w:rsidRPr="0095552C">
        <w:rPr>
          <w:b/>
          <w:color w:val="0D0D0D" w:themeColor="text1" w:themeTint="F2"/>
        </w:rPr>
        <w:t xml:space="preserve"> dočasnou či trvalou nesolventností </w:t>
      </w:r>
      <w:r w:rsidR="00EB0579">
        <w:rPr>
          <w:b/>
          <w:color w:val="0D0D0D" w:themeColor="text1" w:themeTint="F2"/>
        </w:rPr>
        <w:t>zvláštních účtů privatizace</w:t>
      </w:r>
    </w:p>
    <w:p w:rsidR="00435EBE" w:rsidRDefault="00435EBE" w:rsidP="00753B08">
      <w:pPr>
        <w:rPr>
          <w:color w:val="0D0D0D" w:themeColor="text1" w:themeTint="F2"/>
        </w:rPr>
      </w:pPr>
    </w:p>
    <w:p w:rsidR="00435EBE" w:rsidRDefault="00435EBE" w:rsidP="00753B08">
      <w:pPr>
        <w:rPr>
          <w:color w:val="0D0D0D" w:themeColor="text1" w:themeTint="F2"/>
        </w:rPr>
      </w:pPr>
      <w:r w:rsidRPr="003B6202">
        <w:rPr>
          <w:b/>
          <w:color w:val="0D0D0D" w:themeColor="text1" w:themeTint="F2"/>
        </w:rPr>
        <w:t>Popis rizika:</w:t>
      </w:r>
      <w:r>
        <w:rPr>
          <w:color w:val="0D0D0D" w:themeColor="text1" w:themeTint="F2"/>
        </w:rPr>
        <w:t xml:space="preserve"> </w:t>
      </w:r>
      <w:r w:rsidR="007A20C5">
        <w:rPr>
          <w:color w:val="0D0D0D" w:themeColor="text1" w:themeTint="F2"/>
        </w:rPr>
        <w:t>V důsledku</w:t>
      </w:r>
      <w:r w:rsidR="00360D7B">
        <w:rPr>
          <w:color w:val="0D0D0D" w:themeColor="text1" w:themeTint="F2"/>
        </w:rPr>
        <w:t xml:space="preserve"> nedostatků finančních prostředků na zvláštních účtech </w:t>
      </w:r>
      <w:r w:rsidR="001474E1">
        <w:rPr>
          <w:color w:val="0D0D0D" w:themeColor="text1" w:themeTint="F2"/>
        </w:rPr>
        <w:t xml:space="preserve">privatizace </w:t>
      </w:r>
      <w:r w:rsidR="002122B8">
        <w:rPr>
          <w:color w:val="0D0D0D" w:themeColor="text1" w:themeTint="F2"/>
        </w:rPr>
        <w:t>nebude možno uhradit</w:t>
      </w:r>
      <w:r w:rsidR="009B7AFC">
        <w:rPr>
          <w:color w:val="0D0D0D" w:themeColor="text1" w:themeTint="F2"/>
        </w:rPr>
        <w:t xml:space="preserve"> všechny smluvní či mimořádné závazky, které nelze v současné době hradit z jiných zdrojů. Následkem toho budou vznikat náklady </w:t>
      </w:r>
      <w:r w:rsidR="00C14A3C">
        <w:rPr>
          <w:color w:val="0D0D0D" w:themeColor="text1" w:themeTint="F2"/>
        </w:rPr>
        <w:t xml:space="preserve">z prodlení, resp. </w:t>
      </w:r>
      <w:r w:rsidR="009B7AFC">
        <w:rPr>
          <w:color w:val="0D0D0D" w:themeColor="text1" w:themeTint="F2"/>
        </w:rPr>
        <w:t xml:space="preserve">z pozdního </w:t>
      </w:r>
      <w:r w:rsidR="009E39FD">
        <w:rPr>
          <w:color w:val="0D0D0D" w:themeColor="text1" w:themeTint="F2"/>
        </w:rPr>
        <w:t>plnění</w:t>
      </w:r>
      <w:r w:rsidR="00C14A3C">
        <w:rPr>
          <w:color w:val="0D0D0D" w:themeColor="text1" w:themeTint="F2"/>
        </w:rPr>
        <w:t>,</w:t>
      </w:r>
      <w:r w:rsidR="009E39FD">
        <w:rPr>
          <w:color w:val="0D0D0D" w:themeColor="text1" w:themeTint="F2"/>
        </w:rPr>
        <w:t xml:space="preserve"> jako např. pokuty či </w:t>
      </w:r>
      <w:r w:rsidR="009B7AFC">
        <w:rPr>
          <w:color w:val="0D0D0D" w:themeColor="text1" w:themeTint="F2"/>
        </w:rPr>
        <w:t xml:space="preserve">penále </w:t>
      </w:r>
      <w:r w:rsidR="009E39FD">
        <w:rPr>
          <w:color w:val="0D0D0D" w:themeColor="text1" w:themeTint="F2"/>
        </w:rPr>
        <w:t>a nákla</w:t>
      </w:r>
      <w:r w:rsidR="007A20C5">
        <w:rPr>
          <w:color w:val="0D0D0D" w:themeColor="text1" w:themeTint="F2"/>
        </w:rPr>
        <w:t>dy na případné soudní spory, je</w:t>
      </w:r>
      <w:r w:rsidR="009E39FD">
        <w:rPr>
          <w:color w:val="0D0D0D" w:themeColor="text1" w:themeTint="F2"/>
        </w:rPr>
        <w:t xml:space="preserve">ž budou s vysokou pravděpodobností prohrány. Výše nákladů </w:t>
      </w:r>
      <w:r w:rsidR="00B70AA6">
        <w:rPr>
          <w:color w:val="0D0D0D" w:themeColor="text1" w:themeTint="F2"/>
        </w:rPr>
        <w:t>bude záviset na výši nárokovaných</w:t>
      </w:r>
      <w:r w:rsidR="00C14A3C">
        <w:rPr>
          <w:color w:val="0D0D0D" w:themeColor="text1" w:themeTint="F2"/>
        </w:rPr>
        <w:t xml:space="preserve"> </w:t>
      </w:r>
      <w:r w:rsidR="00B70AA6">
        <w:rPr>
          <w:color w:val="0D0D0D" w:themeColor="text1" w:themeTint="F2"/>
        </w:rPr>
        <w:t>prostředků</w:t>
      </w:r>
      <w:r w:rsidR="00C14A3C">
        <w:rPr>
          <w:color w:val="0D0D0D" w:themeColor="text1" w:themeTint="F2"/>
        </w:rPr>
        <w:t xml:space="preserve"> </w:t>
      </w:r>
      <w:r w:rsidR="00227DAF">
        <w:rPr>
          <w:color w:val="0D0D0D" w:themeColor="text1" w:themeTint="F2"/>
        </w:rPr>
        <w:br/>
      </w:r>
      <w:r w:rsidR="009E39FD">
        <w:rPr>
          <w:color w:val="0D0D0D" w:themeColor="text1" w:themeTint="F2"/>
        </w:rPr>
        <w:t>a době prodlevy.</w:t>
      </w:r>
    </w:p>
    <w:p w:rsidR="003B6202" w:rsidRDefault="003B6202" w:rsidP="00753B08">
      <w:pPr>
        <w:rPr>
          <w:color w:val="0D0D0D" w:themeColor="text1" w:themeTint="F2"/>
        </w:rPr>
      </w:pPr>
      <w:r>
        <w:rPr>
          <w:color w:val="0D0D0D" w:themeColor="text1" w:themeTint="F2"/>
        </w:rPr>
        <w:t>Pravděpodobnost vzniku rizika: Vysoká</w:t>
      </w:r>
      <w:r w:rsidR="005F272E">
        <w:rPr>
          <w:color w:val="0D0D0D" w:themeColor="text1" w:themeTint="F2"/>
        </w:rPr>
        <w:t>.</w:t>
      </w:r>
    </w:p>
    <w:p w:rsidR="003B6202" w:rsidRDefault="003B6202" w:rsidP="003B6202">
      <w:pPr>
        <w:tabs>
          <w:tab w:val="left" w:pos="3825"/>
        </w:tabs>
        <w:rPr>
          <w:color w:val="0D0D0D" w:themeColor="text1" w:themeTint="F2"/>
        </w:rPr>
      </w:pPr>
      <w:r>
        <w:rPr>
          <w:color w:val="0D0D0D" w:themeColor="text1" w:themeTint="F2"/>
        </w:rPr>
        <w:t xml:space="preserve">Intenzita dopadu: Střední – vysoká (v závislosti na výši </w:t>
      </w:r>
      <w:r w:rsidR="003607D6">
        <w:rPr>
          <w:color w:val="0D0D0D" w:themeColor="text1" w:themeTint="F2"/>
        </w:rPr>
        <w:t>nákladů)</w:t>
      </w:r>
      <w:r w:rsidR="005F272E">
        <w:rPr>
          <w:color w:val="0D0D0D" w:themeColor="text1" w:themeTint="F2"/>
        </w:rPr>
        <w:t>.</w:t>
      </w:r>
    </w:p>
    <w:p w:rsidR="009E39FD" w:rsidRDefault="009E39FD" w:rsidP="00753B08">
      <w:pPr>
        <w:rPr>
          <w:color w:val="0D0D0D" w:themeColor="text1" w:themeTint="F2"/>
        </w:rPr>
      </w:pPr>
    </w:p>
    <w:p w:rsidR="001C229D" w:rsidRDefault="001C229D" w:rsidP="00753B08">
      <w:pPr>
        <w:rPr>
          <w:color w:val="0D0D0D" w:themeColor="text1" w:themeTint="F2"/>
        </w:rPr>
      </w:pPr>
    </w:p>
    <w:p w:rsidR="00F64199" w:rsidRDefault="00F64199" w:rsidP="00753B08">
      <w:pPr>
        <w:rPr>
          <w:color w:val="0D0D0D" w:themeColor="text1" w:themeTint="F2"/>
        </w:rPr>
      </w:pPr>
    </w:p>
    <w:p w:rsidR="009E39FD" w:rsidRPr="003B6202" w:rsidRDefault="009E39FD" w:rsidP="00753B08">
      <w:pPr>
        <w:rPr>
          <w:b/>
          <w:color w:val="0D0D0D" w:themeColor="text1" w:themeTint="F2"/>
        </w:rPr>
      </w:pPr>
      <w:r w:rsidRPr="003B6202">
        <w:rPr>
          <w:b/>
          <w:color w:val="0D0D0D" w:themeColor="text1" w:themeTint="F2"/>
        </w:rPr>
        <w:t>Rizikové faktory</w:t>
      </w:r>
    </w:p>
    <w:p w:rsidR="009D798D" w:rsidRDefault="009D798D" w:rsidP="00753B08">
      <w:pPr>
        <w:rPr>
          <w:color w:val="0D0D0D" w:themeColor="text1" w:themeTint="F2"/>
        </w:rPr>
      </w:pPr>
    </w:p>
    <w:p w:rsidR="009D798D" w:rsidRDefault="009D798D" w:rsidP="00753B08">
      <w:pPr>
        <w:rPr>
          <w:color w:val="0D0D0D" w:themeColor="text1" w:themeTint="F2"/>
        </w:rPr>
      </w:pPr>
      <w:r>
        <w:rPr>
          <w:color w:val="0D0D0D" w:themeColor="text1" w:themeTint="F2"/>
        </w:rPr>
        <w:t>Na straně příjmů:</w:t>
      </w:r>
    </w:p>
    <w:p w:rsidR="009D798D" w:rsidRDefault="009D798D" w:rsidP="00D8582D">
      <w:pPr>
        <w:pStyle w:val="Odstavecseseznamem"/>
        <w:numPr>
          <w:ilvl w:val="0"/>
          <w:numId w:val="13"/>
        </w:numPr>
        <w:rPr>
          <w:color w:val="0D0D0D" w:themeColor="text1" w:themeTint="F2"/>
        </w:rPr>
      </w:pPr>
      <w:r>
        <w:rPr>
          <w:color w:val="0D0D0D" w:themeColor="text1" w:themeTint="F2"/>
        </w:rPr>
        <w:t>Nemožnost financování z</w:t>
      </w:r>
      <w:r w:rsidR="00C14A3C">
        <w:rPr>
          <w:color w:val="0D0D0D" w:themeColor="text1" w:themeTint="F2"/>
        </w:rPr>
        <w:t> </w:t>
      </w:r>
      <w:r>
        <w:rPr>
          <w:color w:val="0D0D0D" w:themeColor="text1" w:themeTint="F2"/>
        </w:rPr>
        <w:t>jiných</w:t>
      </w:r>
      <w:r w:rsidR="00C14A3C">
        <w:rPr>
          <w:color w:val="0D0D0D" w:themeColor="text1" w:themeTint="F2"/>
        </w:rPr>
        <w:t xml:space="preserve"> zdrojů,</w:t>
      </w:r>
      <w:r>
        <w:rPr>
          <w:color w:val="0D0D0D" w:themeColor="text1" w:themeTint="F2"/>
        </w:rPr>
        <w:t xml:space="preserve"> než </w:t>
      </w:r>
      <w:r w:rsidR="00C14A3C">
        <w:rPr>
          <w:color w:val="0D0D0D" w:themeColor="text1" w:themeTint="F2"/>
        </w:rPr>
        <w:t xml:space="preserve">těch </w:t>
      </w:r>
      <w:r>
        <w:rPr>
          <w:color w:val="0D0D0D" w:themeColor="text1" w:themeTint="F2"/>
        </w:rPr>
        <w:t>privatizačních</w:t>
      </w:r>
      <w:r w:rsidR="003607D6">
        <w:rPr>
          <w:color w:val="0D0D0D" w:themeColor="text1" w:themeTint="F2"/>
        </w:rPr>
        <w:t>.</w:t>
      </w:r>
    </w:p>
    <w:p w:rsidR="009E39FD" w:rsidRPr="00E8594D" w:rsidRDefault="009E39FD" w:rsidP="00D8582D">
      <w:pPr>
        <w:pStyle w:val="Odstavecseseznamem"/>
        <w:numPr>
          <w:ilvl w:val="0"/>
          <w:numId w:val="13"/>
        </w:numPr>
        <w:rPr>
          <w:color w:val="0D0D0D" w:themeColor="text1" w:themeTint="F2"/>
        </w:rPr>
      </w:pPr>
      <w:r w:rsidRPr="00E8594D">
        <w:rPr>
          <w:color w:val="0D0D0D" w:themeColor="text1" w:themeTint="F2"/>
        </w:rPr>
        <w:t>Přílišná závislost zvláštních účtů</w:t>
      </w:r>
      <w:r w:rsidR="001474E1">
        <w:rPr>
          <w:color w:val="0D0D0D" w:themeColor="text1" w:themeTint="F2"/>
        </w:rPr>
        <w:t xml:space="preserve"> privatizace</w:t>
      </w:r>
      <w:r w:rsidRPr="00E8594D">
        <w:rPr>
          <w:color w:val="0D0D0D" w:themeColor="text1" w:themeTint="F2"/>
        </w:rPr>
        <w:t xml:space="preserve"> na příjmech z dividendy majetkové účasti ve společnosti ČEZ, a. s., která v roce 2016 tvořila více než </w:t>
      </w:r>
      <w:r w:rsidR="001B15EB">
        <w:rPr>
          <w:color w:val="0D0D0D" w:themeColor="text1" w:themeTint="F2"/>
        </w:rPr>
        <w:t>79</w:t>
      </w:r>
      <w:r w:rsidRPr="00E8594D">
        <w:rPr>
          <w:color w:val="0D0D0D" w:themeColor="text1" w:themeTint="F2"/>
        </w:rPr>
        <w:t>% všech příjmů.</w:t>
      </w:r>
    </w:p>
    <w:p w:rsidR="009E39FD" w:rsidRDefault="009E39FD" w:rsidP="00D8582D">
      <w:pPr>
        <w:pStyle w:val="Odstavecseseznamem"/>
        <w:numPr>
          <w:ilvl w:val="0"/>
          <w:numId w:val="13"/>
        </w:numPr>
        <w:rPr>
          <w:color w:val="0D0D0D" w:themeColor="text1" w:themeTint="F2"/>
        </w:rPr>
      </w:pPr>
      <w:r>
        <w:rPr>
          <w:color w:val="0D0D0D" w:themeColor="text1" w:themeTint="F2"/>
        </w:rPr>
        <w:t>Nízké očekávané příjmy z privatizace majetku</w:t>
      </w:r>
      <w:r w:rsidR="003607D6">
        <w:rPr>
          <w:color w:val="0D0D0D" w:themeColor="text1" w:themeTint="F2"/>
        </w:rPr>
        <w:t>.</w:t>
      </w:r>
    </w:p>
    <w:p w:rsidR="009E39FD" w:rsidRDefault="009E39FD" w:rsidP="00D8582D">
      <w:pPr>
        <w:pStyle w:val="Odstavecseseznamem"/>
        <w:numPr>
          <w:ilvl w:val="0"/>
          <w:numId w:val="13"/>
        </w:numPr>
        <w:rPr>
          <w:color w:val="0D0D0D" w:themeColor="text1" w:themeTint="F2"/>
        </w:rPr>
      </w:pPr>
      <w:r>
        <w:rPr>
          <w:color w:val="0D0D0D" w:themeColor="text1" w:themeTint="F2"/>
        </w:rPr>
        <w:t>Hlavní příjmy</w:t>
      </w:r>
      <w:r w:rsidR="00A95CFA">
        <w:rPr>
          <w:color w:val="0D0D0D" w:themeColor="text1" w:themeTint="F2"/>
        </w:rPr>
        <w:t xml:space="preserve"> (dividendy</w:t>
      </w:r>
      <w:r w:rsidR="00B70AA6">
        <w:rPr>
          <w:color w:val="0D0D0D" w:themeColor="text1" w:themeTint="F2"/>
        </w:rPr>
        <w:t xml:space="preserve"> z majetkových účastí) </w:t>
      </w:r>
      <w:r>
        <w:rPr>
          <w:color w:val="0D0D0D" w:themeColor="text1" w:themeTint="F2"/>
        </w:rPr>
        <w:t xml:space="preserve">jsou inkasovány jen </w:t>
      </w:r>
      <w:r w:rsidR="00B34F11">
        <w:rPr>
          <w:color w:val="0D0D0D" w:themeColor="text1" w:themeTint="F2"/>
        </w:rPr>
        <w:t>jeden</w:t>
      </w:r>
      <w:r>
        <w:rPr>
          <w:color w:val="0D0D0D" w:themeColor="text1" w:themeTint="F2"/>
        </w:rPr>
        <w:t xml:space="preserve">krát ročně v měsících </w:t>
      </w:r>
      <w:r w:rsidR="0029391D">
        <w:rPr>
          <w:color w:val="0D0D0D" w:themeColor="text1" w:themeTint="F2"/>
        </w:rPr>
        <w:t xml:space="preserve">září </w:t>
      </w:r>
      <w:r w:rsidR="005760F9">
        <w:rPr>
          <w:color w:val="0D0D0D" w:themeColor="text1" w:themeTint="F2"/>
        </w:rPr>
        <w:t>-</w:t>
      </w:r>
      <w:r w:rsidR="0029391D">
        <w:rPr>
          <w:color w:val="0D0D0D" w:themeColor="text1" w:themeTint="F2"/>
        </w:rPr>
        <w:t xml:space="preserve"> listopad</w:t>
      </w:r>
      <w:r w:rsidR="003607D6">
        <w:rPr>
          <w:color w:val="0D0D0D" w:themeColor="text1" w:themeTint="F2"/>
        </w:rPr>
        <w:t>.</w:t>
      </w:r>
    </w:p>
    <w:p w:rsidR="00E8594D" w:rsidRDefault="00E8594D" w:rsidP="00E8594D">
      <w:pPr>
        <w:rPr>
          <w:color w:val="0D0D0D" w:themeColor="text1" w:themeTint="F2"/>
        </w:rPr>
      </w:pPr>
    </w:p>
    <w:p w:rsidR="00E8594D" w:rsidRDefault="00E8594D" w:rsidP="00E8594D">
      <w:pPr>
        <w:rPr>
          <w:color w:val="0D0D0D" w:themeColor="text1" w:themeTint="F2"/>
        </w:rPr>
      </w:pPr>
      <w:r>
        <w:rPr>
          <w:color w:val="0D0D0D" w:themeColor="text1" w:themeTint="F2"/>
        </w:rPr>
        <w:t>Na straně výdajů</w:t>
      </w:r>
      <w:r w:rsidR="003607D6">
        <w:rPr>
          <w:color w:val="0D0D0D" w:themeColor="text1" w:themeTint="F2"/>
        </w:rPr>
        <w:t>:</w:t>
      </w:r>
    </w:p>
    <w:p w:rsidR="00251385" w:rsidRDefault="00251385" w:rsidP="00D8582D">
      <w:pPr>
        <w:pStyle w:val="Odstavecseseznamem"/>
        <w:numPr>
          <w:ilvl w:val="0"/>
          <w:numId w:val="14"/>
        </w:numPr>
        <w:rPr>
          <w:color w:val="0D0D0D" w:themeColor="text1" w:themeTint="F2"/>
        </w:rPr>
      </w:pPr>
      <w:r>
        <w:rPr>
          <w:color w:val="0D0D0D" w:themeColor="text1" w:themeTint="F2"/>
        </w:rPr>
        <w:t>Finanční požadavky z titulů, ze kterých se v současné době nepředpokládá čerpání</w:t>
      </w:r>
      <w:r w:rsidR="003607D6">
        <w:rPr>
          <w:color w:val="0D0D0D" w:themeColor="text1" w:themeTint="F2"/>
        </w:rPr>
        <w:t>.</w:t>
      </w:r>
    </w:p>
    <w:p w:rsidR="00E8594D" w:rsidRDefault="00251385" w:rsidP="00D8582D">
      <w:pPr>
        <w:pStyle w:val="Odstavecseseznamem"/>
        <w:numPr>
          <w:ilvl w:val="0"/>
          <w:numId w:val="14"/>
        </w:numPr>
        <w:rPr>
          <w:color w:val="0D0D0D" w:themeColor="text1" w:themeTint="F2"/>
        </w:rPr>
      </w:pPr>
      <w:r>
        <w:rPr>
          <w:color w:val="0D0D0D" w:themeColor="text1" w:themeTint="F2"/>
        </w:rPr>
        <w:t>Vznik nových požadavků vládního charakteru, které lze financovat z jiných zdrojů</w:t>
      </w:r>
      <w:r w:rsidR="003607D6">
        <w:rPr>
          <w:color w:val="0D0D0D" w:themeColor="text1" w:themeTint="F2"/>
        </w:rPr>
        <w:t>.</w:t>
      </w:r>
    </w:p>
    <w:p w:rsidR="001938F8" w:rsidRPr="001938F8" w:rsidRDefault="001938F8" w:rsidP="001938F8">
      <w:pPr>
        <w:pStyle w:val="Odstavecseseznamem"/>
        <w:numPr>
          <w:ilvl w:val="0"/>
          <w:numId w:val="14"/>
        </w:numPr>
        <w:rPr>
          <w:color w:val="0D0D0D" w:themeColor="text1" w:themeTint="F2"/>
        </w:rPr>
      </w:pPr>
      <w:r>
        <w:rPr>
          <w:color w:val="0D0D0D" w:themeColor="text1" w:themeTint="F2"/>
        </w:rPr>
        <w:t>Navyšování požadavků na účely, které lze hradit z jiných zdrojů.</w:t>
      </w:r>
    </w:p>
    <w:p w:rsidR="00251385" w:rsidRDefault="00251385" w:rsidP="00D8582D">
      <w:pPr>
        <w:pStyle w:val="Odstavecseseznamem"/>
        <w:numPr>
          <w:ilvl w:val="0"/>
          <w:numId w:val="14"/>
        </w:numPr>
        <w:rPr>
          <w:color w:val="0D0D0D" w:themeColor="text1" w:themeTint="F2"/>
        </w:rPr>
      </w:pPr>
      <w:r>
        <w:rPr>
          <w:color w:val="0D0D0D" w:themeColor="text1" w:themeTint="F2"/>
        </w:rPr>
        <w:t>Vznik mimořádných výdajů především z titulů prohraných privatizačních soudních sporů</w:t>
      </w:r>
      <w:r w:rsidR="003607D6">
        <w:rPr>
          <w:color w:val="0D0D0D" w:themeColor="text1" w:themeTint="F2"/>
        </w:rPr>
        <w:t>.</w:t>
      </w:r>
    </w:p>
    <w:p w:rsidR="001938F8" w:rsidRDefault="001938F8" w:rsidP="001938F8">
      <w:pPr>
        <w:pStyle w:val="Odstavecseseznamem"/>
        <w:rPr>
          <w:color w:val="0D0D0D" w:themeColor="text1" w:themeTint="F2"/>
        </w:rPr>
      </w:pPr>
    </w:p>
    <w:p w:rsidR="0077691E" w:rsidRPr="00F64199" w:rsidRDefault="0077691E" w:rsidP="00F64199">
      <w:pPr>
        <w:rPr>
          <w:color w:val="0D0D0D" w:themeColor="text1" w:themeTint="F2"/>
        </w:rPr>
      </w:pPr>
    </w:p>
    <w:p w:rsidR="001938F8" w:rsidRPr="00E8594D" w:rsidRDefault="001938F8" w:rsidP="001938F8">
      <w:pPr>
        <w:pStyle w:val="Odstavecseseznamem"/>
        <w:rPr>
          <w:color w:val="0D0D0D" w:themeColor="text1" w:themeTint="F2"/>
        </w:rPr>
      </w:pPr>
    </w:p>
    <w:p w:rsidR="00E8594D" w:rsidRPr="0095552C" w:rsidRDefault="0095552C" w:rsidP="00D8582D">
      <w:pPr>
        <w:pStyle w:val="Odstavecseseznamem"/>
        <w:numPr>
          <w:ilvl w:val="0"/>
          <w:numId w:val="15"/>
        </w:numPr>
        <w:rPr>
          <w:b/>
          <w:color w:val="0D0D0D" w:themeColor="text1" w:themeTint="F2"/>
        </w:rPr>
      </w:pPr>
      <w:r w:rsidRPr="0095552C">
        <w:rPr>
          <w:b/>
          <w:color w:val="0D0D0D" w:themeColor="text1" w:themeTint="F2"/>
        </w:rPr>
        <w:t>Riziko negativní mediální publicity a zhoršení pověsti státu jako spolehlivého partnera</w:t>
      </w:r>
    </w:p>
    <w:p w:rsidR="0095552C" w:rsidRDefault="0095552C" w:rsidP="00E8594D">
      <w:pPr>
        <w:rPr>
          <w:color w:val="0D0D0D" w:themeColor="text1" w:themeTint="F2"/>
        </w:rPr>
      </w:pPr>
    </w:p>
    <w:p w:rsidR="00D44C25" w:rsidRDefault="0095552C" w:rsidP="00E8594D">
      <w:pPr>
        <w:rPr>
          <w:color w:val="0D0D0D" w:themeColor="text1" w:themeTint="F2"/>
        </w:rPr>
      </w:pPr>
      <w:r w:rsidRPr="0095552C">
        <w:rPr>
          <w:b/>
          <w:color w:val="0D0D0D" w:themeColor="text1" w:themeTint="F2"/>
        </w:rPr>
        <w:lastRenderedPageBreak/>
        <w:t>Popis rizika:</w:t>
      </w:r>
      <w:r>
        <w:rPr>
          <w:color w:val="0D0D0D" w:themeColor="text1" w:themeTint="F2"/>
        </w:rPr>
        <w:t xml:space="preserve"> V souvislosti s neplněním </w:t>
      </w:r>
      <w:r w:rsidR="00B77E25">
        <w:rPr>
          <w:color w:val="0D0D0D" w:themeColor="text1" w:themeTint="F2"/>
        </w:rPr>
        <w:t xml:space="preserve">smluvních závazků vznikne vysoké riziko </w:t>
      </w:r>
      <w:r w:rsidR="00463CF2">
        <w:rPr>
          <w:color w:val="0D0D0D" w:themeColor="text1" w:themeTint="F2"/>
        </w:rPr>
        <w:t xml:space="preserve">zhoršení pověsti státu jakožto spolehlivého </w:t>
      </w:r>
      <w:r w:rsidR="00A95CFA">
        <w:rPr>
          <w:color w:val="0D0D0D" w:themeColor="text1" w:themeTint="F2"/>
        </w:rPr>
        <w:t>partnera</w:t>
      </w:r>
      <w:r w:rsidR="00463CF2">
        <w:rPr>
          <w:color w:val="0D0D0D" w:themeColor="text1" w:themeTint="F2"/>
        </w:rPr>
        <w:t xml:space="preserve"> a s tím spojená nežádoucí pozornost sdělovacích prostředků</w:t>
      </w:r>
      <w:r w:rsidR="007A20C5">
        <w:rPr>
          <w:color w:val="0D0D0D" w:themeColor="text1" w:themeTint="F2"/>
        </w:rPr>
        <w:t>.</w:t>
      </w:r>
    </w:p>
    <w:p w:rsidR="00D44C25" w:rsidRDefault="00D44C25" w:rsidP="00E8594D">
      <w:pPr>
        <w:rPr>
          <w:color w:val="0D0D0D" w:themeColor="text1" w:themeTint="F2"/>
        </w:rPr>
      </w:pPr>
    </w:p>
    <w:p w:rsidR="00D44C25" w:rsidRDefault="00D44C25" w:rsidP="00E8594D">
      <w:pPr>
        <w:rPr>
          <w:color w:val="0D0D0D" w:themeColor="text1" w:themeTint="F2"/>
        </w:rPr>
      </w:pPr>
      <w:r>
        <w:rPr>
          <w:color w:val="0D0D0D" w:themeColor="text1" w:themeTint="F2"/>
        </w:rPr>
        <w:t>Pravděpodobnost vzniku rizika: vysoká (</w:t>
      </w:r>
      <w:r w:rsidR="00694ED6">
        <w:rPr>
          <w:color w:val="0D0D0D" w:themeColor="text1" w:themeTint="F2"/>
        </w:rPr>
        <w:t>za předpokladu</w:t>
      </w:r>
      <w:r>
        <w:rPr>
          <w:color w:val="0D0D0D" w:themeColor="text1" w:themeTint="F2"/>
        </w:rPr>
        <w:t> případě vzniku rizika nesolventnosti)</w:t>
      </w:r>
      <w:r w:rsidR="005760F9">
        <w:rPr>
          <w:color w:val="0D0D0D" w:themeColor="text1" w:themeTint="F2"/>
        </w:rPr>
        <w:t>.</w:t>
      </w:r>
    </w:p>
    <w:p w:rsidR="0095552C" w:rsidRPr="00E8594D" w:rsidRDefault="00D44C25" w:rsidP="00E8594D">
      <w:pPr>
        <w:rPr>
          <w:color w:val="0D0D0D" w:themeColor="text1" w:themeTint="F2"/>
        </w:rPr>
      </w:pPr>
      <w:r>
        <w:rPr>
          <w:color w:val="0D0D0D" w:themeColor="text1" w:themeTint="F2"/>
        </w:rPr>
        <w:t>Míra dopadu: střední</w:t>
      </w:r>
      <w:r w:rsidR="005760F9">
        <w:rPr>
          <w:color w:val="0D0D0D" w:themeColor="text1" w:themeTint="F2"/>
        </w:rPr>
        <w:t>.</w:t>
      </w:r>
    </w:p>
    <w:p w:rsidR="003607D6" w:rsidRDefault="003607D6" w:rsidP="00753B08">
      <w:pPr>
        <w:rPr>
          <w:color w:val="FF0000"/>
        </w:rPr>
      </w:pPr>
    </w:p>
    <w:p w:rsidR="003607D6" w:rsidRPr="00BC1919" w:rsidRDefault="003607D6" w:rsidP="00753B08">
      <w:pPr>
        <w:rPr>
          <w:color w:val="FF0000"/>
        </w:rPr>
      </w:pPr>
    </w:p>
    <w:p w:rsidR="000603C0" w:rsidRPr="00BC1919" w:rsidRDefault="00041FC8" w:rsidP="00C1607C">
      <w:pPr>
        <w:pStyle w:val="Nadpis1"/>
      </w:pPr>
      <w:r>
        <w:t>Návrh variant řešení</w:t>
      </w:r>
    </w:p>
    <w:p w:rsidR="000603C0" w:rsidRPr="00BC1919" w:rsidRDefault="000603C0" w:rsidP="00753B08">
      <w:pPr>
        <w:rPr>
          <w:color w:val="FF0000"/>
        </w:rPr>
      </w:pPr>
    </w:p>
    <w:p w:rsidR="000603C0" w:rsidRDefault="00C1607C" w:rsidP="00172B7F">
      <w:pPr>
        <w:pStyle w:val="Nadpis2"/>
      </w:pPr>
      <w:r>
        <w:t>Varianta 0</w:t>
      </w:r>
      <w:r w:rsidR="008B0A42">
        <w:t xml:space="preserve"> – Zachování stávajícího stavu</w:t>
      </w:r>
    </w:p>
    <w:p w:rsidR="00F31939" w:rsidRPr="00F31939" w:rsidRDefault="00F31939" w:rsidP="00753B08">
      <w:pPr>
        <w:rPr>
          <w:color w:val="000000" w:themeColor="text1"/>
        </w:rPr>
      </w:pPr>
    </w:p>
    <w:p w:rsidR="008B0A42" w:rsidRPr="00F31939" w:rsidRDefault="00F31939" w:rsidP="00753B08">
      <w:pPr>
        <w:rPr>
          <w:color w:val="000000" w:themeColor="text1"/>
        </w:rPr>
      </w:pPr>
      <w:r>
        <w:rPr>
          <w:color w:val="000000" w:themeColor="text1"/>
        </w:rPr>
        <w:t xml:space="preserve">V zákoně </w:t>
      </w:r>
      <w:r w:rsidR="001938F8">
        <w:rPr>
          <w:color w:val="000000" w:themeColor="text1"/>
        </w:rPr>
        <w:t xml:space="preserve">č. 178/2005 Sb. </w:t>
      </w:r>
      <w:r>
        <w:rPr>
          <w:color w:val="000000" w:themeColor="text1"/>
        </w:rPr>
        <w:t xml:space="preserve">§ 5 odst. 3 se budou nadále nacházet položky, které již </w:t>
      </w:r>
      <w:r w:rsidR="005452D0">
        <w:rPr>
          <w:color w:val="000000" w:themeColor="text1"/>
        </w:rPr>
        <w:t>nemají věcné opodstatnění</w:t>
      </w:r>
      <w:r w:rsidR="00D37200">
        <w:rPr>
          <w:color w:val="000000" w:themeColor="text1"/>
        </w:rPr>
        <w:t>,</w:t>
      </w:r>
      <w:r w:rsidR="005452D0">
        <w:rPr>
          <w:color w:val="000000" w:themeColor="text1"/>
        </w:rPr>
        <w:t xml:space="preserve"> jako např. </w:t>
      </w:r>
      <w:r>
        <w:rPr>
          <w:color w:val="000000" w:themeColor="text1"/>
        </w:rPr>
        <w:t>umožnění čerpání pro Nadační investiční fond</w:t>
      </w:r>
      <w:r w:rsidR="005452D0">
        <w:rPr>
          <w:color w:val="000000" w:themeColor="text1"/>
        </w:rPr>
        <w:t>,</w:t>
      </w:r>
      <w:r>
        <w:rPr>
          <w:color w:val="000000" w:themeColor="text1"/>
        </w:rPr>
        <w:t xml:space="preserve"> jehož agen</w:t>
      </w:r>
      <w:r w:rsidR="00C45BC1">
        <w:rPr>
          <w:color w:val="000000" w:themeColor="text1"/>
        </w:rPr>
        <w:t>da byla komplexně zlikvidována</w:t>
      </w:r>
      <w:r w:rsidR="005452D0">
        <w:rPr>
          <w:color w:val="000000" w:themeColor="text1"/>
        </w:rPr>
        <w:t>.</w:t>
      </w:r>
      <w:r>
        <w:rPr>
          <w:color w:val="000000" w:themeColor="text1"/>
        </w:rPr>
        <w:t xml:space="preserve"> Dále se v zákoně budou </w:t>
      </w:r>
      <w:r w:rsidR="00FC4316">
        <w:rPr>
          <w:color w:val="000000" w:themeColor="text1"/>
        </w:rPr>
        <w:t>stále nacházet výdajové položky pro</w:t>
      </w:r>
      <w:r>
        <w:rPr>
          <w:color w:val="000000" w:themeColor="text1"/>
        </w:rPr>
        <w:t xml:space="preserve"> účely vládního charakteru</w:t>
      </w:r>
      <w:r w:rsidR="00673D48">
        <w:rPr>
          <w:color w:val="000000" w:themeColor="text1"/>
        </w:rPr>
        <w:t>,</w:t>
      </w:r>
      <w:r>
        <w:rPr>
          <w:color w:val="000000" w:themeColor="text1"/>
        </w:rPr>
        <w:t xml:space="preserve"> kvůli</w:t>
      </w:r>
      <w:r w:rsidR="00C45BC1">
        <w:rPr>
          <w:color w:val="000000" w:themeColor="text1"/>
        </w:rPr>
        <w:t xml:space="preserve"> </w:t>
      </w:r>
      <w:r w:rsidR="00673D48">
        <w:rPr>
          <w:color w:val="000000" w:themeColor="text1"/>
        </w:rPr>
        <w:t>ni</w:t>
      </w:r>
      <w:r>
        <w:rPr>
          <w:color w:val="000000" w:themeColor="text1"/>
        </w:rPr>
        <w:t>mž bude umožněn odliv velice omezených zdrojů zvláštních účtů</w:t>
      </w:r>
      <w:r w:rsidR="001474E1">
        <w:rPr>
          <w:color w:val="000000" w:themeColor="text1"/>
        </w:rPr>
        <w:t xml:space="preserve"> privatizace</w:t>
      </w:r>
      <w:r w:rsidR="008F4A34">
        <w:rPr>
          <w:color w:val="000000" w:themeColor="text1"/>
        </w:rPr>
        <w:t>,</w:t>
      </w:r>
      <w:r>
        <w:rPr>
          <w:color w:val="000000" w:themeColor="text1"/>
        </w:rPr>
        <w:t xml:space="preserve"> a které lze </w:t>
      </w:r>
      <w:r w:rsidR="00E71862">
        <w:rPr>
          <w:color w:val="000000" w:themeColor="text1"/>
        </w:rPr>
        <w:t xml:space="preserve">zároveň </w:t>
      </w:r>
      <w:r>
        <w:rPr>
          <w:color w:val="000000" w:themeColor="text1"/>
        </w:rPr>
        <w:t>financovat z jiných zdrojů</w:t>
      </w:r>
      <w:r w:rsidR="005452D0">
        <w:rPr>
          <w:color w:val="000000" w:themeColor="text1"/>
        </w:rPr>
        <w:t>.</w:t>
      </w:r>
      <w:r w:rsidR="00C45BC1">
        <w:rPr>
          <w:color w:val="000000" w:themeColor="text1"/>
        </w:rPr>
        <w:t xml:space="preserve"> </w:t>
      </w:r>
      <w:r w:rsidR="00F41354">
        <w:rPr>
          <w:color w:val="000000" w:themeColor="text1"/>
        </w:rPr>
        <w:t xml:space="preserve"> </w:t>
      </w:r>
    </w:p>
    <w:p w:rsidR="00C1607C" w:rsidRDefault="00C1607C" w:rsidP="00753B08">
      <w:pPr>
        <w:rPr>
          <w:color w:val="FF0000"/>
        </w:rPr>
      </w:pPr>
    </w:p>
    <w:p w:rsidR="00C1607C" w:rsidRDefault="008B0A42" w:rsidP="00172B7F">
      <w:pPr>
        <w:pStyle w:val="Nadpis2"/>
      </w:pPr>
      <w:r>
        <w:t xml:space="preserve">Varianta 1 – Komplexní novela zákona </w:t>
      </w:r>
      <w:r w:rsidR="00E5368F">
        <w:t xml:space="preserve">č. 178/2005 Sb., </w:t>
      </w:r>
      <w:r>
        <w:t>o zrušení Fondu národního majetku</w:t>
      </w:r>
    </w:p>
    <w:p w:rsidR="008B0A42" w:rsidRDefault="008B0A42" w:rsidP="008B0A42">
      <w:pPr>
        <w:rPr>
          <w:color w:val="FF0000"/>
        </w:rPr>
      </w:pPr>
    </w:p>
    <w:p w:rsidR="008B0A42" w:rsidRPr="00F31939" w:rsidRDefault="00D44C25" w:rsidP="008B0A42">
      <w:pPr>
        <w:rPr>
          <w:color w:val="FF0000"/>
        </w:rPr>
      </w:pPr>
      <w:r>
        <w:rPr>
          <w:color w:val="000000" w:themeColor="text1"/>
        </w:rPr>
        <w:t xml:space="preserve">Zákon </w:t>
      </w:r>
      <w:r w:rsidR="00BC49CC" w:rsidRPr="00F15E8A">
        <w:rPr>
          <w:color w:val="000000" w:themeColor="text1"/>
        </w:rPr>
        <w:t>plně reflekt</w:t>
      </w:r>
      <w:r w:rsidR="00E71862">
        <w:rPr>
          <w:color w:val="000000" w:themeColor="text1"/>
        </w:rPr>
        <w:t>uje</w:t>
      </w:r>
      <w:r w:rsidR="00BC49CC" w:rsidRPr="00F15E8A">
        <w:rPr>
          <w:color w:val="000000" w:themeColor="text1"/>
        </w:rPr>
        <w:t xml:space="preserve"> aktuální stav zvláštních účtů privatizace</w:t>
      </w:r>
      <w:r w:rsidR="001A0274">
        <w:rPr>
          <w:color w:val="000000" w:themeColor="text1"/>
        </w:rPr>
        <w:t>,</w:t>
      </w:r>
      <w:r w:rsidR="00E71862">
        <w:rPr>
          <w:color w:val="000000" w:themeColor="text1"/>
        </w:rPr>
        <w:t xml:space="preserve"> </w:t>
      </w:r>
      <w:r w:rsidR="00FC4316">
        <w:rPr>
          <w:color w:val="000000" w:themeColor="text1"/>
        </w:rPr>
        <w:t>eliminovány</w:t>
      </w:r>
      <w:r>
        <w:rPr>
          <w:color w:val="000000" w:themeColor="text1"/>
        </w:rPr>
        <w:t xml:space="preserve"> jsou</w:t>
      </w:r>
      <w:r w:rsidR="00FC4316">
        <w:rPr>
          <w:color w:val="000000" w:themeColor="text1"/>
        </w:rPr>
        <w:t xml:space="preserve"> výdajové tituly, které by mohly zatížit rozpočet </w:t>
      </w:r>
      <w:r w:rsidR="00EB0579">
        <w:rPr>
          <w:color w:val="000000" w:themeColor="text1"/>
        </w:rPr>
        <w:t>zvláštních účtů privatizace</w:t>
      </w:r>
      <w:r w:rsidR="00FC4316">
        <w:rPr>
          <w:color w:val="000000" w:themeColor="text1"/>
        </w:rPr>
        <w:t>. Z</w:t>
      </w:r>
      <w:r w:rsidR="00BC49CC" w:rsidRPr="00F15E8A">
        <w:rPr>
          <w:color w:val="000000" w:themeColor="text1"/>
        </w:rPr>
        <w:t xml:space="preserve">ároveň </w:t>
      </w:r>
      <w:r>
        <w:rPr>
          <w:color w:val="000000" w:themeColor="text1"/>
        </w:rPr>
        <w:t>je možné</w:t>
      </w:r>
      <w:r w:rsidR="00BC49CC" w:rsidRPr="00F15E8A">
        <w:rPr>
          <w:color w:val="000000" w:themeColor="text1"/>
        </w:rPr>
        <w:t xml:space="preserve"> snadněji čerpat prostředky do státního rozpo</w:t>
      </w:r>
      <w:r w:rsidR="00F15E8A">
        <w:rPr>
          <w:color w:val="000000" w:themeColor="text1"/>
        </w:rPr>
        <w:t>čtu</w:t>
      </w:r>
      <w:r w:rsidR="00DD39C1">
        <w:rPr>
          <w:color w:val="000000" w:themeColor="text1"/>
        </w:rPr>
        <w:t xml:space="preserve"> a</w:t>
      </w:r>
      <w:r w:rsidR="00F15E8A">
        <w:rPr>
          <w:color w:val="000000" w:themeColor="text1"/>
        </w:rPr>
        <w:t xml:space="preserve"> </w:t>
      </w:r>
      <w:r>
        <w:rPr>
          <w:color w:val="000000" w:themeColor="text1"/>
        </w:rPr>
        <w:t>v případě potřeby je možné převést prostředky z jiných zdrojů a následně je použít pro plnění závazků dle § 5 odst. 3</w:t>
      </w:r>
      <w:r w:rsidR="00F15E8A">
        <w:rPr>
          <w:color w:val="000000" w:themeColor="text1"/>
        </w:rPr>
        <w:t>.</w:t>
      </w:r>
    </w:p>
    <w:p w:rsidR="00005C40" w:rsidRDefault="00005C40" w:rsidP="00BC49CC"/>
    <w:p w:rsidR="00005C40" w:rsidRDefault="00005C40" w:rsidP="00753B08"/>
    <w:p w:rsidR="00EF5EC2" w:rsidRPr="0092780D" w:rsidRDefault="00EF5EC2" w:rsidP="00753B08">
      <w:pPr>
        <w:pStyle w:val="Nadpis1"/>
      </w:pPr>
      <w:r>
        <w:t>Vyhodnocení nákladů a přínosů</w:t>
      </w:r>
    </w:p>
    <w:p w:rsidR="00EF5EC2" w:rsidRDefault="00EF5EC2" w:rsidP="00C45BC1">
      <w:pPr>
        <w:pStyle w:val="Nadpis2"/>
      </w:pPr>
      <w:r w:rsidRPr="0099366E">
        <w:t>Identifikace nákladů a přínosů</w:t>
      </w:r>
    </w:p>
    <w:p w:rsidR="00DD7DD2" w:rsidRPr="00DD7DD2" w:rsidRDefault="00DD7DD2" w:rsidP="00DD7DD2"/>
    <w:p w:rsidR="00EF5EC2" w:rsidRDefault="0098430E" w:rsidP="00753B08">
      <w:r>
        <w:t>Náklady přínosy novely zákona byly posuzovány z hlediska potřeb zvláštních účtů privatizace.</w:t>
      </w:r>
    </w:p>
    <w:p w:rsidR="0098430E" w:rsidRDefault="0098430E" w:rsidP="00753B08"/>
    <w:p w:rsidR="0098430E" w:rsidRDefault="0098430E" w:rsidP="00753B08">
      <w:r>
        <w:t xml:space="preserve">Jako zásadní parametry pro hodnocení </w:t>
      </w:r>
      <w:r w:rsidR="001F62AB">
        <w:t xml:space="preserve">byly použity dopady </w:t>
      </w:r>
      <w:proofErr w:type="gramStart"/>
      <w:r w:rsidR="001F62AB">
        <w:t>na</w:t>
      </w:r>
      <w:proofErr w:type="gramEnd"/>
      <w:r>
        <w:t>:</w:t>
      </w:r>
    </w:p>
    <w:p w:rsidR="009E794C" w:rsidRDefault="00741FF9" w:rsidP="00741FF9">
      <w:pPr>
        <w:pStyle w:val="Odstavecseseznamem"/>
        <w:numPr>
          <w:ilvl w:val="0"/>
          <w:numId w:val="17"/>
        </w:numPr>
      </w:pPr>
      <w:r>
        <w:t>R</w:t>
      </w:r>
      <w:r w:rsidR="009E794C" w:rsidRPr="009E794C">
        <w:t xml:space="preserve">iziko nesolventnosti </w:t>
      </w:r>
      <w:r w:rsidR="00EB0579">
        <w:t>zvláštních účtů privatizace</w:t>
      </w:r>
      <w:r w:rsidR="009E794C">
        <w:t xml:space="preserve">, a </w:t>
      </w:r>
      <w:r w:rsidR="00F17EB5">
        <w:t xml:space="preserve">tedy i </w:t>
      </w:r>
      <w:r w:rsidR="009E794C">
        <w:t>vznik</w:t>
      </w:r>
      <w:r w:rsidR="009E794C" w:rsidRPr="009E794C">
        <w:t xml:space="preserve"> následných nákladů vyplývajících z neplně</w:t>
      </w:r>
      <w:r w:rsidR="001938F8">
        <w:t>ní smluvně podložených závazků ne</w:t>
      </w:r>
      <w:r w:rsidR="009E794C" w:rsidRPr="009E794C">
        <w:t>financovat</w:t>
      </w:r>
      <w:r w:rsidR="001938F8">
        <w:t>elných</w:t>
      </w:r>
      <w:r w:rsidR="009E794C" w:rsidRPr="009E794C">
        <w:t xml:space="preserve"> z jiných zdrojů než ze zvláštních účtů</w:t>
      </w:r>
      <w:r w:rsidR="001938F8">
        <w:t xml:space="preserve"> privatizace</w:t>
      </w:r>
      <w:r>
        <w:t>.</w:t>
      </w:r>
    </w:p>
    <w:p w:rsidR="0098430E" w:rsidRDefault="0098430E" w:rsidP="00741FF9">
      <w:pPr>
        <w:pStyle w:val="Odstavecseseznamem"/>
        <w:numPr>
          <w:ilvl w:val="0"/>
          <w:numId w:val="17"/>
        </w:numPr>
      </w:pPr>
      <w:r>
        <w:t xml:space="preserve">Plnění </w:t>
      </w:r>
      <w:r w:rsidR="009E794C">
        <w:t>stanovisek</w:t>
      </w:r>
      <w:r>
        <w:t xml:space="preserve"> vytyčenýc</w:t>
      </w:r>
      <w:r w:rsidR="001F62AB">
        <w:t>h v</w:t>
      </w:r>
      <w:r>
        <w:t xml:space="preserve"> usnesení vlády č. 610 ze dne 4. září 2017</w:t>
      </w:r>
      <w:r w:rsidR="00741FF9">
        <w:t>.</w:t>
      </w:r>
    </w:p>
    <w:p w:rsidR="0098430E" w:rsidRDefault="0098430E" w:rsidP="00741FF9">
      <w:pPr>
        <w:pStyle w:val="Odstavecseseznamem"/>
        <w:numPr>
          <w:ilvl w:val="0"/>
          <w:numId w:val="17"/>
        </w:numPr>
      </w:pPr>
      <w:r>
        <w:t>Aktuálnost zákona</w:t>
      </w:r>
      <w:r w:rsidR="00741FF9">
        <w:t>.</w:t>
      </w:r>
    </w:p>
    <w:p w:rsidR="0098430E" w:rsidRDefault="0098430E" w:rsidP="00741FF9">
      <w:pPr>
        <w:pStyle w:val="Odstavecseseznamem"/>
        <w:numPr>
          <w:ilvl w:val="0"/>
          <w:numId w:val="17"/>
        </w:numPr>
      </w:pPr>
      <w:r>
        <w:t xml:space="preserve">Procesy </w:t>
      </w:r>
      <w:r w:rsidR="001F62AB">
        <w:t>toků</w:t>
      </w:r>
      <w:r>
        <w:t xml:space="preserve"> finančních prostředků</w:t>
      </w:r>
      <w:r w:rsidR="00741FF9">
        <w:t>.</w:t>
      </w:r>
    </w:p>
    <w:p w:rsidR="00997D33" w:rsidRDefault="00670056" w:rsidP="001938F8">
      <w:pPr>
        <w:pStyle w:val="Odstavecseseznamem"/>
        <w:numPr>
          <w:ilvl w:val="0"/>
          <w:numId w:val="17"/>
        </w:numPr>
      </w:pPr>
      <w:r>
        <w:t>Legislativní proces a administrativa spojená implementací</w:t>
      </w:r>
      <w:r w:rsidR="00DD39C1">
        <w:t xml:space="preserve"> varianty</w:t>
      </w:r>
      <w:r w:rsidR="00741FF9">
        <w:t>.</w:t>
      </w:r>
    </w:p>
    <w:p w:rsidR="001C229D" w:rsidRDefault="001C229D" w:rsidP="00367B93">
      <w:pPr>
        <w:pStyle w:val="Odstavecseseznamem"/>
        <w:ind w:left="1080"/>
      </w:pPr>
    </w:p>
    <w:p w:rsidR="001C229D" w:rsidRDefault="001C229D" w:rsidP="00367B93">
      <w:pPr>
        <w:pStyle w:val="Odstavecseseznamem"/>
        <w:ind w:left="1080"/>
      </w:pPr>
    </w:p>
    <w:p w:rsidR="00997D33" w:rsidRDefault="00C45BC1" w:rsidP="00C45BC1">
      <w:pPr>
        <w:pStyle w:val="Nadpis2"/>
      </w:pPr>
      <w:r>
        <w:lastRenderedPageBreak/>
        <w:t>Náklady</w:t>
      </w:r>
    </w:p>
    <w:p w:rsidR="00997D33" w:rsidRPr="00997D33" w:rsidRDefault="00997D33" w:rsidP="00997D33"/>
    <w:p w:rsidR="00673D48" w:rsidRPr="00A4616E" w:rsidRDefault="00C45BC1" w:rsidP="00C45BC1">
      <w:pPr>
        <w:rPr>
          <w:b/>
        </w:rPr>
      </w:pPr>
      <w:r w:rsidRPr="00A4616E">
        <w:rPr>
          <w:b/>
        </w:rPr>
        <w:t>Varianta 0</w:t>
      </w:r>
    </w:p>
    <w:p w:rsidR="00741FF9" w:rsidRDefault="00741FF9" w:rsidP="00741FF9"/>
    <w:p w:rsidR="00C45BC1" w:rsidRDefault="00741FF9" w:rsidP="00741FF9">
      <w:r>
        <w:t xml:space="preserve">Riziko možných </w:t>
      </w:r>
      <w:r w:rsidR="00C45BC1">
        <w:t>n</w:t>
      </w:r>
      <w:r w:rsidR="00673D48">
        <w:t>áklad</w:t>
      </w:r>
      <w:r>
        <w:t>ů</w:t>
      </w:r>
      <w:r w:rsidR="00673D48">
        <w:t xml:space="preserve"> za úhrady soudních sporů</w:t>
      </w:r>
      <w:r w:rsidR="00DD39C1">
        <w:t xml:space="preserve"> vyplývajících </w:t>
      </w:r>
      <w:r w:rsidR="00C45BC1">
        <w:t>z neplnění smluvních závazků</w:t>
      </w:r>
      <w:r w:rsidR="00DD39C1">
        <w:t xml:space="preserve"> v případě, že </w:t>
      </w:r>
      <w:r>
        <w:t>ne</w:t>
      </w:r>
      <w:r w:rsidR="00DD39C1">
        <w:t xml:space="preserve">bude na zvláštních účtech </w:t>
      </w:r>
      <w:r w:rsidR="001474E1">
        <w:t>privatizace</w:t>
      </w:r>
      <w:r w:rsidR="00DD39C1">
        <w:t xml:space="preserve"> dostatek prostředků na jejich úhradu.</w:t>
      </w:r>
    </w:p>
    <w:p w:rsidR="00C45BC1" w:rsidRDefault="00C45BC1" w:rsidP="00C45BC1"/>
    <w:p w:rsidR="00997D33" w:rsidRDefault="00997D33" w:rsidP="00C45BC1"/>
    <w:p w:rsidR="00A4616E" w:rsidRPr="00673D48" w:rsidRDefault="00C45BC1" w:rsidP="00C45BC1">
      <w:pPr>
        <w:rPr>
          <w:b/>
        </w:rPr>
      </w:pPr>
      <w:r w:rsidRPr="00A4616E">
        <w:rPr>
          <w:b/>
        </w:rPr>
        <w:t>Varianta 1</w:t>
      </w:r>
    </w:p>
    <w:p w:rsidR="00C45BC1" w:rsidRDefault="00C45BC1" w:rsidP="00C45BC1"/>
    <w:p w:rsidR="00785945" w:rsidRDefault="00785945" w:rsidP="00C45BC1">
      <w:r>
        <w:t>Při aplikaci novely nejsou známy žádné přímé náklady</w:t>
      </w:r>
      <w:r w:rsidR="001D4B80">
        <w:t>.</w:t>
      </w:r>
    </w:p>
    <w:p w:rsidR="00785945" w:rsidRDefault="00785945" w:rsidP="00C45BC1"/>
    <w:p w:rsidR="00785945" w:rsidRDefault="00785945" w:rsidP="00C45BC1">
      <w:r>
        <w:t>Důvody jsou tyto:</w:t>
      </w:r>
    </w:p>
    <w:p w:rsidR="00785945" w:rsidRDefault="001D4B80" w:rsidP="001D4B80">
      <w:pPr>
        <w:pStyle w:val="Odstavecseseznamem"/>
        <w:numPr>
          <w:ilvl w:val="0"/>
          <w:numId w:val="18"/>
        </w:numPr>
      </w:pPr>
      <w:r>
        <w:t>J</w:t>
      </w:r>
      <w:r w:rsidR="00785945">
        <w:t>sou odstraňovány jen ty výdajové tituly, u</w:t>
      </w:r>
      <w:r w:rsidR="00F17EB5">
        <w:t xml:space="preserve"> nichž</w:t>
      </w:r>
      <w:r w:rsidR="00F41354">
        <w:t xml:space="preserve"> nejsou známy žádné výdajové nároky a</w:t>
      </w:r>
      <w:r w:rsidR="00F17EB5">
        <w:t xml:space="preserve"> nelze</w:t>
      </w:r>
      <w:r w:rsidR="00F41354">
        <w:t xml:space="preserve"> ani</w:t>
      </w:r>
      <w:r w:rsidR="00F17EB5">
        <w:t xml:space="preserve"> v budoucnu očekávat </w:t>
      </w:r>
      <w:r w:rsidR="00785945">
        <w:t>vznesen</w:t>
      </w:r>
      <w:r w:rsidR="00F17EB5">
        <w:t xml:space="preserve">í </w:t>
      </w:r>
      <w:r w:rsidR="00785945">
        <w:t>žádn</w:t>
      </w:r>
      <w:r w:rsidR="00F17EB5">
        <w:t xml:space="preserve">ých </w:t>
      </w:r>
      <w:r w:rsidR="00785945">
        <w:t>nárok</w:t>
      </w:r>
      <w:r w:rsidR="00F17EB5">
        <w:t>ů</w:t>
      </w:r>
      <w:r w:rsidR="00785945">
        <w:t>,</w:t>
      </w:r>
      <w:r w:rsidR="00F17EB5">
        <w:t xml:space="preserve"> dále </w:t>
      </w:r>
      <w:r w:rsidR="00785945">
        <w:t>výdajové tituly, u nichž došlo k dohodě o ukončení čerpání a</w:t>
      </w:r>
      <w:r>
        <w:t> </w:t>
      </w:r>
      <w:r w:rsidR="00785945">
        <w:t xml:space="preserve">ukončení výdajového titulu </w:t>
      </w:r>
      <w:r w:rsidR="00227DAF">
        <w:br/>
      </w:r>
      <w:r w:rsidR="00785945">
        <w:t xml:space="preserve">a </w:t>
      </w:r>
      <w:r w:rsidR="00F17EB5">
        <w:t xml:space="preserve">konečně </w:t>
      </w:r>
      <w:r w:rsidR="00785945">
        <w:t>výdajov</w:t>
      </w:r>
      <w:r w:rsidR="00F17EB5">
        <w:t xml:space="preserve">é </w:t>
      </w:r>
      <w:r w:rsidR="00785945">
        <w:t>titul</w:t>
      </w:r>
      <w:r w:rsidR="00F17EB5">
        <w:t>y</w:t>
      </w:r>
      <w:r w:rsidR="00785945">
        <w:t xml:space="preserve">, jejichž věcná náplň již pozbyla smyslu. </w:t>
      </w:r>
    </w:p>
    <w:p w:rsidR="00785945" w:rsidRDefault="00D671E6" w:rsidP="001D4B80">
      <w:pPr>
        <w:pStyle w:val="Odstavecseseznamem"/>
        <w:numPr>
          <w:ilvl w:val="0"/>
          <w:numId w:val="18"/>
        </w:numPr>
      </w:pPr>
      <w:r>
        <w:t xml:space="preserve">Nároky na státní rozpočet pro financování </w:t>
      </w:r>
      <w:r w:rsidR="00785945">
        <w:t>výdajů</w:t>
      </w:r>
      <w:r>
        <w:t xml:space="preserve"> dle § 5 odst. 3</w:t>
      </w:r>
      <w:r w:rsidR="00785945">
        <w:t xml:space="preserve"> jsou pouze </w:t>
      </w:r>
      <w:r w:rsidR="00400BCC">
        <w:t>teoretické</w:t>
      </w:r>
      <w:r w:rsidR="006D14C5">
        <w:t>, nemusí být nikdy</w:t>
      </w:r>
      <w:r w:rsidR="00F17EB5">
        <w:t xml:space="preserve"> aktivovány</w:t>
      </w:r>
      <w:r w:rsidR="00670056">
        <w:t xml:space="preserve">. </w:t>
      </w:r>
      <w:r w:rsidR="00400BCC">
        <w:t>V případě, že dojde ke ztrátě solventnosti zvláštních účtů</w:t>
      </w:r>
      <w:r w:rsidR="001474E1">
        <w:t xml:space="preserve"> privatizace</w:t>
      </w:r>
      <w:r w:rsidR="00400BCC">
        <w:t xml:space="preserve">, </w:t>
      </w:r>
      <w:r>
        <w:t>převod ze zdrojů státního rozpočtu</w:t>
      </w:r>
      <w:r w:rsidR="00E55282">
        <w:t xml:space="preserve"> ušetří náklady z neplnění smluvních vztahů a neplnění soudních rozhodnutí</w:t>
      </w:r>
      <w:r w:rsidR="00F41354">
        <w:t>.</w:t>
      </w:r>
    </w:p>
    <w:p w:rsidR="00C45BC1" w:rsidRDefault="00C45BC1" w:rsidP="00C45BC1"/>
    <w:p w:rsidR="006D14C5" w:rsidRDefault="006D14C5" w:rsidP="00C45BC1">
      <w:r>
        <w:t>Novela zákona je koncipována tak, aby pouze eliminovala rizika a zjednodušila zákon.</w:t>
      </w:r>
    </w:p>
    <w:p w:rsidR="006D14C5" w:rsidRDefault="006D14C5" w:rsidP="00C45BC1"/>
    <w:p w:rsidR="00C45BC1" w:rsidRDefault="00C45BC1" w:rsidP="00C45BC1">
      <w:pPr>
        <w:pStyle w:val="Nadpis2"/>
      </w:pPr>
      <w:r>
        <w:t>Přínosy</w:t>
      </w:r>
    </w:p>
    <w:p w:rsidR="00A4616E" w:rsidRDefault="00A4616E" w:rsidP="00C45BC1"/>
    <w:p w:rsidR="00C45BC1" w:rsidRDefault="00A4616E" w:rsidP="00C45BC1">
      <w:pPr>
        <w:rPr>
          <w:b/>
        </w:rPr>
      </w:pPr>
      <w:r w:rsidRPr="00A4616E">
        <w:rPr>
          <w:b/>
        </w:rPr>
        <w:t>Varianta 0</w:t>
      </w:r>
    </w:p>
    <w:p w:rsidR="007C672C" w:rsidRPr="00A4616E" w:rsidRDefault="007C672C" w:rsidP="00C45BC1">
      <w:pPr>
        <w:rPr>
          <w:b/>
        </w:rPr>
      </w:pPr>
    </w:p>
    <w:p w:rsidR="00A4616E" w:rsidRDefault="00A4616E" w:rsidP="007C672C">
      <w:pPr>
        <w:pStyle w:val="Odstavecseseznamem"/>
        <w:numPr>
          <w:ilvl w:val="0"/>
          <w:numId w:val="19"/>
        </w:numPr>
      </w:pPr>
      <w:r>
        <w:t>Eliminace administrativy spojené s implementací novely zákona</w:t>
      </w:r>
      <w:r w:rsidR="00BE5B04">
        <w:t>.</w:t>
      </w:r>
    </w:p>
    <w:p w:rsidR="00A4616E" w:rsidRDefault="00A4616E" w:rsidP="00A4616E"/>
    <w:p w:rsidR="00A4616E" w:rsidRDefault="00A4616E" w:rsidP="00A4616E"/>
    <w:p w:rsidR="00A4616E" w:rsidRPr="00A4616E" w:rsidRDefault="00A4616E" w:rsidP="00A4616E">
      <w:pPr>
        <w:rPr>
          <w:b/>
        </w:rPr>
      </w:pPr>
      <w:r w:rsidRPr="00A4616E">
        <w:rPr>
          <w:b/>
        </w:rPr>
        <w:t>Varianta 1</w:t>
      </w:r>
    </w:p>
    <w:p w:rsidR="00A4616E" w:rsidRDefault="00A4616E" w:rsidP="001D4B80">
      <w:pPr>
        <w:pStyle w:val="Odstavecseseznamem"/>
        <w:numPr>
          <w:ilvl w:val="0"/>
          <w:numId w:val="19"/>
        </w:numPr>
      </w:pPr>
      <w:r>
        <w:t>Zúžení škály výdajových titulů a zvýšení přehlednosti zákona</w:t>
      </w:r>
      <w:r w:rsidR="00BE5B04">
        <w:t>.</w:t>
      </w:r>
      <w:r>
        <w:t xml:space="preserve"> </w:t>
      </w:r>
    </w:p>
    <w:p w:rsidR="00A4616E" w:rsidRDefault="00A4616E" w:rsidP="001D4B80">
      <w:pPr>
        <w:pStyle w:val="Odstavecseseznamem"/>
        <w:numPr>
          <w:ilvl w:val="0"/>
          <w:numId w:val="19"/>
        </w:numPr>
      </w:pPr>
      <w:r>
        <w:t>Administrativ</w:t>
      </w:r>
      <w:r w:rsidR="001474E1">
        <w:t>ní usnadnění toků financí mezi z</w:t>
      </w:r>
      <w:r>
        <w:t>vláštními účty privatizace</w:t>
      </w:r>
      <w:r w:rsidR="00E5368F">
        <w:t xml:space="preserve"> a státním rozpočtem</w:t>
      </w:r>
      <w:r w:rsidR="001D4B80">
        <w:t>.</w:t>
      </w:r>
    </w:p>
    <w:p w:rsidR="00A4616E" w:rsidRDefault="00A4616E" w:rsidP="001D4B80">
      <w:pPr>
        <w:pStyle w:val="Odstavecseseznamem"/>
        <w:numPr>
          <w:ilvl w:val="0"/>
          <w:numId w:val="19"/>
        </w:numPr>
      </w:pPr>
      <w:r>
        <w:t xml:space="preserve">Eliminace rizika vyplývající </w:t>
      </w:r>
      <w:r w:rsidR="00E95F0D">
        <w:t>z</w:t>
      </w:r>
      <w:r>
        <w:t> neplnění privatizačních smluvních závazků</w:t>
      </w:r>
      <w:r w:rsidR="00E95F0D">
        <w:t>,</w:t>
      </w:r>
      <w:r>
        <w:t xml:space="preserve"> vyplývajících z nedostatků prostředků na zvláštních účtech</w:t>
      </w:r>
      <w:r w:rsidR="001474E1">
        <w:t xml:space="preserve"> privatizace</w:t>
      </w:r>
      <w:r w:rsidR="00E5368F">
        <w:t xml:space="preserve"> </w:t>
      </w:r>
      <w:r w:rsidR="00254091">
        <w:br/>
      </w:r>
      <w:r w:rsidR="00E5368F">
        <w:t>a následným poškozením pověsti České republiky jako spolehlivého partnera</w:t>
      </w:r>
    </w:p>
    <w:p w:rsidR="00DD7DD2" w:rsidRDefault="00DD7DD2" w:rsidP="001D4B80">
      <w:pPr>
        <w:pStyle w:val="Odstavecseseznamem"/>
        <w:numPr>
          <w:ilvl w:val="0"/>
          <w:numId w:val="19"/>
        </w:numPr>
      </w:pPr>
      <w:r>
        <w:t xml:space="preserve">Implementace </w:t>
      </w:r>
      <w:r w:rsidR="00531019">
        <w:t xml:space="preserve">závěrů </w:t>
      </w:r>
      <w:r>
        <w:t>usnesení vlády č. 610 ze dne 4. září 2017</w:t>
      </w:r>
      <w:r w:rsidR="00BE5B04">
        <w:t>.</w:t>
      </w:r>
    </w:p>
    <w:p w:rsidR="00D44A4D" w:rsidRDefault="00D44A4D" w:rsidP="001D4B80">
      <w:pPr>
        <w:pStyle w:val="Odstavecseseznamem"/>
        <w:numPr>
          <w:ilvl w:val="0"/>
          <w:numId w:val="19"/>
        </w:numPr>
      </w:pPr>
      <w:r>
        <w:t>Možnost využití případných volných prostředků hospodaření zvláštních účtů privatizace státním rozpočtem.</w:t>
      </w:r>
    </w:p>
    <w:p w:rsidR="00B72452" w:rsidRDefault="00B72452" w:rsidP="00C45BC1"/>
    <w:p w:rsidR="00B72452" w:rsidRDefault="00B72452" w:rsidP="00C45BC1"/>
    <w:p w:rsidR="00C45BC1" w:rsidRPr="00C45BC1" w:rsidRDefault="00C45BC1" w:rsidP="00C45BC1">
      <w:pPr>
        <w:pStyle w:val="Nadpis2"/>
      </w:pPr>
      <w:r>
        <w:t>Vyhodnocení nákladů a přínosů</w:t>
      </w:r>
    </w:p>
    <w:p w:rsidR="00BC5489" w:rsidRDefault="00BC5489" w:rsidP="00753B08"/>
    <w:p w:rsidR="00DD39C1" w:rsidRDefault="00E7319F" w:rsidP="005C6980">
      <w:pPr>
        <w:pStyle w:val="Nadpis4"/>
        <w:numPr>
          <w:ilvl w:val="3"/>
          <w:numId w:val="29"/>
        </w:numPr>
        <w:ind w:left="862" w:hanging="862"/>
      </w:pPr>
      <w:r>
        <w:lastRenderedPageBreak/>
        <w:t xml:space="preserve">Hodnocení Varianty </w:t>
      </w:r>
      <w:r w:rsidR="00DD39C1">
        <w:t>0</w:t>
      </w:r>
    </w:p>
    <w:tbl>
      <w:tblPr>
        <w:tblW w:w="90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3"/>
        <w:gridCol w:w="1085"/>
        <w:gridCol w:w="1085"/>
        <w:gridCol w:w="1085"/>
        <w:gridCol w:w="2328"/>
      </w:tblGrid>
      <w:tr w:rsidR="00DD39C1" w:rsidRPr="00DD39C1" w:rsidTr="00254091">
        <w:trPr>
          <w:divId w:val="147795997"/>
          <w:trHeight w:val="315"/>
        </w:trPr>
        <w:tc>
          <w:tcPr>
            <w:tcW w:w="351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5583" w:type="dxa"/>
            <w:gridSpan w:val="4"/>
            <w:tcBorders>
              <w:top w:val="single" w:sz="18" w:space="0" w:color="auto"/>
              <w:left w:val="nil"/>
              <w:bottom w:val="single" w:sz="4" w:space="0" w:color="000000"/>
              <w:right w:val="single" w:sz="1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Dopad</w:t>
            </w:r>
          </w:p>
        </w:tc>
      </w:tr>
      <w:tr w:rsidR="00DD39C1" w:rsidRPr="00DD39C1" w:rsidTr="00254091">
        <w:trPr>
          <w:divId w:val="147795997"/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Pozitivní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Negativní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Žádný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A6A6A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Poznámka</w:t>
            </w:r>
          </w:p>
        </w:tc>
      </w:tr>
      <w:tr w:rsidR="00DD39C1" w:rsidRPr="00DD39C1" w:rsidTr="00254091">
        <w:trPr>
          <w:divId w:val="147795997"/>
          <w:trHeight w:val="1500"/>
        </w:trPr>
        <w:tc>
          <w:tcPr>
            <w:tcW w:w="35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Riziko nesolventnosti </w:t>
            </w:r>
            <w:r w:rsidR="00EB0579">
              <w:rPr>
                <w:rFonts w:eastAsia="Times New Roman" w:cs="Times New Roman"/>
                <w:color w:val="000000"/>
                <w:sz w:val="22"/>
                <w:szCs w:val="22"/>
              </w:rPr>
              <w:t>zvláštních účtů privatizace</w:t>
            </w: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 vznik následných nákladů vyplývajících z neplnění smluvně podložených závazků, jenž nelze financovat z jiných zdrojů než ze zvláštních účtů</w:t>
            </w:r>
            <w:r w:rsidR="001474E1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privatizace</w:t>
            </w:r>
          </w:p>
        </w:tc>
        <w:tc>
          <w:tcPr>
            <w:tcW w:w="108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5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7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Riziko vzniku nových požadavků na rozpočet zvláštních účtů</w:t>
            </w:r>
            <w:r w:rsidR="001474E1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privatizace</w:t>
            </w:r>
          </w:p>
        </w:tc>
      </w:tr>
      <w:tr w:rsidR="00DD39C1" w:rsidRPr="00DD39C1" w:rsidTr="00254091">
        <w:trPr>
          <w:divId w:val="147795997"/>
          <w:trHeight w:val="369"/>
        </w:trPr>
        <w:tc>
          <w:tcPr>
            <w:tcW w:w="3513" w:type="dxa"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Plnění cílů dle usnesení vlády č. 610 ze dne 4. září 2017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D39C1" w:rsidRPr="00DD39C1" w:rsidTr="00254091">
        <w:trPr>
          <w:divId w:val="147795997"/>
          <w:trHeight w:val="300"/>
        </w:trPr>
        <w:tc>
          <w:tcPr>
            <w:tcW w:w="3513" w:type="dxa"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Reflexe aktuálních skutečností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D39C1" w:rsidRPr="00DD39C1" w:rsidTr="00254091">
        <w:trPr>
          <w:divId w:val="147795997"/>
          <w:trHeight w:val="300"/>
        </w:trPr>
        <w:tc>
          <w:tcPr>
            <w:tcW w:w="3513" w:type="dxa"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Procesy finančních toků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Bude zachován stávající stav</w:t>
            </w:r>
          </w:p>
        </w:tc>
      </w:tr>
      <w:tr w:rsidR="00DD39C1" w:rsidRPr="00DD39C1" w:rsidTr="00254091">
        <w:trPr>
          <w:divId w:val="147795997"/>
          <w:trHeight w:val="315"/>
        </w:trPr>
        <w:tc>
          <w:tcPr>
            <w:tcW w:w="3513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Implementace varianty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D39C1" w:rsidRPr="00DD39C1" w:rsidRDefault="00DD39C1" w:rsidP="00DD39C1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DD39C1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2533CB" w:rsidRDefault="002533CB" w:rsidP="00753B08"/>
    <w:p w:rsidR="00A56A79" w:rsidRDefault="00A56A79" w:rsidP="00753B08"/>
    <w:p w:rsidR="00A56A79" w:rsidRDefault="00A56A79" w:rsidP="00753B08"/>
    <w:p w:rsidR="00F64199" w:rsidRDefault="00F64199" w:rsidP="00753B08"/>
    <w:p w:rsidR="00F64199" w:rsidRDefault="00F64199" w:rsidP="00753B08"/>
    <w:p w:rsidR="00F64199" w:rsidRDefault="00F64199" w:rsidP="00753B08"/>
    <w:p w:rsidR="00E7319F" w:rsidRDefault="00E7319F" w:rsidP="005C6980">
      <w:pPr>
        <w:pStyle w:val="Nadpis4"/>
        <w:numPr>
          <w:ilvl w:val="3"/>
          <w:numId w:val="29"/>
        </w:numPr>
        <w:ind w:left="862" w:hanging="862"/>
      </w:pPr>
      <w:r>
        <w:t>Hodnocení Varianty 1</w:t>
      </w:r>
    </w:p>
    <w:tbl>
      <w:tblPr>
        <w:tblW w:w="91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1087"/>
        <w:gridCol w:w="1087"/>
        <w:gridCol w:w="1087"/>
        <w:gridCol w:w="2329"/>
      </w:tblGrid>
      <w:tr w:rsidR="00E7319F" w:rsidRPr="00E7319F" w:rsidTr="00367B93">
        <w:trPr>
          <w:divId w:val="1755085700"/>
          <w:trHeight w:val="312"/>
          <w:tblHeader/>
        </w:trPr>
        <w:tc>
          <w:tcPr>
            <w:tcW w:w="351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5590" w:type="dxa"/>
            <w:gridSpan w:val="4"/>
            <w:tcBorders>
              <w:top w:val="single" w:sz="18" w:space="0" w:color="auto"/>
              <w:left w:val="nil"/>
              <w:bottom w:val="single" w:sz="4" w:space="0" w:color="000000"/>
              <w:right w:val="single" w:sz="1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Dopad</w:t>
            </w:r>
          </w:p>
        </w:tc>
      </w:tr>
      <w:tr w:rsidR="00E7319F" w:rsidRPr="00E7319F" w:rsidTr="00367B93">
        <w:trPr>
          <w:divId w:val="1755085700"/>
          <w:trHeight w:val="312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Pozitivní 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 xml:space="preserve">Negativní 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Žádný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Poznámka</w:t>
            </w:r>
          </w:p>
        </w:tc>
      </w:tr>
      <w:tr w:rsidR="00E7319F" w:rsidRPr="00E7319F" w:rsidTr="00254091">
        <w:trPr>
          <w:divId w:val="1755085700"/>
          <w:trHeight w:val="1486"/>
        </w:trPr>
        <w:tc>
          <w:tcPr>
            <w:tcW w:w="35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Riziko nesolventnosti </w:t>
            </w:r>
            <w:r w:rsidR="00EB0579">
              <w:rPr>
                <w:rFonts w:eastAsia="Times New Roman" w:cs="Times New Roman"/>
                <w:color w:val="000000"/>
                <w:sz w:val="22"/>
                <w:szCs w:val="22"/>
              </w:rPr>
              <w:t>zvláštních účtů privatizace</w:t>
            </w: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 vznik následných nákladů vyplývajících z neplnění smluvně podložených závazků, jenž nelze financovat z jiných zdrojů než ze zvláštních účtů</w:t>
            </w:r>
            <w:r w:rsidR="001474E1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privatizace</w:t>
            </w:r>
          </w:p>
        </w:tc>
        <w:tc>
          <w:tcPr>
            <w:tcW w:w="108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7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7319F" w:rsidRPr="00E7319F" w:rsidTr="00254091">
        <w:trPr>
          <w:divId w:val="1755085700"/>
          <w:trHeight w:val="386"/>
        </w:trPr>
        <w:tc>
          <w:tcPr>
            <w:tcW w:w="3517" w:type="dxa"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Plnění cílů dle usnesení vlády č. 610 ze dne 4. září 2017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7319F" w:rsidRPr="00E7319F" w:rsidTr="00254091">
        <w:trPr>
          <w:divId w:val="1755085700"/>
          <w:trHeight w:val="892"/>
        </w:trPr>
        <w:tc>
          <w:tcPr>
            <w:tcW w:w="3517" w:type="dxa"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Reflexe aktuálních skutečností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Zákon bude aktualizován dle skutečných potřeb </w:t>
            </w:r>
            <w:r w:rsidR="00EB0579">
              <w:rPr>
                <w:rFonts w:eastAsia="Times New Roman" w:cs="Times New Roman"/>
                <w:color w:val="000000"/>
                <w:sz w:val="22"/>
                <w:szCs w:val="22"/>
              </w:rPr>
              <w:t>zvláštních účtů privatizace</w:t>
            </w:r>
          </w:p>
        </w:tc>
      </w:tr>
      <w:tr w:rsidR="00E7319F" w:rsidRPr="00E7319F" w:rsidTr="00254091">
        <w:trPr>
          <w:divId w:val="1755085700"/>
          <w:trHeight w:val="297"/>
        </w:trPr>
        <w:tc>
          <w:tcPr>
            <w:tcW w:w="3517" w:type="dxa"/>
            <w:tcBorders>
              <w:top w:val="nil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Procesy finančních toků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7319F" w:rsidRPr="00E7319F" w:rsidTr="00254091">
        <w:trPr>
          <w:divId w:val="1755085700"/>
          <w:trHeight w:val="312"/>
        </w:trPr>
        <w:tc>
          <w:tcPr>
            <w:tcW w:w="3517" w:type="dxa"/>
            <w:tcBorders>
              <w:top w:val="nil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Implementace varianty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319F" w:rsidRPr="00E7319F" w:rsidRDefault="00E7319F" w:rsidP="00E7319F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319F" w:rsidRPr="00E7319F" w:rsidRDefault="00E7319F" w:rsidP="00E7319F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E7319F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DD39C1" w:rsidRDefault="00DD39C1" w:rsidP="00753B08"/>
    <w:p w:rsidR="00DD39C1" w:rsidRDefault="00DD39C1" w:rsidP="00753B08"/>
    <w:p w:rsidR="00EF5EC2" w:rsidRDefault="00BC5489" w:rsidP="0099366E">
      <w:pPr>
        <w:pStyle w:val="Nadpis1"/>
      </w:pPr>
      <w:r>
        <w:t>Stanovení pořadí variant a výběr nejvhodnějšího řešení</w:t>
      </w:r>
    </w:p>
    <w:p w:rsidR="00EF5EC2" w:rsidRDefault="00EF5EC2" w:rsidP="00753B08"/>
    <w:p w:rsidR="00EF5EC2" w:rsidRDefault="00FB28A2" w:rsidP="00753B08">
      <w:r>
        <w:t xml:space="preserve">Na základě hodnocení variant </w:t>
      </w:r>
      <w:r w:rsidR="003460C8">
        <w:t>byla vybrána varianta 1</w:t>
      </w:r>
      <w:r w:rsidR="00E5368F">
        <w:t xml:space="preserve"> - Komplexní novela zákona č.</w:t>
      </w:r>
      <w:r w:rsidR="001D4B80">
        <w:t> </w:t>
      </w:r>
      <w:r w:rsidR="00E5368F">
        <w:t>178/2005 Sb., o zrušení Fondu národního majetku</w:t>
      </w:r>
      <w:r w:rsidR="007F63A2">
        <w:t>,</w:t>
      </w:r>
      <w:r w:rsidR="00E5368F">
        <w:t xml:space="preserve"> </w:t>
      </w:r>
      <w:r w:rsidR="00C45BC1">
        <w:t xml:space="preserve">a to z důvodu </w:t>
      </w:r>
      <w:r w:rsidR="00E7319F">
        <w:t>jednoznačné výhodnosti navrhovaného řešení před ponecháním zákona ve stávajícím stavu.</w:t>
      </w:r>
    </w:p>
    <w:p w:rsidR="00EF5EC2" w:rsidRDefault="00EF5EC2" w:rsidP="0099366E">
      <w:pPr>
        <w:pStyle w:val="Odstavecseseznamem"/>
        <w:rPr>
          <w:b/>
        </w:rPr>
      </w:pPr>
    </w:p>
    <w:p w:rsidR="00EF5EC2" w:rsidRDefault="00817798" w:rsidP="0099366E">
      <w:pPr>
        <w:pStyle w:val="Nadpis1"/>
      </w:pPr>
      <w:r w:rsidRPr="00817798">
        <w:t>Implementace doporučené varianty a vynucování</w:t>
      </w:r>
    </w:p>
    <w:p w:rsidR="00BC5489" w:rsidRDefault="00BC5489">
      <w:pPr>
        <w:rPr>
          <w:b/>
        </w:rPr>
      </w:pPr>
    </w:p>
    <w:p w:rsidR="00BC5489" w:rsidRPr="00BC5489" w:rsidRDefault="00BC5489">
      <w:r w:rsidRPr="00BC5489">
        <w:lastRenderedPageBreak/>
        <w:t>Zákon bude</w:t>
      </w:r>
      <w:r>
        <w:t xml:space="preserve"> implementován Ministerstvem financí s účinnosti od 1. 1. 2019</w:t>
      </w:r>
      <w:r w:rsidR="00BE5B04">
        <w:t>.</w:t>
      </w:r>
      <w:r w:rsidR="00415E21">
        <w:t xml:space="preserve"> </w:t>
      </w:r>
      <w:r w:rsidR="002769D2">
        <w:t>Vzhledem k charakteru novely nevznikají v rámci implementace zákona žádné nové činnosti, není potřeba žádných nových informačních systémů a dotčen</w:t>
      </w:r>
      <w:r w:rsidR="007F63A2">
        <w:t xml:space="preserve">ým </w:t>
      </w:r>
      <w:r w:rsidR="002769D2">
        <w:t>subjekt</w:t>
      </w:r>
      <w:r w:rsidR="007F63A2">
        <w:t xml:space="preserve">ům </w:t>
      </w:r>
      <w:r w:rsidR="002769D2">
        <w:t>nevznikají žádné nároky.</w:t>
      </w:r>
      <w:r w:rsidR="00531019">
        <w:t xml:space="preserve"> </w:t>
      </w:r>
      <w:r w:rsidR="007F63A2">
        <w:t>I</w:t>
      </w:r>
      <w:r w:rsidR="00531019">
        <w:t>mplementací novely nevznikají žádné náklady</w:t>
      </w:r>
      <w:r w:rsidR="00BF4E34">
        <w:t>.</w:t>
      </w:r>
    </w:p>
    <w:p w:rsidR="00817798" w:rsidRDefault="00817798">
      <w:pPr>
        <w:rPr>
          <w:b/>
        </w:rPr>
      </w:pPr>
    </w:p>
    <w:p w:rsidR="001D4B80" w:rsidRDefault="001D4B80">
      <w:pPr>
        <w:rPr>
          <w:b/>
        </w:rPr>
      </w:pPr>
    </w:p>
    <w:p w:rsidR="00817798" w:rsidRDefault="00817798" w:rsidP="0099366E">
      <w:pPr>
        <w:pStyle w:val="Nadpis1"/>
      </w:pPr>
      <w:r w:rsidRPr="00817798">
        <w:t>Přezkum účinnosti regulace</w:t>
      </w:r>
    </w:p>
    <w:p w:rsidR="00817798" w:rsidRDefault="00817798">
      <w:pPr>
        <w:rPr>
          <w:b/>
        </w:rPr>
      </w:pPr>
    </w:p>
    <w:p w:rsidR="00817798" w:rsidRDefault="00415E21">
      <w:r>
        <w:t>Účinnost zákona bude pravidelně</w:t>
      </w:r>
      <w:r w:rsidR="00BC5489">
        <w:t xml:space="preserve"> kontrolován</w:t>
      </w:r>
      <w:r>
        <w:t>a</w:t>
      </w:r>
      <w:r w:rsidR="00BC5489">
        <w:t xml:space="preserve"> Ministerstvem financí</w:t>
      </w:r>
      <w:r w:rsidR="00F03BA0">
        <w:t xml:space="preserve"> jakožto spravujícím útvarem </w:t>
      </w:r>
      <w:r w:rsidR="00EB0579">
        <w:t>zvláštních účtů privatizace</w:t>
      </w:r>
      <w:r w:rsidR="00BC5489">
        <w:t>.</w:t>
      </w:r>
    </w:p>
    <w:p w:rsidR="003460C8" w:rsidRDefault="003460C8" w:rsidP="00997D33"/>
    <w:p w:rsidR="003460C8" w:rsidRPr="00997D33" w:rsidRDefault="003460C8" w:rsidP="00997D33"/>
    <w:p w:rsidR="00D878F0" w:rsidRDefault="0015118C" w:rsidP="00D878F0">
      <w:pPr>
        <w:pStyle w:val="Nadpis1"/>
      </w:pPr>
      <w:r>
        <w:t>Vyhodnocení dopadů</w:t>
      </w:r>
    </w:p>
    <w:p w:rsidR="0015118C" w:rsidRDefault="0015118C" w:rsidP="0015118C"/>
    <w:p w:rsidR="0015118C" w:rsidRPr="002600A9" w:rsidRDefault="0015118C" w:rsidP="0015118C">
      <w:pPr>
        <w:pStyle w:val="Nadpis2"/>
      </w:pPr>
      <w:r w:rsidRPr="002600A9">
        <w:t xml:space="preserve">Zhodnocení </w:t>
      </w:r>
      <w:r>
        <w:t xml:space="preserve">souladu navrhované právní úpravy s </w:t>
      </w:r>
      <w:r w:rsidRPr="002600A9">
        <w:t>ústavním pořádkem České republiky.</w:t>
      </w:r>
    </w:p>
    <w:p w:rsidR="0015118C" w:rsidRDefault="0015118C" w:rsidP="0015118C"/>
    <w:p w:rsidR="00910ECB" w:rsidRDefault="00910ECB" w:rsidP="0015118C"/>
    <w:p w:rsidR="0015118C" w:rsidRDefault="0015118C" w:rsidP="0015118C">
      <w:r>
        <w:t>Návrh překládané novely je v souladu s ústavním pořádkem České republiky, zejména s</w:t>
      </w:r>
      <w:r w:rsidR="00061471">
        <w:t>e čl. 11</w:t>
      </w:r>
      <w:r>
        <w:t> Listin</w:t>
      </w:r>
      <w:r w:rsidR="00061471">
        <w:t>y</w:t>
      </w:r>
      <w:r>
        <w:t xml:space="preserve"> základních práv a svobod.</w:t>
      </w:r>
    </w:p>
    <w:p w:rsidR="00211696" w:rsidRDefault="00211696" w:rsidP="0015118C"/>
    <w:p w:rsidR="0015118C" w:rsidRPr="004213F3" w:rsidRDefault="0015118C" w:rsidP="0015118C">
      <w:pPr>
        <w:pStyle w:val="Nadpis2"/>
      </w:pPr>
      <w:r w:rsidRPr="004213F3">
        <w:t>Zhodnocení slučitelnosti navrhované právní úpravy s </w:t>
      </w:r>
      <w:r>
        <w:t>právem</w:t>
      </w:r>
      <w:r w:rsidRPr="004213F3">
        <w:t xml:space="preserve"> Evropské unie </w:t>
      </w:r>
    </w:p>
    <w:p w:rsidR="0015118C" w:rsidRDefault="0015118C" w:rsidP="0015118C"/>
    <w:p w:rsidR="0015118C" w:rsidRDefault="0015118C" w:rsidP="0015118C">
      <w:r>
        <w:t>Návrh překládané novely se netýká práva Evropské unie, judikatur</w:t>
      </w:r>
      <w:r w:rsidR="007F63A2">
        <w:t>y</w:t>
      </w:r>
      <w:r>
        <w:t xml:space="preserve"> Evropské unie nebo obecných zásad práva Evropské unie.</w:t>
      </w:r>
    </w:p>
    <w:p w:rsidR="0015118C" w:rsidRDefault="0015118C" w:rsidP="0015118C"/>
    <w:p w:rsidR="0015118C" w:rsidRDefault="0015118C" w:rsidP="0015118C">
      <w:pPr>
        <w:pStyle w:val="Nadpis2"/>
      </w:pPr>
      <w:r w:rsidRPr="00341CA6">
        <w:t>Zhodnocení souladu navrhované právní úpravy s předpisy s</w:t>
      </w:r>
      <w:r w:rsidR="00BE5B04">
        <w:t> </w:t>
      </w:r>
      <w:r w:rsidRPr="00341CA6">
        <w:t xml:space="preserve">mezinárodními smlouvami, jimiž je Česká republika vázána </w:t>
      </w:r>
    </w:p>
    <w:p w:rsidR="0015118C" w:rsidRDefault="0015118C" w:rsidP="0015118C"/>
    <w:p w:rsidR="0015118C" w:rsidRDefault="0015118C" w:rsidP="0015118C">
      <w:r>
        <w:t>Návrh překládané novely nemá žádný vztah k mezinárodním smlouvám, j</w:t>
      </w:r>
      <w:r w:rsidRPr="00BA6D2C">
        <w:t>imiž je Česká republika vázána</w:t>
      </w:r>
      <w:r>
        <w:t>.</w:t>
      </w:r>
    </w:p>
    <w:p w:rsidR="0015118C" w:rsidRDefault="0015118C" w:rsidP="0015118C"/>
    <w:p w:rsidR="0015118C" w:rsidRDefault="0015118C" w:rsidP="0015118C"/>
    <w:p w:rsidR="0015118C" w:rsidRPr="00B4150C" w:rsidRDefault="0015118C" w:rsidP="0015118C">
      <w:pPr>
        <w:pStyle w:val="Nadpis2"/>
      </w:pPr>
      <w:r>
        <w:t>P</w:t>
      </w:r>
      <w:r w:rsidRPr="00B4150C">
        <w:t>ředpokládaný hospodářský a finanční dopad navrhované právní úpravy na státní rozpočet, ostatní veřejné rozpočty, na podnikatelské prostředí České republiky, sociální dopady, včetně dopadů na rodiny</w:t>
      </w:r>
      <w:r w:rsidR="007F63A2">
        <w:t xml:space="preserve"> </w:t>
      </w:r>
      <w:r w:rsidRPr="00B4150C">
        <w:t>a</w:t>
      </w:r>
      <w:r w:rsidR="007F63A2">
        <w:t> </w:t>
      </w:r>
      <w:r w:rsidRPr="00B4150C">
        <w:t>dopadů na specifické skupiny obyvatel, zejména osoby sociálně slabé, osoby se zdravotním postižením a národnostní menšiny</w:t>
      </w:r>
      <w:r>
        <w:t>, a dopady na životní prostředí</w:t>
      </w:r>
    </w:p>
    <w:p w:rsidR="00910ECB" w:rsidRDefault="00910ECB" w:rsidP="0015118C"/>
    <w:p w:rsidR="00B911BB" w:rsidRDefault="00402B64" w:rsidP="00F64199">
      <w:pPr>
        <w:pStyle w:val="Nadpis3"/>
      </w:pPr>
      <w:r>
        <w:t>Dopady na státní rozpočet</w:t>
      </w:r>
      <w:r w:rsidR="002D15F6">
        <w:t xml:space="preserve"> a ostatní veřejné rozpočty</w:t>
      </w:r>
    </w:p>
    <w:p w:rsidR="008E1501" w:rsidRDefault="008E1501" w:rsidP="0015118C"/>
    <w:p w:rsidR="008E1501" w:rsidRDefault="008E1501" w:rsidP="0015118C">
      <w:r>
        <w:lastRenderedPageBreak/>
        <w:t xml:space="preserve">Předkládaná novela bude mít dopady do státního rozpočtu jak pozitivního tak negativního </w:t>
      </w:r>
      <w:r w:rsidR="00582129">
        <w:t>charakteru</w:t>
      </w:r>
      <w:r>
        <w:t>.</w:t>
      </w:r>
    </w:p>
    <w:p w:rsidR="002D15F6" w:rsidRDefault="002D15F6" w:rsidP="0015118C"/>
    <w:p w:rsidR="00807F09" w:rsidRPr="00D671E6" w:rsidRDefault="00807F09" w:rsidP="0015118C">
      <w:pPr>
        <w:rPr>
          <w:u w:val="single"/>
        </w:rPr>
      </w:pPr>
      <w:r w:rsidRPr="00D671E6">
        <w:rPr>
          <w:u w:val="single"/>
        </w:rPr>
        <w:t>Pozitivní dopady</w:t>
      </w:r>
      <w:r w:rsidR="00136FDC" w:rsidRPr="00D671E6">
        <w:rPr>
          <w:u w:val="single"/>
        </w:rPr>
        <w:t>:</w:t>
      </w:r>
    </w:p>
    <w:p w:rsidR="00781BF1" w:rsidRPr="00F64199" w:rsidRDefault="00807F09">
      <w:pPr>
        <w:rPr>
          <w:b/>
        </w:rPr>
      </w:pPr>
      <w:r w:rsidRPr="00F64199">
        <w:rPr>
          <w:b/>
        </w:rPr>
        <w:t>Usnadnění převodu do státního rozpočtu</w:t>
      </w:r>
    </w:p>
    <w:p w:rsidR="00781BF1" w:rsidRDefault="00781BF1">
      <w:r>
        <w:t xml:space="preserve">Uvolněním podmínek pro převod do státního rozpočtu, bude umožněno každoročně čerpání cca 10 mld. </w:t>
      </w:r>
      <w:r w:rsidR="00E35A43">
        <w:t>Kč. Výše částky bude záležet na výši inkasovaných dividend, množství privatizovaného majetku a výši předpokládaných privatizačních výdajů.</w:t>
      </w:r>
    </w:p>
    <w:p w:rsidR="00807F09" w:rsidRDefault="00807F09" w:rsidP="0015118C"/>
    <w:p w:rsidR="00402B64" w:rsidRPr="00D671E6" w:rsidRDefault="00807F09" w:rsidP="0015118C">
      <w:pPr>
        <w:rPr>
          <w:u w:val="single"/>
        </w:rPr>
      </w:pPr>
      <w:r w:rsidRPr="00D671E6">
        <w:rPr>
          <w:u w:val="single"/>
        </w:rPr>
        <w:t>Negativní</w:t>
      </w:r>
      <w:r w:rsidR="00136FDC" w:rsidRPr="00D671E6">
        <w:rPr>
          <w:u w:val="single"/>
        </w:rPr>
        <w:t xml:space="preserve"> dopady:</w:t>
      </w:r>
    </w:p>
    <w:p w:rsidR="00402B64" w:rsidRDefault="00402B64">
      <w:r w:rsidRPr="00F64199">
        <w:rPr>
          <w:b/>
        </w:rPr>
        <w:t>Umožnění čerpání příjmů ze státního rozpočtu dle § 4 zákona</w:t>
      </w:r>
      <w:r>
        <w:t xml:space="preserve"> Financování ze státního rozpočtu, bude užito jen v krajně naléhavých případech, kdy již nebude existovat jiná možnost jak financovat výdaje dle § 5 odst. </w:t>
      </w:r>
      <w:r w:rsidR="00582129">
        <w:t>3 zákona č. 178/2005 Sb</w:t>
      </w:r>
      <w:r>
        <w:t>. Z tohoto důvodu nelze určit</w:t>
      </w:r>
      <w:r w:rsidR="00807F09">
        <w:t xml:space="preserve"> četnost ani výši případného dopadu. </w:t>
      </w:r>
      <w:r>
        <w:t xml:space="preserve">Výše případného převodu bude vysoce odvislá na druhu výdaje, výši výdaje a stavu zbytkových prostředků na bankovních účtech. </w:t>
      </w:r>
    </w:p>
    <w:p w:rsidR="00807F09" w:rsidRDefault="00807F09"/>
    <w:p w:rsidR="00807F09" w:rsidRDefault="00807F09">
      <w:r>
        <w:t>Vládní výdaje rušené tímto zákonem nepředstavují negativní dopady vzniklé přijetím zákona</w:t>
      </w:r>
      <w:r w:rsidR="00582129">
        <w:t>,</w:t>
      </w:r>
      <w:r>
        <w:t xml:space="preserve"> neboť již byly zrušeny dřívějšími rozhodnutími vlády, zákon tato rozhodnutí pouze legislativně podchycuje.</w:t>
      </w:r>
    </w:p>
    <w:p w:rsidR="00807F09" w:rsidRDefault="00807F09"/>
    <w:p w:rsidR="00136FDC" w:rsidRDefault="00136FDC" w:rsidP="00F64199">
      <w:pPr>
        <w:pStyle w:val="Nadpis3"/>
      </w:pPr>
      <w:r w:rsidRPr="00136FDC">
        <w:t xml:space="preserve">sociální dopady, včetně dopadů na rodiny a dopadů na specifické skupiny obyvatel, zejména osoby sociálně slabé, osoby se zdravotním postižením </w:t>
      </w:r>
      <w:r w:rsidR="00227DAF">
        <w:br/>
      </w:r>
      <w:r w:rsidRPr="00136FDC">
        <w:t>a národnostní menšiny, a dopady na životní prostředí</w:t>
      </w:r>
    </w:p>
    <w:p w:rsidR="00136FDC" w:rsidRDefault="00136FDC" w:rsidP="0015118C"/>
    <w:p w:rsidR="00EF07CE" w:rsidRDefault="00EF07CE" w:rsidP="0015118C">
      <w:r>
        <w:t>Jelikož má novela pouze ekonomický charakter, zavedením novely nevznikají žádné sociální dopady</w:t>
      </w:r>
      <w:r w:rsidR="00FC0688">
        <w:t>,</w:t>
      </w:r>
      <w:r>
        <w:t xml:space="preserve"> ani nijak nediskriminuje jakékoliv skupiny osob.</w:t>
      </w:r>
    </w:p>
    <w:p w:rsidR="006032BD" w:rsidRDefault="006032BD" w:rsidP="0015118C"/>
    <w:p w:rsidR="002552B3" w:rsidRDefault="002552B3" w:rsidP="0015118C">
      <w:r>
        <w:t>Návrh předkládané</w:t>
      </w:r>
      <w:r w:rsidR="00CE7EA9">
        <w:t xml:space="preserve"> tedy</w:t>
      </w:r>
      <w:r>
        <w:t xml:space="preserve"> novely nemá žádný </w:t>
      </w:r>
      <w:r w:rsidR="00CE7EA9">
        <w:t>přímý předpokládaný</w:t>
      </w:r>
      <w:r w:rsidRPr="002552B3">
        <w:t xml:space="preserve"> hospodářský </w:t>
      </w:r>
      <w:r w:rsidR="008B2B45">
        <w:t xml:space="preserve">finanční dopad </w:t>
      </w:r>
      <w:r w:rsidRPr="002552B3">
        <w:t xml:space="preserve">na státní rozpočet, ostatní veřejné rozpočty, na podnikatelské prostředí České republiky, </w:t>
      </w:r>
      <w:r w:rsidR="00FC0688">
        <w:t xml:space="preserve">nemá </w:t>
      </w:r>
      <w:r w:rsidRPr="002552B3">
        <w:t>sociální dopady, včetně dopadů na rodiny a dopadů na specifické skupiny obyvatel, zejména osoby sociálně slabé, osoby se zdravotním p</w:t>
      </w:r>
      <w:r w:rsidR="00211696">
        <w:t>ostižením a národnostní menšiny</w:t>
      </w:r>
      <w:r w:rsidR="00FC0688">
        <w:t xml:space="preserve">; rovněž nemá </w:t>
      </w:r>
      <w:r w:rsidRPr="002552B3">
        <w:t>dopady na životní prostředí</w:t>
      </w:r>
      <w:r w:rsidR="00997D33">
        <w:t>.</w:t>
      </w:r>
    </w:p>
    <w:p w:rsidR="002552B3" w:rsidRDefault="002552B3" w:rsidP="0015118C"/>
    <w:p w:rsidR="0015118C" w:rsidRPr="000A75F6" w:rsidRDefault="00FC0688" w:rsidP="0015118C">
      <w:pPr>
        <w:pStyle w:val="Nadpis2"/>
      </w:pPr>
      <w:r>
        <w:t>Z</w:t>
      </w:r>
      <w:r w:rsidR="0015118C" w:rsidRPr="000A75F6">
        <w:t>hodnocení dopadů navrhovaného řešení ve vztahu k ochraně soukromí</w:t>
      </w:r>
      <w:r w:rsidR="00BE5B04">
        <w:t xml:space="preserve"> </w:t>
      </w:r>
      <w:r w:rsidR="0015118C" w:rsidRPr="000A75F6">
        <w:t>a osobních údajů</w:t>
      </w:r>
    </w:p>
    <w:p w:rsidR="00351C0A" w:rsidRDefault="00351C0A" w:rsidP="0015118C"/>
    <w:p w:rsidR="0015118C" w:rsidRDefault="00A12BE7" w:rsidP="0015118C">
      <w:r w:rsidRPr="00A12BE7">
        <w:t xml:space="preserve">Navrhovaná právní úprava neobsahuje žádná ustanovení, která by </w:t>
      </w:r>
      <w:r>
        <w:t>vedla k porušování ochrany soukromí či měla jakýkoliv dopad na ochranu osobních údajů</w:t>
      </w:r>
      <w:r w:rsidR="00211696">
        <w:t>.</w:t>
      </w:r>
    </w:p>
    <w:p w:rsidR="00211696" w:rsidRPr="00211696" w:rsidRDefault="00211696" w:rsidP="00211696"/>
    <w:p w:rsidR="0015118C" w:rsidRPr="000A75F6" w:rsidRDefault="0015118C" w:rsidP="0015118C">
      <w:pPr>
        <w:pStyle w:val="Nadpis2"/>
      </w:pPr>
      <w:r>
        <w:t>Zhodnocení korupčních rizik</w:t>
      </w:r>
    </w:p>
    <w:p w:rsidR="0015118C" w:rsidRDefault="0015118C" w:rsidP="0015118C"/>
    <w:p w:rsidR="00211696" w:rsidRDefault="00A12BE7" w:rsidP="0015118C">
      <w:r w:rsidRPr="00A12BE7">
        <w:t>Předkládaný návrh zákona nezvyšuje oproti dosavadní právní úpravě korupční rizika, neboť podstata navrhované právní úpravy je takového charakteru, který by neměl mít na korupci jako takovou negativní vliv.</w:t>
      </w:r>
    </w:p>
    <w:p w:rsidR="00211696" w:rsidRDefault="00211696" w:rsidP="0015118C"/>
    <w:p w:rsidR="0015118C" w:rsidRDefault="00A12BE7" w:rsidP="0015118C">
      <w:r w:rsidRPr="00A12BE7">
        <w:t>Vzhledem k obsahu právní úpravy tak nebyla shledána žádná rizika, která by mohla vést ke korupčnímu jednání.</w:t>
      </w:r>
    </w:p>
    <w:p w:rsidR="00A12BE7" w:rsidRDefault="00A12BE7" w:rsidP="0015118C"/>
    <w:p w:rsidR="0015118C" w:rsidRPr="000A75F6" w:rsidRDefault="0015118C" w:rsidP="0015118C">
      <w:pPr>
        <w:pStyle w:val="Nadpis2"/>
      </w:pPr>
      <w:r>
        <w:lastRenderedPageBreak/>
        <w:t>Z</w:t>
      </w:r>
      <w:r w:rsidRPr="000A75F6">
        <w:t>hodnocení dopadů na bezpečnost nebo obranu státu</w:t>
      </w:r>
    </w:p>
    <w:p w:rsidR="0015118C" w:rsidRDefault="0015118C" w:rsidP="0015118C"/>
    <w:p w:rsidR="001A589F" w:rsidRDefault="00531019" w:rsidP="0015118C">
      <w:r>
        <w:t>Náplní zákona č. 178/2005 Sb.</w:t>
      </w:r>
      <w:r w:rsidR="001A589F">
        <w:t xml:space="preserve"> nikdy nebyly prvky, které by měly </w:t>
      </w:r>
      <w:r w:rsidR="00917C38">
        <w:t xml:space="preserve">jakoukoliv vazbu na </w:t>
      </w:r>
      <w:r w:rsidR="001A589F">
        <w:t xml:space="preserve">bezpečnosti </w:t>
      </w:r>
      <w:r w:rsidR="00917C38">
        <w:t>nebo obran</w:t>
      </w:r>
      <w:r w:rsidR="001A589F">
        <w:t>u státu.</w:t>
      </w:r>
    </w:p>
    <w:p w:rsidR="008B2B45" w:rsidRDefault="008B2B45" w:rsidP="0015118C"/>
    <w:p w:rsidR="0015118C" w:rsidRDefault="0015118C" w:rsidP="0015118C">
      <w:r>
        <w:t xml:space="preserve">Návrh překládané novely </w:t>
      </w:r>
      <w:r w:rsidR="008B2B45">
        <w:t xml:space="preserve">tedy </w:t>
      </w:r>
      <w:r>
        <w:t xml:space="preserve">nemá žádný dopad na bezpečnost a obranu státu. </w:t>
      </w:r>
    </w:p>
    <w:p w:rsidR="0015118C" w:rsidRDefault="0015118C" w:rsidP="0015118C"/>
    <w:p w:rsidR="00817798" w:rsidRDefault="00817798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A56A79" w:rsidRDefault="00A56A79">
      <w:pPr>
        <w:rPr>
          <w:b/>
        </w:rPr>
      </w:pPr>
    </w:p>
    <w:p w:rsidR="00817798" w:rsidRPr="0099366E" w:rsidRDefault="00817798" w:rsidP="0099366E">
      <w:pPr>
        <w:pStyle w:val="Nadpis1"/>
        <w:rPr>
          <w:b w:val="0"/>
          <w:bCs w:val="0"/>
        </w:rPr>
      </w:pPr>
      <w:r w:rsidRPr="0099366E">
        <w:t>Konzultace a zdroje dat</w:t>
      </w:r>
    </w:p>
    <w:p w:rsidR="001A589F" w:rsidRDefault="001A589F" w:rsidP="00817798">
      <w:pPr>
        <w:rPr>
          <w:b/>
        </w:rPr>
      </w:pPr>
    </w:p>
    <w:p w:rsidR="00211696" w:rsidRDefault="00211696" w:rsidP="00817798">
      <w:pPr>
        <w:rPr>
          <w:b/>
        </w:rPr>
      </w:pPr>
    </w:p>
    <w:p w:rsidR="00A95CFA" w:rsidRDefault="00A95CFA" w:rsidP="00817798">
      <w:pPr>
        <w:rPr>
          <w:b/>
        </w:rPr>
      </w:pPr>
      <w:r>
        <w:rPr>
          <w:b/>
        </w:rPr>
        <w:t>Konzultace</w:t>
      </w:r>
    </w:p>
    <w:p w:rsidR="00A95CFA" w:rsidRPr="00A95CFA" w:rsidRDefault="00A95CFA" w:rsidP="00817798">
      <w:r w:rsidRPr="00A95CFA">
        <w:t>Ministerstvo kultury</w:t>
      </w:r>
    </w:p>
    <w:p w:rsidR="00A95CFA" w:rsidRPr="00A95CFA" w:rsidRDefault="00A95CFA" w:rsidP="00817798">
      <w:r w:rsidRPr="00A95CFA">
        <w:t>Ministerstvo průmyslu a obchodu</w:t>
      </w:r>
    </w:p>
    <w:p w:rsidR="00A95CFA" w:rsidRDefault="00A95CFA" w:rsidP="00817798">
      <w:pPr>
        <w:rPr>
          <w:b/>
        </w:rPr>
      </w:pPr>
    </w:p>
    <w:p w:rsidR="00531019" w:rsidRDefault="00BC5489" w:rsidP="00817798">
      <w:pPr>
        <w:rPr>
          <w:b/>
        </w:rPr>
      </w:pPr>
      <w:r>
        <w:rPr>
          <w:b/>
        </w:rPr>
        <w:t>Zdroje dat:</w:t>
      </w:r>
    </w:p>
    <w:p w:rsidR="00BC5489" w:rsidRDefault="00BC5489" w:rsidP="00817798">
      <w:r>
        <w:t>Koncepce stabilizace finančního stavu zvláštních účtů privatizace</w:t>
      </w:r>
    </w:p>
    <w:p w:rsidR="00BC5489" w:rsidRDefault="00BC5489" w:rsidP="00817798">
      <w:r>
        <w:t>Usnesení vlády č. 610 ze dne 4. září 2017</w:t>
      </w:r>
    </w:p>
    <w:p w:rsidR="00817798" w:rsidRPr="002533CB" w:rsidRDefault="00BC5489" w:rsidP="00E71862">
      <w:pPr>
        <w:rPr>
          <w:rFonts w:ascii="Arial" w:eastAsiaTheme="minorEastAsia" w:hAnsi="Arial" w:cs="Arial"/>
          <w:noProof/>
          <w:sz w:val="20"/>
          <w:szCs w:val="20"/>
        </w:rPr>
      </w:pPr>
      <w:r>
        <w:t>Usnesení vlády č. 780 ze dne 31. srpna 2016</w:t>
      </w:r>
    </w:p>
    <w:sectPr w:rsidR="00817798" w:rsidRPr="002533C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893" w:rsidRDefault="00F44893" w:rsidP="00005C40">
      <w:r>
        <w:separator/>
      </w:r>
    </w:p>
  </w:endnote>
  <w:endnote w:type="continuationSeparator" w:id="0">
    <w:p w:rsidR="00F44893" w:rsidRDefault="00F44893" w:rsidP="0000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5719316"/>
      <w:docPartObj>
        <w:docPartGallery w:val="Page Numbers (Bottom of Page)"/>
        <w:docPartUnique/>
      </w:docPartObj>
    </w:sdtPr>
    <w:sdtEndPr/>
    <w:sdtContent>
      <w:p w:rsidR="00F44893" w:rsidRDefault="00F4489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4AA">
          <w:rPr>
            <w:noProof/>
          </w:rPr>
          <w:t>1</w:t>
        </w:r>
        <w:r>
          <w:fldChar w:fldCharType="end"/>
        </w:r>
      </w:p>
    </w:sdtContent>
  </w:sdt>
  <w:p w:rsidR="00F44893" w:rsidRDefault="00F448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893" w:rsidRDefault="00F44893" w:rsidP="00005C40">
      <w:r>
        <w:separator/>
      </w:r>
    </w:p>
  </w:footnote>
  <w:footnote w:type="continuationSeparator" w:id="0">
    <w:p w:rsidR="00F44893" w:rsidRDefault="00F44893" w:rsidP="00005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32DC"/>
    <w:multiLevelType w:val="multilevel"/>
    <w:tmpl w:val="3670BF8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Tabulka č. %4:"/>
      <w:lvlJc w:val="left"/>
      <w:pPr>
        <w:ind w:left="2281" w:hanging="864"/>
      </w:pPr>
      <w:rPr>
        <w:rFonts w:ascii="Times New Roman" w:hAnsi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Graf č. %5.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0ADE1F61"/>
    <w:multiLevelType w:val="hybridMultilevel"/>
    <w:tmpl w:val="D5D87E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2FE3"/>
    <w:multiLevelType w:val="hybridMultilevel"/>
    <w:tmpl w:val="A7DC3E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9839D4"/>
    <w:multiLevelType w:val="hybridMultilevel"/>
    <w:tmpl w:val="036226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0376C"/>
    <w:multiLevelType w:val="hybridMultilevel"/>
    <w:tmpl w:val="BAAABD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7A76D5"/>
    <w:multiLevelType w:val="hybridMultilevel"/>
    <w:tmpl w:val="8474F2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E7661"/>
    <w:multiLevelType w:val="hybridMultilevel"/>
    <w:tmpl w:val="61D839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1C251A"/>
    <w:multiLevelType w:val="hybridMultilevel"/>
    <w:tmpl w:val="9CE8E50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F03C4"/>
    <w:multiLevelType w:val="hybridMultilevel"/>
    <w:tmpl w:val="358213D0"/>
    <w:lvl w:ilvl="0" w:tplc="B9A2E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8D104B"/>
    <w:multiLevelType w:val="hybridMultilevel"/>
    <w:tmpl w:val="0F42C0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6C27"/>
    <w:multiLevelType w:val="hybridMultilevel"/>
    <w:tmpl w:val="D92611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F54546"/>
    <w:multiLevelType w:val="hybridMultilevel"/>
    <w:tmpl w:val="B4DA8F02"/>
    <w:lvl w:ilvl="0" w:tplc="E6E8D1BC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0F7C76"/>
    <w:multiLevelType w:val="hybridMultilevel"/>
    <w:tmpl w:val="425416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60B33"/>
    <w:multiLevelType w:val="hybridMultilevel"/>
    <w:tmpl w:val="523888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831DE"/>
    <w:multiLevelType w:val="hybridMultilevel"/>
    <w:tmpl w:val="7D8009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92F0E"/>
    <w:multiLevelType w:val="hybridMultilevel"/>
    <w:tmpl w:val="A84AC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34BB4"/>
    <w:multiLevelType w:val="hybridMultilevel"/>
    <w:tmpl w:val="518E10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71FA4"/>
    <w:multiLevelType w:val="hybridMultilevel"/>
    <w:tmpl w:val="6498A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CD75CD"/>
    <w:multiLevelType w:val="hybridMultilevel"/>
    <w:tmpl w:val="DF566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857EDB"/>
    <w:multiLevelType w:val="hybridMultilevel"/>
    <w:tmpl w:val="2B0E46EC"/>
    <w:lvl w:ilvl="0" w:tplc="1B8AF4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62E14"/>
    <w:multiLevelType w:val="hybridMultilevel"/>
    <w:tmpl w:val="927E72C2"/>
    <w:lvl w:ilvl="0" w:tplc="1182F1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E0E98"/>
    <w:multiLevelType w:val="hybridMultilevel"/>
    <w:tmpl w:val="89A876F0"/>
    <w:lvl w:ilvl="0" w:tplc="EF16D50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21"/>
  </w:num>
  <w:num w:numId="5">
    <w:abstractNumId w:val="7"/>
  </w:num>
  <w:num w:numId="6">
    <w:abstractNumId w:val="11"/>
  </w:num>
  <w:num w:numId="7">
    <w:abstractNumId w:val="12"/>
  </w:num>
  <w:num w:numId="8">
    <w:abstractNumId w:val="15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3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"/>
  </w:num>
  <w:num w:numId="15">
    <w:abstractNumId w:val="13"/>
  </w:num>
  <w:num w:numId="16">
    <w:abstractNumId w:val="6"/>
  </w:num>
  <w:num w:numId="17">
    <w:abstractNumId w:val="4"/>
  </w:num>
  <w:num w:numId="18">
    <w:abstractNumId w:val="10"/>
  </w:num>
  <w:num w:numId="19">
    <w:abstractNumId w:val="2"/>
  </w:num>
  <w:num w:numId="20">
    <w:abstractNumId w:val="14"/>
  </w:num>
  <w:num w:numId="21">
    <w:abstractNumId w:val="8"/>
  </w:num>
  <w:num w:numId="22">
    <w:abstractNumId w:val="0"/>
  </w:num>
  <w:num w:numId="23">
    <w:abstractNumId w:val="5"/>
  </w:num>
  <w:num w:numId="24">
    <w:abstractNumId w:val="20"/>
  </w:num>
  <w:num w:numId="25">
    <w:abstractNumId w:val="19"/>
  </w:num>
  <w:num w:numId="26">
    <w:abstractNumId w:val="0"/>
  </w:num>
  <w:num w:numId="27">
    <w:abstractNumId w:val="0"/>
  </w:num>
  <w:num w:numId="28">
    <w:abstractNumId w:val="0"/>
  </w:num>
  <w:num w:numId="29">
    <w:abstractNumId w:val="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3D"/>
    <w:rsid w:val="00005C40"/>
    <w:rsid w:val="00006BAC"/>
    <w:rsid w:val="0002172D"/>
    <w:rsid w:val="00035C82"/>
    <w:rsid w:val="00035EAF"/>
    <w:rsid w:val="00041FC8"/>
    <w:rsid w:val="000434E7"/>
    <w:rsid w:val="00047D93"/>
    <w:rsid w:val="000603C0"/>
    <w:rsid w:val="00061471"/>
    <w:rsid w:val="00065093"/>
    <w:rsid w:val="00065B14"/>
    <w:rsid w:val="00072371"/>
    <w:rsid w:val="000774A9"/>
    <w:rsid w:val="000C0D9C"/>
    <w:rsid w:val="000C47C3"/>
    <w:rsid w:val="000D215D"/>
    <w:rsid w:val="000E1B54"/>
    <w:rsid w:val="000E49FA"/>
    <w:rsid w:val="000E5B2F"/>
    <w:rsid w:val="00101168"/>
    <w:rsid w:val="00101407"/>
    <w:rsid w:val="00106E1C"/>
    <w:rsid w:val="00107723"/>
    <w:rsid w:val="00107917"/>
    <w:rsid w:val="00112345"/>
    <w:rsid w:val="00131D95"/>
    <w:rsid w:val="00136FDC"/>
    <w:rsid w:val="001474E1"/>
    <w:rsid w:val="0015118C"/>
    <w:rsid w:val="0015217A"/>
    <w:rsid w:val="001541BD"/>
    <w:rsid w:val="00172B7F"/>
    <w:rsid w:val="0017603B"/>
    <w:rsid w:val="00180CBD"/>
    <w:rsid w:val="00183202"/>
    <w:rsid w:val="00183797"/>
    <w:rsid w:val="00186A0A"/>
    <w:rsid w:val="001938F8"/>
    <w:rsid w:val="001A0274"/>
    <w:rsid w:val="001A589F"/>
    <w:rsid w:val="001A6D71"/>
    <w:rsid w:val="001B15EB"/>
    <w:rsid w:val="001B367E"/>
    <w:rsid w:val="001B5A25"/>
    <w:rsid w:val="001C229D"/>
    <w:rsid w:val="001C234D"/>
    <w:rsid w:val="001D19B6"/>
    <w:rsid w:val="001D4B80"/>
    <w:rsid w:val="001F5AAC"/>
    <w:rsid w:val="001F62AB"/>
    <w:rsid w:val="00201C7B"/>
    <w:rsid w:val="002078DD"/>
    <w:rsid w:val="00207FB0"/>
    <w:rsid w:val="00211696"/>
    <w:rsid w:val="002122B8"/>
    <w:rsid w:val="0021457E"/>
    <w:rsid w:val="0021641C"/>
    <w:rsid w:val="00227DAF"/>
    <w:rsid w:val="002409B7"/>
    <w:rsid w:val="00251385"/>
    <w:rsid w:val="00251C1F"/>
    <w:rsid w:val="002533CB"/>
    <w:rsid w:val="00254091"/>
    <w:rsid w:val="002552B3"/>
    <w:rsid w:val="00266CBB"/>
    <w:rsid w:val="00267D54"/>
    <w:rsid w:val="00270712"/>
    <w:rsid w:val="00270D1F"/>
    <w:rsid w:val="0027201B"/>
    <w:rsid w:val="00276422"/>
    <w:rsid w:val="002769D2"/>
    <w:rsid w:val="00285981"/>
    <w:rsid w:val="0028617C"/>
    <w:rsid w:val="002879DC"/>
    <w:rsid w:val="0029391D"/>
    <w:rsid w:val="002B7D45"/>
    <w:rsid w:val="002B7E78"/>
    <w:rsid w:val="002C5E75"/>
    <w:rsid w:val="002D15F6"/>
    <w:rsid w:val="002D4B57"/>
    <w:rsid w:val="002F2BF9"/>
    <w:rsid w:val="00301276"/>
    <w:rsid w:val="00312813"/>
    <w:rsid w:val="00320959"/>
    <w:rsid w:val="00326B37"/>
    <w:rsid w:val="00331A86"/>
    <w:rsid w:val="00343B6B"/>
    <w:rsid w:val="003460C8"/>
    <w:rsid w:val="0034770E"/>
    <w:rsid w:val="00351C0A"/>
    <w:rsid w:val="00352347"/>
    <w:rsid w:val="003607D6"/>
    <w:rsid w:val="00360D7B"/>
    <w:rsid w:val="00367B93"/>
    <w:rsid w:val="00371EC2"/>
    <w:rsid w:val="00374101"/>
    <w:rsid w:val="0037471A"/>
    <w:rsid w:val="00384A3B"/>
    <w:rsid w:val="003B083D"/>
    <w:rsid w:val="003B1014"/>
    <w:rsid w:val="003B207B"/>
    <w:rsid w:val="003B24ED"/>
    <w:rsid w:val="003B4F43"/>
    <w:rsid w:val="003B6202"/>
    <w:rsid w:val="003B65D4"/>
    <w:rsid w:val="003C3932"/>
    <w:rsid w:val="003D2A19"/>
    <w:rsid w:val="003D6989"/>
    <w:rsid w:val="003D7185"/>
    <w:rsid w:val="003E000A"/>
    <w:rsid w:val="003E03BF"/>
    <w:rsid w:val="003E63A5"/>
    <w:rsid w:val="003F6797"/>
    <w:rsid w:val="003F76C2"/>
    <w:rsid w:val="00400BCC"/>
    <w:rsid w:val="00402B64"/>
    <w:rsid w:val="00415E21"/>
    <w:rsid w:val="00426FD8"/>
    <w:rsid w:val="00432C83"/>
    <w:rsid w:val="00435EBE"/>
    <w:rsid w:val="0044612A"/>
    <w:rsid w:val="00453E57"/>
    <w:rsid w:val="004549EA"/>
    <w:rsid w:val="0045755F"/>
    <w:rsid w:val="00463CF2"/>
    <w:rsid w:val="0046404C"/>
    <w:rsid w:val="00465793"/>
    <w:rsid w:val="0048476A"/>
    <w:rsid w:val="00496573"/>
    <w:rsid w:val="00496B60"/>
    <w:rsid w:val="0049726C"/>
    <w:rsid w:val="004A10A7"/>
    <w:rsid w:val="004A68CB"/>
    <w:rsid w:val="004B18E5"/>
    <w:rsid w:val="004C6697"/>
    <w:rsid w:val="004E3B9F"/>
    <w:rsid w:val="004F30AA"/>
    <w:rsid w:val="00506D2A"/>
    <w:rsid w:val="005154D9"/>
    <w:rsid w:val="00516516"/>
    <w:rsid w:val="00531019"/>
    <w:rsid w:val="00543F25"/>
    <w:rsid w:val="00544412"/>
    <w:rsid w:val="005452D0"/>
    <w:rsid w:val="005573F1"/>
    <w:rsid w:val="00563DBD"/>
    <w:rsid w:val="005760F9"/>
    <w:rsid w:val="00582129"/>
    <w:rsid w:val="005975C1"/>
    <w:rsid w:val="005A12A2"/>
    <w:rsid w:val="005A2B6D"/>
    <w:rsid w:val="005A59B9"/>
    <w:rsid w:val="005B4A5B"/>
    <w:rsid w:val="005C34E0"/>
    <w:rsid w:val="005C6980"/>
    <w:rsid w:val="005D5869"/>
    <w:rsid w:val="005E04BA"/>
    <w:rsid w:val="005E1753"/>
    <w:rsid w:val="005F272E"/>
    <w:rsid w:val="005F5CB3"/>
    <w:rsid w:val="006032BD"/>
    <w:rsid w:val="0061300B"/>
    <w:rsid w:val="00622410"/>
    <w:rsid w:val="0062269F"/>
    <w:rsid w:val="0062309C"/>
    <w:rsid w:val="006235A6"/>
    <w:rsid w:val="0062362A"/>
    <w:rsid w:val="00625287"/>
    <w:rsid w:val="0063680E"/>
    <w:rsid w:val="00647716"/>
    <w:rsid w:val="00647DF6"/>
    <w:rsid w:val="00650C3F"/>
    <w:rsid w:val="006574E4"/>
    <w:rsid w:val="00663349"/>
    <w:rsid w:val="0066457A"/>
    <w:rsid w:val="00670056"/>
    <w:rsid w:val="006702D0"/>
    <w:rsid w:val="00671874"/>
    <w:rsid w:val="0067224E"/>
    <w:rsid w:val="00673D48"/>
    <w:rsid w:val="00694ED6"/>
    <w:rsid w:val="006A1994"/>
    <w:rsid w:val="006B596D"/>
    <w:rsid w:val="006B6B13"/>
    <w:rsid w:val="006D09A7"/>
    <w:rsid w:val="006D0EDC"/>
    <w:rsid w:val="006D14C5"/>
    <w:rsid w:val="006E16C4"/>
    <w:rsid w:val="006E2175"/>
    <w:rsid w:val="006E6D92"/>
    <w:rsid w:val="006F12B5"/>
    <w:rsid w:val="006F14D6"/>
    <w:rsid w:val="007000CB"/>
    <w:rsid w:val="00703E1A"/>
    <w:rsid w:val="00705C2A"/>
    <w:rsid w:val="00712B4C"/>
    <w:rsid w:val="007130DA"/>
    <w:rsid w:val="0072110C"/>
    <w:rsid w:val="00727AE6"/>
    <w:rsid w:val="00733082"/>
    <w:rsid w:val="007365A3"/>
    <w:rsid w:val="00741FF9"/>
    <w:rsid w:val="007532B0"/>
    <w:rsid w:val="00753B08"/>
    <w:rsid w:val="00753FFA"/>
    <w:rsid w:val="007569BF"/>
    <w:rsid w:val="007570EE"/>
    <w:rsid w:val="0077691E"/>
    <w:rsid w:val="00781BF1"/>
    <w:rsid w:val="00782139"/>
    <w:rsid w:val="0078488A"/>
    <w:rsid w:val="00785945"/>
    <w:rsid w:val="0078612F"/>
    <w:rsid w:val="007865CF"/>
    <w:rsid w:val="0079508E"/>
    <w:rsid w:val="007A0499"/>
    <w:rsid w:val="007A20C5"/>
    <w:rsid w:val="007A45FB"/>
    <w:rsid w:val="007B0BEA"/>
    <w:rsid w:val="007C30D0"/>
    <w:rsid w:val="007C672C"/>
    <w:rsid w:val="007C7850"/>
    <w:rsid w:val="007D19D7"/>
    <w:rsid w:val="007F14A7"/>
    <w:rsid w:val="007F63A2"/>
    <w:rsid w:val="007F6941"/>
    <w:rsid w:val="00807F09"/>
    <w:rsid w:val="008128A4"/>
    <w:rsid w:val="00817798"/>
    <w:rsid w:val="0084113E"/>
    <w:rsid w:val="00842DD0"/>
    <w:rsid w:val="00862F8A"/>
    <w:rsid w:val="00872DA7"/>
    <w:rsid w:val="00873C37"/>
    <w:rsid w:val="00875038"/>
    <w:rsid w:val="00880B33"/>
    <w:rsid w:val="008832C1"/>
    <w:rsid w:val="00883F14"/>
    <w:rsid w:val="00890799"/>
    <w:rsid w:val="008B0A42"/>
    <w:rsid w:val="008B2B45"/>
    <w:rsid w:val="008D1762"/>
    <w:rsid w:val="008D6365"/>
    <w:rsid w:val="008E1501"/>
    <w:rsid w:val="008E728F"/>
    <w:rsid w:val="008F4A34"/>
    <w:rsid w:val="009004DB"/>
    <w:rsid w:val="00900587"/>
    <w:rsid w:val="00910ECB"/>
    <w:rsid w:val="00911271"/>
    <w:rsid w:val="009127FC"/>
    <w:rsid w:val="009133FE"/>
    <w:rsid w:val="00917088"/>
    <w:rsid w:val="00917C38"/>
    <w:rsid w:val="00923B97"/>
    <w:rsid w:val="00925978"/>
    <w:rsid w:val="0092780D"/>
    <w:rsid w:val="0093063B"/>
    <w:rsid w:val="00934661"/>
    <w:rsid w:val="00940934"/>
    <w:rsid w:val="009506EF"/>
    <w:rsid w:val="0095370A"/>
    <w:rsid w:val="0095552C"/>
    <w:rsid w:val="00956A17"/>
    <w:rsid w:val="009716ED"/>
    <w:rsid w:val="00973753"/>
    <w:rsid w:val="00976DB6"/>
    <w:rsid w:val="0097786C"/>
    <w:rsid w:val="0098430E"/>
    <w:rsid w:val="0099366E"/>
    <w:rsid w:val="00997D33"/>
    <w:rsid w:val="009A3E4C"/>
    <w:rsid w:val="009B5B42"/>
    <w:rsid w:val="009B7AFC"/>
    <w:rsid w:val="009C6735"/>
    <w:rsid w:val="009D0998"/>
    <w:rsid w:val="009D5B1A"/>
    <w:rsid w:val="009D798D"/>
    <w:rsid w:val="009E39FD"/>
    <w:rsid w:val="009E794C"/>
    <w:rsid w:val="009E7F43"/>
    <w:rsid w:val="009F04A3"/>
    <w:rsid w:val="009F3634"/>
    <w:rsid w:val="009F5153"/>
    <w:rsid w:val="009F7E09"/>
    <w:rsid w:val="00A12BE7"/>
    <w:rsid w:val="00A2198D"/>
    <w:rsid w:val="00A26BE4"/>
    <w:rsid w:val="00A32892"/>
    <w:rsid w:val="00A357A0"/>
    <w:rsid w:val="00A37A8C"/>
    <w:rsid w:val="00A40BD6"/>
    <w:rsid w:val="00A4616E"/>
    <w:rsid w:val="00A52238"/>
    <w:rsid w:val="00A55512"/>
    <w:rsid w:val="00A56A79"/>
    <w:rsid w:val="00A6042B"/>
    <w:rsid w:val="00A70EBB"/>
    <w:rsid w:val="00A80E4F"/>
    <w:rsid w:val="00A94D90"/>
    <w:rsid w:val="00A94E9A"/>
    <w:rsid w:val="00A95CFA"/>
    <w:rsid w:val="00AB73E5"/>
    <w:rsid w:val="00AD2615"/>
    <w:rsid w:val="00AD2D7E"/>
    <w:rsid w:val="00AD335F"/>
    <w:rsid w:val="00AE00DE"/>
    <w:rsid w:val="00B03944"/>
    <w:rsid w:val="00B05D63"/>
    <w:rsid w:val="00B10FAB"/>
    <w:rsid w:val="00B24F01"/>
    <w:rsid w:val="00B34E6A"/>
    <w:rsid w:val="00B34F11"/>
    <w:rsid w:val="00B377CB"/>
    <w:rsid w:val="00B416BA"/>
    <w:rsid w:val="00B53DDC"/>
    <w:rsid w:val="00B565B6"/>
    <w:rsid w:val="00B6323D"/>
    <w:rsid w:val="00B70AA6"/>
    <w:rsid w:val="00B72452"/>
    <w:rsid w:val="00B7524B"/>
    <w:rsid w:val="00B77E25"/>
    <w:rsid w:val="00B77EEC"/>
    <w:rsid w:val="00B80693"/>
    <w:rsid w:val="00B83C54"/>
    <w:rsid w:val="00B911BB"/>
    <w:rsid w:val="00B923B7"/>
    <w:rsid w:val="00BA15B4"/>
    <w:rsid w:val="00BA2D4B"/>
    <w:rsid w:val="00BA374A"/>
    <w:rsid w:val="00BB1A9D"/>
    <w:rsid w:val="00BC1919"/>
    <w:rsid w:val="00BC1BBE"/>
    <w:rsid w:val="00BC49CC"/>
    <w:rsid w:val="00BC5489"/>
    <w:rsid w:val="00BE3188"/>
    <w:rsid w:val="00BE59BC"/>
    <w:rsid w:val="00BE5B04"/>
    <w:rsid w:val="00BF1AEA"/>
    <w:rsid w:val="00BF3F90"/>
    <w:rsid w:val="00BF4E34"/>
    <w:rsid w:val="00C14A3C"/>
    <w:rsid w:val="00C1607C"/>
    <w:rsid w:val="00C16AA8"/>
    <w:rsid w:val="00C212DC"/>
    <w:rsid w:val="00C2376D"/>
    <w:rsid w:val="00C45243"/>
    <w:rsid w:val="00C45BC1"/>
    <w:rsid w:val="00C50CE6"/>
    <w:rsid w:val="00C53568"/>
    <w:rsid w:val="00C6173B"/>
    <w:rsid w:val="00C7412E"/>
    <w:rsid w:val="00C92A5F"/>
    <w:rsid w:val="00CC45CF"/>
    <w:rsid w:val="00CD5FBD"/>
    <w:rsid w:val="00CD62DF"/>
    <w:rsid w:val="00CE7EA9"/>
    <w:rsid w:val="00CF7CCF"/>
    <w:rsid w:val="00D11C7C"/>
    <w:rsid w:val="00D14041"/>
    <w:rsid w:val="00D1524C"/>
    <w:rsid w:val="00D15CBB"/>
    <w:rsid w:val="00D354C3"/>
    <w:rsid w:val="00D37145"/>
    <w:rsid w:val="00D37200"/>
    <w:rsid w:val="00D44A4D"/>
    <w:rsid w:val="00D44C25"/>
    <w:rsid w:val="00D54613"/>
    <w:rsid w:val="00D54D92"/>
    <w:rsid w:val="00D56AF1"/>
    <w:rsid w:val="00D6297B"/>
    <w:rsid w:val="00D671E6"/>
    <w:rsid w:val="00D73A7D"/>
    <w:rsid w:val="00D757B7"/>
    <w:rsid w:val="00D7797F"/>
    <w:rsid w:val="00D83282"/>
    <w:rsid w:val="00D8582D"/>
    <w:rsid w:val="00D878F0"/>
    <w:rsid w:val="00D94781"/>
    <w:rsid w:val="00DB3039"/>
    <w:rsid w:val="00DB5FF1"/>
    <w:rsid w:val="00DC5F43"/>
    <w:rsid w:val="00DD1C9A"/>
    <w:rsid w:val="00DD39C1"/>
    <w:rsid w:val="00DD5BB3"/>
    <w:rsid w:val="00DD6712"/>
    <w:rsid w:val="00DD7DD2"/>
    <w:rsid w:val="00DE6EF5"/>
    <w:rsid w:val="00E054AA"/>
    <w:rsid w:val="00E101A5"/>
    <w:rsid w:val="00E10344"/>
    <w:rsid w:val="00E1482E"/>
    <w:rsid w:val="00E162D8"/>
    <w:rsid w:val="00E35A43"/>
    <w:rsid w:val="00E3779D"/>
    <w:rsid w:val="00E4727C"/>
    <w:rsid w:val="00E5368F"/>
    <w:rsid w:val="00E55282"/>
    <w:rsid w:val="00E565BF"/>
    <w:rsid w:val="00E61212"/>
    <w:rsid w:val="00E63A9A"/>
    <w:rsid w:val="00E66A13"/>
    <w:rsid w:val="00E702DC"/>
    <w:rsid w:val="00E71862"/>
    <w:rsid w:val="00E7319F"/>
    <w:rsid w:val="00E83760"/>
    <w:rsid w:val="00E8454E"/>
    <w:rsid w:val="00E8594D"/>
    <w:rsid w:val="00E92828"/>
    <w:rsid w:val="00E93F89"/>
    <w:rsid w:val="00E95F0D"/>
    <w:rsid w:val="00EA1542"/>
    <w:rsid w:val="00EA26C4"/>
    <w:rsid w:val="00EB0579"/>
    <w:rsid w:val="00EB7523"/>
    <w:rsid w:val="00EC5DB5"/>
    <w:rsid w:val="00EC612F"/>
    <w:rsid w:val="00EC653C"/>
    <w:rsid w:val="00EC7B90"/>
    <w:rsid w:val="00ED392E"/>
    <w:rsid w:val="00ED5578"/>
    <w:rsid w:val="00EE21F6"/>
    <w:rsid w:val="00EE3841"/>
    <w:rsid w:val="00EE3BE3"/>
    <w:rsid w:val="00EE6D22"/>
    <w:rsid w:val="00EF07CE"/>
    <w:rsid w:val="00EF1E78"/>
    <w:rsid w:val="00EF5EC2"/>
    <w:rsid w:val="00F03BA0"/>
    <w:rsid w:val="00F0463E"/>
    <w:rsid w:val="00F04F85"/>
    <w:rsid w:val="00F05827"/>
    <w:rsid w:val="00F15E8A"/>
    <w:rsid w:val="00F17EB5"/>
    <w:rsid w:val="00F22608"/>
    <w:rsid w:val="00F23698"/>
    <w:rsid w:val="00F268E0"/>
    <w:rsid w:val="00F31939"/>
    <w:rsid w:val="00F34A92"/>
    <w:rsid w:val="00F41354"/>
    <w:rsid w:val="00F425C5"/>
    <w:rsid w:val="00F44893"/>
    <w:rsid w:val="00F53375"/>
    <w:rsid w:val="00F533D2"/>
    <w:rsid w:val="00F576B7"/>
    <w:rsid w:val="00F62C23"/>
    <w:rsid w:val="00F64199"/>
    <w:rsid w:val="00F6524E"/>
    <w:rsid w:val="00F73307"/>
    <w:rsid w:val="00F86694"/>
    <w:rsid w:val="00F942C6"/>
    <w:rsid w:val="00F95569"/>
    <w:rsid w:val="00FB2729"/>
    <w:rsid w:val="00FB28A2"/>
    <w:rsid w:val="00FC0688"/>
    <w:rsid w:val="00FC11B4"/>
    <w:rsid w:val="00FC247F"/>
    <w:rsid w:val="00FC38E7"/>
    <w:rsid w:val="00FC4316"/>
    <w:rsid w:val="00FC4EC7"/>
    <w:rsid w:val="00FD03FD"/>
    <w:rsid w:val="00FD3079"/>
    <w:rsid w:val="00FD3FAF"/>
    <w:rsid w:val="00FD758C"/>
    <w:rsid w:val="00FD7AE1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729"/>
    <w:pPr>
      <w:spacing w:after="0" w:line="240" w:lineRule="auto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73307"/>
    <w:pPr>
      <w:keepNext/>
      <w:numPr>
        <w:numId w:val="9"/>
      </w:numPr>
      <w:outlineLvl w:val="0"/>
    </w:pPr>
    <w:rPr>
      <w:rFonts w:eastAsia="Calibri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2B7F"/>
    <w:pPr>
      <w:keepNext/>
      <w:numPr>
        <w:ilvl w:val="1"/>
        <w:numId w:val="9"/>
      </w:numPr>
      <w:spacing w:before="240" w:after="60"/>
      <w:outlineLvl w:val="1"/>
    </w:pPr>
    <w:rPr>
      <w:rFonts w:eastAsia="Calibri" w:cs="Times New Roman"/>
      <w:b/>
      <w:bCs/>
      <w:iCs/>
      <w:sz w:val="28"/>
      <w:szCs w:val="28"/>
    </w:rPr>
  </w:style>
  <w:style w:type="paragraph" w:styleId="Nadpis3">
    <w:name w:val="heading 3"/>
    <w:aliases w:val="Příloha"/>
    <w:basedOn w:val="Normln"/>
    <w:next w:val="Normln"/>
    <w:link w:val="Nadpis3Char"/>
    <w:uiPriority w:val="99"/>
    <w:qFormat/>
    <w:rsid w:val="00973753"/>
    <w:pPr>
      <w:keepNext/>
      <w:numPr>
        <w:ilvl w:val="2"/>
        <w:numId w:val="9"/>
      </w:numPr>
      <w:outlineLvl w:val="2"/>
    </w:pPr>
    <w:rPr>
      <w:rFonts w:eastAsia="Calibri" w:cs="Times New Roman"/>
      <w:b/>
      <w:szCs w:val="20"/>
    </w:rPr>
  </w:style>
  <w:style w:type="paragraph" w:styleId="Nadpis4">
    <w:name w:val="heading 4"/>
    <w:aliases w:val="Tabulka"/>
    <w:basedOn w:val="Normln"/>
    <w:next w:val="Normln"/>
    <w:link w:val="Nadpis4Char"/>
    <w:uiPriority w:val="99"/>
    <w:qFormat/>
    <w:rsid w:val="00F73307"/>
    <w:pPr>
      <w:keepNext/>
      <w:numPr>
        <w:ilvl w:val="3"/>
        <w:numId w:val="9"/>
      </w:numPr>
      <w:outlineLvl w:val="3"/>
    </w:pPr>
    <w:rPr>
      <w:rFonts w:eastAsia="Calibri" w:cs="Times New Roman"/>
      <w:bCs/>
      <w:szCs w:val="28"/>
    </w:rPr>
  </w:style>
  <w:style w:type="paragraph" w:styleId="Nadpis5">
    <w:name w:val="heading 5"/>
    <w:aliases w:val="Graf"/>
    <w:basedOn w:val="Normln"/>
    <w:next w:val="Normln"/>
    <w:link w:val="Nadpis5Char"/>
    <w:uiPriority w:val="99"/>
    <w:qFormat/>
    <w:rsid w:val="00F73307"/>
    <w:pPr>
      <w:numPr>
        <w:ilvl w:val="4"/>
        <w:numId w:val="9"/>
      </w:numPr>
      <w:outlineLvl w:val="4"/>
    </w:pPr>
    <w:rPr>
      <w:rFonts w:eastAsia="Calibri" w:cs="Times New Roman"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F73307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 w:cs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F73307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F73307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005C40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73307"/>
    <w:rPr>
      <w:rFonts w:ascii="Times New Roman" w:eastAsia="Calibri" w:hAnsi="Times New Roman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172B7F"/>
    <w:rPr>
      <w:rFonts w:ascii="Times New Roman" w:eastAsia="Calibri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říloha Char"/>
    <w:basedOn w:val="Standardnpsmoodstavce"/>
    <w:link w:val="Nadpis3"/>
    <w:uiPriority w:val="99"/>
    <w:rsid w:val="00973753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aliases w:val="Tabulka Char"/>
    <w:basedOn w:val="Standardnpsmoodstavce"/>
    <w:link w:val="Nadpis4"/>
    <w:uiPriority w:val="99"/>
    <w:rsid w:val="00F73307"/>
    <w:rPr>
      <w:rFonts w:ascii="Times New Roman" w:eastAsia="Calibri" w:hAnsi="Times New Roman" w:cs="Times New Roman"/>
      <w:bCs/>
      <w:sz w:val="24"/>
      <w:szCs w:val="28"/>
      <w:lang w:eastAsia="cs-CZ"/>
    </w:rPr>
  </w:style>
  <w:style w:type="character" w:customStyle="1" w:styleId="Nadpis5Char">
    <w:name w:val="Nadpis 5 Char"/>
    <w:aliases w:val="Graf Char"/>
    <w:basedOn w:val="Standardnpsmoodstavce"/>
    <w:link w:val="Nadpis5"/>
    <w:uiPriority w:val="99"/>
    <w:rsid w:val="00F73307"/>
    <w:rPr>
      <w:rFonts w:ascii="Times New Roman" w:eastAsia="Calibri" w:hAnsi="Times New Roman" w:cs="Times New Roman"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73307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73307"/>
    <w:rPr>
      <w:rFonts w:ascii="Calibri" w:eastAsia="Calibri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73307"/>
    <w:rPr>
      <w:rFonts w:ascii="Calibri" w:eastAsia="Calibri" w:hAnsi="Calibri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qFormat/>
    <w:rsid w:val="00F73307"/>
    <w:rPr>
      <w:b/>
      <w:bCs/>
    </w:rPr>
  </w:style>
  <w:style w:type="paragraph" w:styleId="Odstavecseseznamem">
    <w:name w:val="List Paragraph"/>
    <w:basedOn w:val="Normln"/>
    <w:uiPriority w:val="99"/>
    <w:qFormat/>
    <w:rsid w:val="00F73307"/>
    <w:pPr>
      <w:ind w:left="720"/>
      <w:contextualSpacing/>
    </w:pPr>
    <w:rPr>
      <w:rFonts w:eastAsia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05C40"/>
    <w:rPr>
      <w:rFonts w:eastAsia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40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005C40"/>
    <w:rPr>
      <w:rFonts w:cs="Times New Roman"/>
      <w:vertAlign w:val="superscript"/>
    </w:rPr>
  </w:style>
  <w:style w:type="character" w:customStyle="1" w:styleId="Nadpis9Char">
    <w:name w:val="Nadpis 9 Char"/>
    <w:basedOn w:val="Standardnpsmoodstavce"/>
    <w:link w:val="Nadpis9"/>
    <w:uiPriority w:val="99"/>
    <w:rsid w:val="00005C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E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EC7"/>
    <w:rPr>
      <w:rFonts w:ascii="Tahoma" w:hAnsi="Tahoma" w:cs="Tahoma"/>
      <w:sz w:val="16"/>
      <w:szCs w:val="16"/>
      <w:lang w:eastAsia="cs-CZ"/>
    </w:rPr>
  </w:style>
  <w:style w:type="character" w:customStyle="1" w:styleId="h1a6">
    <w:name w:val="h1a6"/>
    <w:basedOn w:val="Standardnpsmoodstavce"/>
    <w:rsid w:val="0044612A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Titulek">
    <w:name w:val="caption"/>
    <w:basedOn w:val="Normln"/>
    <w:next w:val="Normln"/>
    <w:uiPriority w:val="35"/>
    <w:unhideWhenUsed/>
    <w:qFormat/>
    <w:rsid w:val="001D19B6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B10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0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1014"/>
    <w:rPr>
      <w:rFonts w:ascii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0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1014"/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Dvodovzprva">
    <w:name w:val="Důvodová zpráva"/>
    <w:basedOn w:val="Normln"/>
    <w:link w:val="DvodovzprvaChar"/>
    <w:rsid w:val="00B77EEC"/>
    <w:pPr>
      <w:keepNext/>
      <w:spacing w:before="120"/>
      <w:outlineLvl w:val="0"/>
    </w:pPr>
    <w:rPr>
      <w:rFonts w:ascii="Arial" w:eastAsia="Times New Roman" w:hAnsi="Arial" w:cs="Times New Roman"/>
      <w:color w:val="0000FF"/>
      <w:szCs w:val="20"/>
    </w:rPr>
  </w:style>
  <w:style w:type="character" w:customStyle="1" w:styleId="DvodovzprvaChar">
    <w:name w:val="Důvodová zpráva Char"/>
    <w:link w:val="Dvodovzprva"/>
    <w:locked/>
    <w:rsid w:val="00B77EEC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99366E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C548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533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33CB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33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33CB"/>
    <w:rPr>
      <w:rFonts w:ascii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729"/>
    <w:pPr>
      <w:spacing w:after="0" w:line="240" w:lineRule="auto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73307"/>
    <w:pPr>
      <w:keepNext/>
      <w:numPr>
        <w:numId w:val="9"/>
      </w:numPr>
      <w:outlineLvl w:val="0"/>
    </w:pPr>
    <w:rPr>
      <w:rFonts w:eastAsia="Calibri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2B7F"/>
    <w:pPr>
      <w:keepNext/>
      <w:numPr>
        <w:ilvl w:val="1"/>
        <w:numId w:val="9"/>
      </w:numPr>
      <w:spacing w:before="240" w:after="60"/>
      <w:outlineLvl w:val="1"/>
    </w:pPr>
    <w:rPr>
      <w:rFonts w:eastAsia="Calibri" w:cs="Times New Roman"/>
      <w:b/>
      <w:bCs/>
      <w:iCs/>
      <w:sz w:val="28"/>
      <w:szCs w:val="28"/>
    </w:rPr>
  </w:style>
  <w:style w:type="paragraph" w:styleId="Nadpis3">
    <w:name w:val="heading 3"/>
    <w:aliases w:val="Příloha"/>
    <w:basedOn w:val="Normln"/>
    <w:next w:val="Normln"/>
    <w:link w:val="Nadpis3Char"/>
    <w:uiPriority w:val="99"/>
    <w:qFormat/>
    <w:rsid w:val="00973753"/>
    <w:pPr>
      <w:keepNext/>
      <w:numPr>
        <w:ilvl w:val="2"/>
        <w:numId w:val="9"/>
      </w:numPr>
      <w:outlineLvl w:val="2"/>
    </w:pPr>
    <w:rPr>
      <w:rFonts w:eastAsia="Calibri" w:cs="Times New Roman"/>
      <w:b/>
      <w:szCs w:val="20"/>
    </w:rPr>
  </w:style>
  <w:style w:type="paragraph" w:styleId="Nadpis4">
    <w:name w:val="heading 4"/>
    <w:aliases w:val="Tabulka"/>
    <w:basedOn w:val="Normln"/>
    <w:next w:val="Normln"/>
    <w:link w:val="Nadpis4Char"/>
    <w:uiPriority w:val="99"/>
    <w:qFormat/>
    <w:rsid w:val="00F73307"/>
    <w:pPr>
      <w:keepNext/>
      <w:numPr>
        <w:ilvl w:val="3"/>
        <w:numId w:val="9"/>
      </w:numPr>
      <w:outlineLvl w:val="3"/>
    </w:pPr>
    <w:rPr>
      <w:rFonts w:eastAsia="Calibri" w:cs="Times New Roman"/>
      <w:bCs/>
      <w:szCs w:val="28"/>
    </w:rPr>
  </w:style>
  <w:style w:type="paragraph" w:styleId="Nadpis5">
    <w:name w:val="heading 5"/>
    <w:aliases w:val="Graf"/>
    <w:basedOn w:val="Normln"/>
    <w:next w:val="Normln"/>
    <w:link w:val="Nadpis5Char"/>
    <w:uiPriority w:val="99"/>
    <w:qFormat/>
    <w:rsid w:val="00F73307"/>
    <w:pPr>
      <w:numPr>
        <w:ilvl w:val="4"/>
        <w:numId w:val="9"/>
      </w:numPr>
      <w:outlineLvl w:val="4"/>
    </w:pPr>
    <w:rPr>
      <w:rFonts w:eastAsia="Calibri" w:cs="Times New Roman"/>
      <w:bCs/>
      <w:iCs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F73307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 w:cs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F73307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 w:cs="Times New Roman"/>
    </w:rPr>
  </w:style>
  <w:style w:type="paragraph" w:styleId="Nadpis8">
    <w:name w:val="heading 8"/>
    <w:basedOn w:val="Normln"/>
    <w:next w:val="Normln"/>
    <w:link w:val="Nadpis8Char"/>
    <w:uiPriority w:val="99"/>
    <w:qFormat/>
    <w:rsid w:val="00F73307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 w:cs="Times New Roman"/>
      <w:i/>
      <w:iCs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005C40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73307"/>
    <w:rPr>
      <w:rFonts w:ascii="Times New Roman" w:eastAsia="Calibri" w:hAnsi="Times New Roman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172B7F"/>
    <w:rPr>
      <w:rFonts w:ascii="Times New Roman" w:eastAsia="Calibri" w:hAnsi="Times New Roman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říloha Char"/>
    <w:basedOn w:val="Standardnpsmoodstavce"/>
    <w:link w:val="Nadpis3"/>
    <w:uiPriority w:val="99"/>
    <w:rsid w:val="00973753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aliases w:val="Tabulka Char"/>
    <w:basedOn w:val="Standardnpsmoodstavce"/>
    <w:link w:val="Nadpis4"/>
    <w:uiPriority w:val="99"/>
    <w:rsid w:val="00F73307"/>
    <w:rPr>
      <w:rFonts w:ascii="Times New Roman" w:eastAsia="Calibri" w:hAnsi="Times New Roman" w:cs="Times New Roman"/>
      <w:bCs/>
      <w:sz w:val="24"/>
      <w:szCs w:val="28"/>
      <w:lang w:eastAsia="cs-CZ"/>
    </w:rPr>
  </w:style>
  <w:style w:type="character" w:customStyle="1" w:styleId="Nadpis5Char">
    <w:name w:val="Nadpis 5 Char"/>
    <w:aliases w:val="Graf Char"/>
    <w:basedOn w:val="Standardnpsmoodstavce"/>
    <w:link w:val="Nadpis5"/>
    <w:uiPriority w:val="99"/>
    <w:rsid w:val="00F73307"/>
    <w:rPr>
      <w:rFonts w:ascii="Times New Roman" w:eastAsia="Calibri" w:hAnsi="Times New Roman" w:cs="Times New Roman"/>
      <w:bCs/>
      <w:iCs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73307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73307"/>
    <w:rPr>
      <w:rFonts w:ascii="Calibri" w:eastAsia="Calibri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73307"/>
    <w:rPr>
      <w:rFonts w:ascii="Calibri" w:eastAsia="Calibri" w:hAnsi="Calibri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qFormat/>
    <w:rsid w:val="00F73307"/>
    <w:rPr>
      <w:b/>
      <w:bCs/>
    </w:rPr>
  </w:style>
  <w:style w:type="paragraph" w:styleId="Odstavecseseznamem">
    <w:name w:val="List Paragraph"/>
    <w:basedOn w:val="Normln"/>
    <w:uiPriority w:val="99"/>
    <w:qFormat/>
    <w:rsid w:val="00F73307"/>
    <w:pPr>
      <w:ind w:left="720"/>
      <w:contextualSpacing/>
    </w:pPr>
    <w:rPr>
      <w:rFonts w:eastAsia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05C40"/>
    <w:rPr>
      <w:rFonts w:eastAsia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5C40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005C40"/>
    <w:rPr>
      <w:rFonts w:cs="Times New Roman"/>
      <w:vertAlign w:val="superscript"/>
    </w:rPr>
  </w:style>
  <w:style w:type="character" w:customStyle="1" w:styleId="Nadpis9Char">
    <w:name w:val="Nadpis 9 Char"/>
    <w:basedOn w:val="Standardnpsmoodstavce"/>
    <w:link w:val="Nadpis9"/>
    <w:uiPriority w:val="99"/>
    <w:rsid w:val="00005C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E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EC7"/>
    <w:rPr>
      <w:rFonts w:ascii="Tahoma" w:hAnsi="Tahoma" w:cs="Tahoma"/>
      <w:sz w:val="16"/>
      <w:szCs w:val="16"/>
      <w:lang w:eastAsia="cs-CZ"/>
    </w:rPr>
  </w:style>
  <w:style w:type="character" w:customStyle="1" w:styleId="h1a6">
    <w:name w:val="h1a6"/>
    <w:basedOn w:val="Standardnpsmoodstavce"/>
    <w:rsid w:val="0044612A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Titulek">
    <w:name w:val="caption"/>
    <w:basedOn w:val="Normln"/>
    <w:next w:val="Normln"/>
    <w:uiPriority w:val="35"/>
    <w:unhideWhenUsed/>
    <w:qFormat/>
    <w:rsid w:val="001D19B6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B10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0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1014"/>
    <w:rPr>
      <w:rFonts w:ascii="Times New Roman" w:hAnsi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0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1014"/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Dvodovzprva">
    <w:name w:val="Důvodová zpráva"/>
    <w:basedOn w:val="Normln"/>
    <w:link w:val="DvodovzprvaChar"/>
    <w:rsid w:val="00B77EEC"/>
    <w:pPr>
      <w:keepNext/>
      <w:spacing w:before="120"/>
      <w:outlineLvl w:val="0"/>
    </w:pPr>
    <w:rPr>
      <w:rFonts w:ascii="Arial" w:eastAsia="Times New Roman" w:hAnsi="Arial" w:cs="Times New Roman"/>
      <w:color w:val="0000FF"/>
      <w:szCs w:val="20"/>
    </w:rPr>
  </w:style>
  <w:style w:type="character" w:customStyle="1" w:styleId="DvodovzprvaChar">
    <w:name w:val="Důvodová zpráva Char"/>
    <w:link w:val="Dvodovzprva"/>
    <w:locked/>
    <w:rsid w:val="00B77EEC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99366E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C548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533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33CB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33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33CB"/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2A0F8-ACE3-4E31-A0D3-7FCD5D8E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20</Pages>
  <Words>5672</Words>
  <Characters>33470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Beilner Petr Ing.</dc:creator>
  <cp:lastModifiedBy>Hrúzová Marcela Ing.</cp:lastModifiedBy>
  <cp:revision>21</cp:revision>
  <cp:lastPrinted>2018-02-27T11:31:00Z</cp:lastPrinted>
  <dcterms:created xsi:type="dcterms:W3CDTF">2017-10-18T12:12:00Z</dcterms:created>
  <dcterms:modified xsi:type="dcterms:W3CDTF">2018-03-16T09:39:00Z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-1235813030</vt:i4>
  </property>
  <property fmtid="{D5CDD505-2E9C-101B-9397-08002B2CF9AE}" pid="4" name="_EmailSubject">
    <vt:lpwstr>Vypořádání připomínek</vt:lpwstr>
  </property>
  <property fmtid="{D5CDD505-2E9C-101B-9397-08002B2CF9AE}" pid="5" name="_AuthorEmail">
    <vt:lpwstr>Ivan.Kolesar@mfcr.cz</vt:lpwstr>
  </property>
  <property fmtid="{D5CDD505-2E9C-101B-9397-08002B2CF9AE}" pid="6" name="_AuthorEmailDisplayName">
    <vt:lpwstr>Kolesár Ivan Mgr.</vt:lpwstr>
  </property>
  <property fmtid="{D5CDD505-2E9C-101B-9397-08002B2CF9AE}" pid="7" name="_ReviewingToolsShownOnce">
    <vt:lpwstr/>
  </property>
</Properties>
</file>