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F5E" w:rsidRDefault="00E43F5E" w:rsidP="003A0629">
      <w:pPr>
        <w:pStyle w:val="western"/>
        <w:spacing w:before="0"/>
        <w:rPr>
          <w:sz w:val="28"/>
          <w:szCs w:val="28"/>
        </w:rPr>
      </w:pPr>
      <w:bookmarkStart w:id="0" w:name="_GoBack"/>
      <w:bookmarkEnd w:id="0"/>
    </w:p>
    <w:p w:rsidR="003A0629" w:rsidRDefault="00794D59" w:rsidP="003A0629">
      <w:pPr>
        <w:pStyle w:val="western"/>
        <w:spacing w:before="0"/>
        <w:rPr>
          <w:sz w:val="28"/>
          <w:szCs w:val="28"/>
        </w:rPr>
      </w:pPr>
      <w:r w:rsidRPr="00761BA3">
        <w:rPr>
          <w:sz w:val="28"/>
          <w:szCs w:val="28"/>
        </w:rPr>
        <w:t xml:space="preserve">Zpráva o peticích </w:t>
      </w:r>
    </w:p>
    <w:p w:rsidR="00340472" w:rsidRPr="00046098" w:rsidRDefault="00794D59" w:rsidP="003A0629">
      <w:pPr>
        <w:pStyle w:val="western"/>
        <w:spacing w:before="0"/>
        <w:rPr>
          <w:b w:val="0"/>
          <w:sz w:val="28"/>
          <w:szCs w:val="28"/>
        </w:rPr>
      </w:pPr>
      <w:r w:rsidRPr="00046098">
        <w:rPr>
          <w:b w:val="0"/>
          <w:sz w:val="28"/>
          <w:szCs w:val="28"/>
        </w:rPr>
        <w:t>přijatých Pos</w:t>
      </w:r>
      <w:r w:rsidR="00761BA3" w:rsidRPr="00046098">
        <w:rPr>
          <w:b w:val="0"/>
          <w:sz w:val="28"/>
          <w:szCs w:val="28"/>
        </w:rPr>
        <w:t>laneckou sněmovnou Parlamentu České republiky</w:t>
      </w:r>
    </w:p>
    <w:p w:rsidR="009A3348" w:rsidRPr="003A0629" w:rsidRDefault="003A0629" w:rsidP="003A0629">
      <w:pPr>
        <w:pStyle w:val="western"/>
        <w:spacing w:before="0"/>
        <w:rPr>
          <w:b w:val="0"/>
          <w:sz w:val="28"/>
          <w:szCs w:val="28"/>
        </w:rPr>
      </w:pPr>
      <w:r w:rsidRPr="003A0629">
        <w:rPr>
          <w:b w:val="0"/>
          <w:sz w:val="28"/>
          <w:szCs w:val="28"/>
        </w:rPr>
        <w:t xml:space="preserve">v období </w:t>
      </w:r>
      <w:r w:rsidR="00927B54" w:rsidRPr="003A0629">
        <w:rPr>
          <w:b w:val="0"/>
          <w:sz w:val="28"/>
          <w:szCs w:val="28"/>
        </w:rPr>
        <w:t>od 1. 7. 2017 do 31</w:t>
      </w:r>
      <w:r w:rsidR="001E1561" w:rsidRPr="003A0629">
        <w:rPr>
          <w:b w:val="0"/>
          <w:sz w:val="28"/>
          <w:szCs w:val="28"/>
        </w:rPr>
        <w:t>.</w:t>
      </w:r>
      <w:r w:rsidR="00927B54" w:rsidRPr="003A0629">
        <w:rPr>
          <w:b w:val="0"/>
          <w:sz w:val="28"/>
          <w:szCs w:val="28"/>
        </w:rPr>
        <w:t xml:space="preserve"> 12.</w:t>
      </w:r>
      <w:r w:rsidR="001E1561" w:rsidRPr="003A0629">
        <w:rPr>
          <w:b w:val="0"/>
          <w:sz w:val="28"/>
          <w:szCs w:val="28"/>
        </w:rPr>
        <w:t xml:space="preserve"> 2017</w:t>
      </w:r>
    </w:p>
    <w:p w:rsidR="00340472" w:rsidRPr="003A0629" w:rsidRDefault="00340472" w:rsidP="003A0629">
      <w:pPr>
        <w:pStyle w:val="Normlnweb"/>
        <w:spacing w:before="0"/>
        <w:jc w:val="both"/>
        <w:rPr>
          <w:sz w:val="28"/>
          <w:szCs w:val="28"/>
        </w:rPr>
      </w:pPr>
    </w:p>
    <w:p w:rsidR="003A0629" w:rsidRPr="003A0629" w:rsidRDefault="003A0629" w:rsidP="003A0629">
      <w:pPr>
        <w:pStyle w:val="Normlnweb"/>
        <w:numPr>
          <w:ilvl w:val="0"/>
          <w:numId w:val="1"/>
        </w:numPr>
        <w:jc w:val="both"/>
        <w:rPr>
          <w:b/>
        </w:rPr>
      </w:pPr>
      <w:r w:rsidRPr="003A0629">
        <w:rPr>
          <w:b/>
        </w:rPr>
        <w:t>Počet</w:t>
      </w:r>
      <w:r w:rsidR="00046098">
        <w:rPr>
          <w:b/>
        </w:rPr>
        <w:t>,</w:t>
      </w:r>
      <w:r w:rsidRPr="003A0629">
        <w:rPr>
          <w:b/>
        </w:rPr>
        <w:t xml:space="preserve"> </w:t>
      </w:r>
      <w:r w:rsidR="00046098">
        <w:rPr>
          <w:b/>
        </w:rPr>
        <w:t xml:space="preserve">obsahové </w:t>
      </w:r>
      <w:r w:rsidRPr="003A0629">
        <w:rPr>
          <w:b/>
        </w:rPr>
        <w:t xml:space="preserve">zaměření </w:t>
      </w:r>
      <w:r w:rsidR="00046098">
        <w:rPr>
          <w:b/>
        </w:rPr>
        <w:t xml:space="preserve">a způsob vyřízení </w:t>
      </w:r>
      <w:r w:rsidRPr="003A0629">
        <w:rPr>
          <w:b/>
        </w:rPr>
        <w:t>doručených petic</w:t>
      </w:r>
    </w:p>
    <w:p w:rsidR="00027D5D" w:rsidRDefault="00794D59">
      <w:pPr>
        <w:pStyle w:val="Normlnweb"/>
        <w:jc w:val="both"/>
      </w:pPr>
      <w:r>
        <w:t>Poslanecké sněmovně Parl</w:t>
      </w:r>
      <w:r w:rsidR="00761BA3">
        <w:t>amentu České republiky (dále jen „Poslanecká sněmovna“)</w:t>
      </w:r>
      <w:r w:rsidR="00927B54">
        <w:t xml:space="preserve"> bylo v průběhu </w:t>
      </w:r>
      <w:r w:rsidR="00927B54" w:rsidRPr="00761BA3">
        <w:rPr>
          <w:b/>
        </w:rPr>
        <w:t>druhého pololetí roku 2017</w:t>
      </w:r>
      <w:r w:rsidR="00927B54">
        <w:t xml:space="preserve"> doručeno celkem </w:t>
      </w:r>
      <w:r w:rsidR="00927B54" w:rsidRPr="00761BA3">
        <w:rPr>
          <w:b/>
        </w:rPr>
        <w:t>5</w:t>
      </w:r>
      <w:r w:rsidRPr="00761BA3">
        <w:rPr>
          <w:b/>
        </w:rPr>
        <w:t xml:space="preserve"> petic</w:t>
      </w:r>
      <w:r w:rsidR="001E1561">
        <w:t>, ve kterých</w:t>
      </w:r>
      <w:r>
        <w:t xml:space="preserve"> podpořilo žádosti ve věcech veřejného nebo jiného společenského zájmu </w:t>
      </w:r>
      <w:r w:rsidR="00927B54" w:rsidRPr="00761BA3">
        <w:rPr>
          <w:b/>
        </w:rPr>
        <w:t>21 287</w:t>
      </w:r>
      <w:r w:rsidRPr="00761BA3">
        <w:rPr>
          <w:b/>
        </w:rPr>
        <w:t xml:space="preserve"> petentů</w:t>
      </w:r>
      <w:r w:rsidRPr="0024325F">
        <w:rPr>
          <w:rFonts w:ascii="Rockwell Condensed" w:hAnsi="Rockwell Condensed"/>
        </w:rPr>
        <w:t>.</w:t>
      </w:r>
    </w:p>
    <w:p w:rsidR="00BC2E8A" w:rsidRDefault="00BC2E8A" w:rsidP="00BC2E8A">
      <w:pPr>
        <w:jc w:val="both"/>
      </w:pPr>
    </w:p>
    <w:p w:rsidR="000B5A25" w:rsidRDefault="00BC2E8A" w:rsidP="000B5A25">
      <w:pPr>
        <w:jc w:val="both"/>
      </w:pPr>
      <w:r w:rsidRPr="00E43F5E">
        <w:t>Dne</w:t>
      </w:r>
      <w:r w:rsidR="009363A9" w:rsidRPr="00E43F5E">
        <w:t xml:space="preserve"> 12.</w:t>
      </w:r>
      <w:r w:rsidR="009363A9">
        <w:t xml:space="preserve"> 7.</w:t>
      </w:r>
      <w:r w:rsidR="00501BCF">
        <w:t xml:space="preserve"> </w:t>
      </w:r>
      <w:r>
        <w:t xml:space="preserve">2017 </w:t>
      </w:r>
      <w:r w:rsidR="00862BD5">
        <w:t xml:space="preserve">byla do Poslanecké sněmovny doručena </w:t>
      </w:r>
      <w:r w:rsidR="00862BD5" w:rsidRPr="000B5A25">
        <w:rPr>
          <w:b/>
        </w:rPr>
        <w:t xml:space="preserve">petice s celkem 21 040 podpisy, ve které petenti požadovali změnu </w:t>
      </w:r>
      <w:r w:rsidR="00862BD5" w:rsidRPr="000B5A25">
        <w:rPr>
          <w:rFonts w:cs="Times New Roman"/>
          <w:b/>
        </w:rPr>
        <w:t>zákona č. 65/2017 Sb.,</w:t>
      </w:r>
      <w:r w:rsidR="00862BD5" w:rsidRPr="000B5A25">
        <w:rPr>
          <w:b/>
        </w:rPr>
        <w:t xml:space="preserve"> o ochraně zdraví před škodlivými účinky návykových látek </w:t>
      </w:r>
      <w:r w:rsidR="009363A9">
        <w:rPr>
          <w:rFonts w:cs="Times New Roman"/>
          <w:b/>
        </w:rPr>
        <w:t>-</w:t>
      </w:r>
      <w:r w:rsidR="00862BD5" w:rsidRPr="000B5A25">
        <w:rPr>
          <w:rFonts w:cs="Times New Roman"/>
          <w:b/>
        </w:rPr>
        <w:t xml:space="preserve"> tzv. protikuřáckého zákona</w:t>
      </w:r>
      <w:r w:rsidR="008A009F" w:rsidRPr="000B5A25">
        <w:rPr>
          <w:rFonts w:cs="Times New Roman"/>
          <w:b/>
        </w:rPr>
        <w:t>.</w:t>
      </w:r>
      <w:r>
        <w:t xml:space="preserve"> </w:t>
      </w:r>
    </w:p>
    <w:p w:rsidR="000B5A25" w:rsidRDefault="000B5A25" w:rsidP="000B5A25">
      <w:pPr>
        <w:jc w:val="both"/>
      </w:pPr>
    </w:p>
    <w:p w:rsidR="00BC2E8A" w:rsidRDefault="00BC2E8A" w:rsidP="000B5A25">
      <w:pPr>
        <w:jc w:val="both"/>
      </w:pPr>
      <w:r>
        <w:t>Jednalo se o sněmovní tisk 828, který byl schválen velkou většinou poslanců. Pouze 23 poslanců hlasovalo proti přijetí. Zákon byl vyhlášen 3. 3. 2017 ve Sbírce zákonů v částce 21 pod číslem 65/2017 Sb.</w:t>
      </w:r>
    </w:p>
    <w:p w:rsidR="000B5A25" w:rsidRDefault="000B5A25" w:rsidP="00BC2E8A">
      <w:pPr>
        <w:jc w:val="both"/>
      </w:pPr>
    </w:p>
    <w:p w:rsidR="00BC2E8A" w:rsidRDefault="000B5A25" w:rsidP="00BC2E8A">
      <w:pPr>
        <w:jc w:val="both"/>
      </w:pPr>
      <w:r>
        <w:t>Již</w:t>
      </w:r>
      <w:r w:rsidR="00BC2E8A">
        <w:t xml:space="preserve"> v březnu 2017 byl Ústavnímu soudu předložen skupinou senátorů návrh na zrušení některých ustanovení zákona č. 65/2017 Sb., včetně předmětného ustanovení § 8 odst. 1 písm. k) ohledně zákazu kouření (s výjimkou používání vodních dýmek) ve vnitřních prostorech provozoven stravo</w:t>
      </w:r>
      <w:r w:rsidR="000308CB">
        <w:t xml:space="preserve">vacích služeb. Ústavní soud shromáždil vyjádření všech účastníků (§ 69 zák. o Ústavním soudu) a zaslal je k vyjádření advokátu skupiny senátorů. Rozhodnutí lze očekávat v nejbližších měsících. </w:t>
      </w:r>
    </w:p>
    <w:p w:rsidR="00BC2E8A" w:rsidRDefault="00BC2E8A" w:rsidP="00BC2E8A">
      <w:pPr>
        <w:jc w:val="both"/>
      </w:pPr>
    </w:p>
    <w:p w:rsidR="00BC2E8A" w:rsidRDefault="00BC2E8A" w:rsidP="00BC2E8A">
      <w:pPr>
        <w:jc w:val="both"/>
        <w:rPr>
          <w:b/>
        </w:rPr>
      </w:pPr>
      <w:r>
        <w:t xml:space="preserve">Petenti ve své petici </w:t>
      </w:r>
      <w:r w:rsidR="00501BCF">
        <w:t>uvedli</w:t>
      </w:r>
      <w:r w:rsidR="00501BCF" w:rsidRPr="00501BCF">
        <w:t xml:space="preserve"> </w:t>
      </w:r>
      <w:r w:rsidR="00501BCF">
        <w:t xml:space="preserve">jako </w:t>
      </w:r>
      <w:r w:rsidR="00501BCF" w:rsidRPr="00501BCF">
        <w:rPr>
          <w:b/>
        </w:rPr>
        <w:t xml:space="preserve">hlavní důvod </w:t>
      </w:r>
      <w:r w:rsidR="00501BCF" w:rsidRPr="00501BCF">
        <w:t>pro změnu tzv. protikuřáckého zákona</w:t>
      </w:r>
      <w:r w:rsidR="00501BCF" w:rsidRPr="00501BCF">
        <w:rPr>
          <w:b/>
        </w:rPr>
        <w:t xml:space="preserve"> neodůvodněný zásah do svobody občanů </w:t>
      </w:r>
      <w:r w:rsidR="00501BCF" w:rsidRPr="00501BCF">
        <w:t xml:space="preserve">a současně </w:t>
      </w:r>
      <w:r w:rsidRPr="00501BCF">
        <w:t>upozorňovali</w:t>
      </w:r>
      <w:r w:rsidR="00501BCF" w:rsidRPr="00501BCF">
        <w:t xml:space="preserve"> i</w:t>
      </w:r>
      <w:r w:rsidRPr="00501BCF">
        <w:rPr>
          <w:b/>
        </w:rPr>
        <w:t xml:space="preserve"> na zmaření investic tisíců majitelů barů a restaurací.   </w:t>
      </w:r>
    </w:p>
    <w:p w:rsidR="00501BCF" w:rsidRDefault="00501BCF" w:rsidP="00BC2E8A">
      <w:pPr>
        <w:jc w:val="both"/>
        <w:rPr>
          <w:b/>
        </w:rPr>
      </w:pPr>
    </w:p>
    <w:p w:rsidR="000864E1" w:rsidRPr="00501BCF" w:rsidRDefault="00501BCF">
      <w:pPr>
        <w:jc w:val="both"/>
        <w:rPr>
          <w:b/>
        </w:rPr>
      </w:pPr>
      <w:r w:rsidRPr="00501BCF">
        <w:t>Petice byla postoupena k zaujetí stanoviska</w:t>
      </w:r>
      <w:r>
        <w:rPr>
          <w:b/>
        </w:rPr>
        <w:t xml:space="preserve"> </w:t>
      </w:r>
      <w:r w:rsidR="00131810">
        <w:t>Ministerstv</w:t>
      </w:r>
      <w:r>
        <w:t>u</w:t>
      </w:r>
      <w:r w:rsidR="00131810">
        <w:t xml:space="preserve"> zdravotnictví České republiky</w:t>
      </w:r>
      <w:r w:rsidR="00E43F5E">
        <w:t xml:space="preserve">, které </w:t>
      </w:r>
      <w:r>
        <w:t>v něm uvedlo</w:t>
      </w:r>
      <w:r w:rsidR="0062588C">
        <w:t>,</w:t>
      </w:r>
      <w:r w:rsidR="008A009F">
        <w:t xml:space="preserve"> že cílem </w:t>
      </w:r>
      <w:r w:rsidR="00E41980">
        <w:t>zákona č. 65/2017 Sb. je</w:t>
      </w:r>
      <w:r w:rsidR="00131810">
        <w:t xml:space="preserve"> </w:t>
      </w:r>
      <w:r w:rsidR="0062588C" w:rsidRPr="00501BCF">
        <w:rPr>
          <w:b/>
        </w:rPr>
        <w:t>posílení ochrany veřejného zdraví před škodlivými účinky tabákového kouře</w:t>
      </w:r>
      <w:r w:rsidR="005442CD" w:rsidRPr="00501BCF">
        <w:rPr>
          <w:b/>
        </w:rPr>
        <w:t>.</w:t>
      </w:r>
      <w:r w:rsidR="00E41980">
        <w:t xml:space="preserve"> Zákaz kouření ve vnitřních prostorech provozoven stravovacích služeb by měl přispět mimo jiné ke snížení výskytu kouření mladých lidí, kteří začínají kouřit právě v těchto typech zařízení. Na opodstatněnost a veřejnou podporu zavedení úplného zákazu kouření v restauracích dlouhodobě poukazují některé občanské iniciativy i průzkumy veřejného mínění.</w:t>
      </w:r>
      <w:r w:rsidR="000864E1">
        <w:t xml:space="preserve"> Ministerstvo </w:t>
      </w:r>
      <w:r w:rsidR="004509BA">
        <w:t xml:space="preserve">zdravotnictví České republiky </w:t>
      </w:r>
      <w:r w:rsidR="000864E1">
        <w:t xml:space="preserve">se zabývalo i ekonomickými dopady na provozovatele provozoven stravovacích služeb. </w:t>
      </w:r>
      <w:r>
        <w:t>Z</w:t>
      </w:r>
      <w:r w:rsidR="000864E1">
        <w:t xml:space="preserve">a přínos zákazu kouření </w:t>
      </w:r>
      <w:r>
        <w:t xml:space="preserve">lze </w:t>
      </w:r>
      <w:r w:rsidR="000864E1">
        <w:t>považovat</w:t>
      </w:r>
      <w:r w:rsidR="004509BA">
        <w:t xml:space="preserve"> např.</w:t>
      </w:r>
      <w:r w:rsidR="000864E1">
        <w:t xml:space="preserve"> nižší nemocnost zaměstnanců provozoven, nižší náklady na zajištění vzduchotechniky</w:t>
      </w:r>
      <w:r>
        <w:t>, apod.</w:t>
      </w:r>
    </w:p>
    <w:p w:rsidR="00501BCF" w:rsidRPr="00501BCF" w:rsidRDefault="00501BCF" w:rsidP="00501BCF">
      <w:pPr>
        <w:jc w:val="both"/>
        <w:rPr>
          <w:b/>
        </w:rPr>
      </w:pPr>
      <w:r>
        <w:t xml:space="preserve">Ministerstvo zdravotnictví České republiky počítá s dalším průběžným vyhodnocováním implementace zákona č. 65/2017 Sb.; </w:t>
      </w:r>
      <w:r w:rsidRPr="00501BCF">
        <w:rPr>
          <w:b/>
        </w:rPr>
        <w:t xml:space="preserve">objektivně však bude možné faktický dopad předmětného opatření a skutečně problematická místa právního předpisu vyhodnotit až s minimálně ročním odstupem. </w:t>
      </w:r>
    </w:p>
    <w:p w:rsidR="00BC2E8A" w:rsidRPr="000B5A25" w:rsidRDefault="00BC2E8A" w:rsidP="00BC2E8A">
      <w:pPr>
        <w:pStyle w:val="Normlnweb"/>
        <w:jc w:val="both"/>
        <w:rPr>
          <w:b/>
        </w:rPr>
      </w:pPr>
      <w:r>
        <w:t>K</w:t>
      </w:r>
      <w:r w:rsidR="00501BCF">
        <w:t> </w:t>
      </w:r>
      <w:r>
        <w:t>této</w:t>
      </w:r>
      <w:r w:rsidR="00501BCF">
        <w:t>,</w:t>
      </w:r>
      <w:r>
        <w:t xml:space="preserve"> z hlediska počtu podpisů významné petici</w:t>
      </w:r>
      <w:r w:rsidR="00501BCF">
        <w:t>,</w:t>
      </w:r>
      <w:r>
        <w:t xml:space="preserve"> </w:t>
      </w:r>
      <w:r w:rsidRPr="000B5A25">
        <w:rPr>
          <w:b/>
        </w:rPr>
        <w:t>nebylo</w:t>
      </w:r>
      <w:r w:rsidR="00153F97">
        <w:rPr>
          <w:b/>
        </w:rPr>
        <w:t xml:space="preserve"> dosud</w:t>
      </w:r>
      <w:r w:rsidRPr="000B5A25">
        <w:rPr>
          <w:b/>
        </w:rPr>
        <w:t xml:space="preserve"> svoláno veřejné slyšení, </w:t>
      </w:r>
      <w:r w:rsidR="00501BCF" w:rsidRPr="000B5A25">
        <w:rPr>
          <w:b/>
        </w:rPr>
        <w:t>neboť peti</w:t>
      </w:r>
      <w:r w:rsidRPr="000B5A25">
        <w:rPr>
          <w:b/>
        </w:rPr>
        <w:t xml:space="preserve">ce byla předána </w:t>
      </w:r>
      <w:r w:rsidR="00501BCF" w:rsidRPr="000B5A25">
        <w:rPr>
          <w:b/>
        </w:rPr>
        <w:t xml:space="preserve">sněmovně až </w:t>
      </w:r>
      <w:r w:rsidRPr="000B5A25">
        <w:rPr>
          <w:b/>
        </w:rPr>
        <w:t>ke konci volebn</w:t>
      </w:r>
      <w:r w:rsidR="00153F97">
        <w:rPr>
          <w:b/>
        </w:rPr>
        <w:t>ího období a bude o ní rozhodnuto na příští schůzi petičního výboru.</w:t>
      </w:r>
    </w:p>
    <w:p w:rsidR="00B97F24" w:rsidRDefault="00B97F24">
      <w:pPr>
        <w:jc w:val="both"/>
      </w:pPr>
    </w:p>
    <w:p w:rsidR="00E43F5E" w:rsidRDefault="00E43F5E">
      <w:pPr>
        <w:jc w:val="both"/>
      </w:pPr>
    </w:p>
    <w:p w:rsidR="00BA40AE" w:rsidRDefault="00501BCF">
      <w:pPr>
        <w:jc w:val="both"/>
      </w:pPr>
      <w:r>
        <w:t xml:space="preserve">2. </w:t>
      </w:r>
      <w:r w:rsidRPr="00E43F5E">
        <w:t>Dne</w:t>
      </w:r>
      <w:r w:rsidR="00E43F5E">
        <w:t xml:space="preserve"> 24. 7. </w:t>
      </w:r>
      <w:r w:rsidRPr="00E43F5E">
        <w:t>2017</w:t>
      </w:r>
      <w:r>
        <w:t xml:space="preserve"> obdržel</w:t>
      </w:r>
      <w:r w:rsidR="002860AA">
        <w:t xml:space="preserve"> </w:t>
      </w:r>
      <w:r>
        <w:t>p</w:t>
      </w:r>
      <w:r w:rsidR="00472EF2">
        <w:t>etiční vý</w:t>
      </w:r>
      <w:r w:rsidR="002860AA">
        <w:t>bor Poslanecké sněmovny</w:t>
      </w:r>
      <w:r>
        <w:t xml:space="preserve"> </w:t>
      </w:r>
      <w:r w:rsidR="002860AA" w:rsidRPr="00BA40AE">
        <w:t>petici</w:t>
      </w:r>
      <w:r w:rsidR="002860AA" w:rsidRPr="00BA40AE">
        <w:rPr>
          <w:b/>
        </w:rPr>
        <w:t xml:space="preserve"> </w:t>
      </w:r>
      <w:r w:rsidR="002860AA" w:rsidRPr="00761BA3">
        <w:rPr>
          <w:rFonts w:cs="Times New Roman"/>
          <w:b/>
        </w:rPr>
        <w:t>proti prachovým a pachovým emisím</w:t>
      </w:r>
      <w:r w:rsidR="002860AA" w:rsidRPr="0024325F">
        <w:rPr>
          <w:rFonts w:ascii="Rockwell Condensed" w:hAnsi="Rockwell Condensed"/>
          <w:b/>
        </w:rPr>
        <w:t xml:space="preserve"> </w:t>
      </w:r>
      <w:r w:rsidR="00472EF2">
        <w:t>170 obyvatel obce Mydlovary</w:t>
      </w:r>
      <w:r w:rsidR="000B5A25">
        <w:t>, neboť z</w:t>
      </w:r>
      <w:r w:rsidR="003448A2">
        <w:t xml:space="preserve">nečištění ovzduší je jedním z největších rizik pro životní prostředí a zdraví občanů. </w:t>
      </w:r>
      <w:r w:rsidR="000B5A25">
        <w:t>V katastru obce Mydlovary je prováděna rekultivace odkališť, ke které jsou mimo jiné používány popílky ze spaloven a odpadní kaly, čímž dochází ke zvýšení prašnosti a zápachu.</w:t>
      </w:r>
    </w:p>
    <w:p w:rsidR="00BA40AE" w:rsidRDefault="00BA40AE">
      <w:pPr>
        <w:jc w:val="both"/>
      </w:pPr>
    </w:p>
    <w:p w:rsidR="000B5A25" w:rsidRDefault="003448A2">
      <w:pPr>
        <w:jc w:val="both"/>
      </w:pPr>
      <w:r>
        <w:t>Poslanecká sněmovna přijala</w:t>
      </w:r>
      <w:r w:rsidR="00A10EBA">
        <w:t xml:space="preserve"> </w:t>
      </w:r>
      <w:r>
        <w:t xml:space="preserve">novelu zákona o ovzduší, která začala platit od 1. ledna 2017. </w:t>
      </w:r>
    </w:p>
    <w:p w:rsidR="000B5A25" w:rsidRDefault="000B5A25">
      <w:pPr>
        <w:jc w:val="both"/>
      </w:pPr>
    </w:p>
    <w:p w:rsidR="00BA40AE" w:rsidRDefault="00A6419E">
      <w:pPr>
        <w:jc w:val="both"/>
      </w:pPr>
      <w:r>
        <w:t>P</w:t>
      </w:r>
      <w:r w:rsidR="00367DA9">
        <w:t>etiční výbor Poslanecké sněmovny</w:t>
      </w:r>
      <w:r>
        <w:t xml:space="preserve"> si</w:t>
      </w:r>
      <w:r w:rsidR="00367DA9">
        <w:t xml:space="preserve"> vyžádal </w:t>
      </w:r>
      <w:r>
        <w:t>informaci Ministerstva životního prostředí České republiky o přijatých opatřeních a provedených kontrolách</w:t>
      </w:r>
      <w:r w:rsidR="00A10EBA">
        <w:t>.</w:t>
      </w:r>
      <w:r>
        <w:t xml:space="preserve">  </w:t>
      </w:r>
      <w:r w:rsidR="007E63B6">
        <w:t>Provedeným inspekčním šetřením České inspekce životního prostředí České Budějovice bylo zjištěno nedostatečné plnění opatření omezení sekundární prašnosti.</w:t>
      </w:r>
    </w:p>
    <w:p w:rsidR="000B5A25" w:rsidRDefault="007E63B6">
      <w:pPr>
        <w:jc w:val="both"/>
      </w:pPr>
      <w:r>
        <w:t xml:space="preserve"> </w:t>
      </w:r>
      <w:r w:rsidR="00BA329E">
        <w:t>Po jednání zástupců České inspekce životního prost</w:t>
      </w:r>
      <w:r w:rsidR="00746C12">
        <w:t>ředí České Budějovice a zástupců</w:t>
      </w:r>
      <w:r w:rsidR="00BA329E">
        <w:t xml:space="preserve"> provozovatele Komplexní sanace a rekultivace odkaliště My</w:t>
      </w:r>
      <w:r w:rsidR="00746C12">
        <w:t>dlovary a následné kontrole byla přijata opatření</w:t>
      </w:r>
      <w:r w:rsidR="00BA329E">
        <w:t xml:space="preserve"> ve věci prašnosti (omezení sekundární prašnosti postřikem při provádění sanačních prací). Dále bylo zadáno zpracování studie k</w:t>
      </w:r>
      <w:r w:rsidR="00581471">
        <w:t> </w:t>
      </w:r>
      <w:r w:rsidR="00BA329E">
        <w:t>identifikaci</w:t>
      </w:r>
      <w:r w:rsidR="00581471">
        <w:t xml:space="preserve"> zdroje</w:t>
      </w:r>
      <w:r w:rsidR="00BA329E">
        <w:t xml:space="preserve"> a</w:t>
      </w:r>
      <w:r w:rsidR="00581471">
        <w:t xml:space="preserve"> posouzení příčiny vzniku zápachu, byly odebrány vzorky z lagun a i nadále budou hledány další možnosti, jak efektivně postupovat při řešení eliminace zápachu.</w:t>
      </w:r>
      <w:r w:rsidR="002755AB">
        <w:t xml:space="preserve"> </w:t>
      </w:r>
      <w:r w:rsidR="00746C12">
        <w:t xml:space="preserve">Krajský úřad Jihočeského kraje </w:t>
      </w:r>
      <w:r w:rsidR="00473927">
        <w:t xml:space="preserve">dal podnět ke změně povolení provozu včetně změn podmínek uvedených v provozním řádu. </w:t>
      </w:r>
    </w:p>
    <w:p w:rsidR="000B5A25" w:rsidRDefault="000B5A25">
      <w:pPr>
        <w:jc w:val="both"/>
      </w:pPr>
    </w:p>
    <w:p w:rsidR="00A84286" w:rsidRPr="000B5A25" w:rsidRDefault="000B5A25">
      <w:pPr>
        <w:jc w:val="both"/>
        <w:rPr>
          <w:b/>
        </w:rPr>
      </w:pPr>
      <w:r w:rsidRPr="000B5A25">
        <w:rPr>
          <w:b/>
        </w:rPr>
        <w:t>Tato z</w:t>
      </w:r>
      <w:r w:rsidR="00473927" w:rsidRPr="000B5A25">
        <w:rPr>
          <w:b/>
        </w:rPr>
        <w:t>práva Ministerstva životního prostředí</w:t>
      </w:r>
      <w:r w:rsidR="004509BA" w:rsidRPr="000B5A25">
        <w:rPr>
          <w:b/>
        </w:rPr>
        <w:t xml:space="preserve"> České republiky</w:t>
      </w:r>
      <w:r w:rsidR="00473927" w:rsidRPr="000B5A25">
        <w:rPr>
          <w:b/>
        </w:rPr>
        <w:t xml:space="preserve"> byla postoupena</w:t>
      </w:r>
      <w:r w:rsidRPr="000B5A25">
        <w:rPr>
          <w:b/>
        </w:rPr>
        <w:t xml:space="preserve"> petentům</w:t>
      </w:r>
      <w:r w:rsidR="00473927" w:rsidRPr="000B5A25">
        <w:rPr>
          <w:b/>
        </w:rPr>
        <w:t>.</w:t>
      </w:r>
    </w:p>
    <w:p w:rsidR="00473927" w:rsidRPr="000B5A25" w:rsidRDefault="00473927">
      <w:pPr>
        <w:jc w:val="both"/>
        <w:rPr>
          <w:b/>
        </w:rPr>
      </w:pPr>
    </w:p>
    <w:p w:rsidR="00473927" w:rsidRDefault="000B5A25">
      <w:pPr>
        <w:jc w:val="both"/>
      </w:pPr>
      <w:r w:rsidRPr="00E43F5E">
        <w:t>3</w:t>
      </w:r>
      <w:r w:rsidR="00E43F5E" w:rsidRPr="00E43F5E">
        <w:t>.   Dne 2</w:t>
      </w:r>
      <w:r w:rsidR="00E43F5E">
        <w:t>3. 11.</w:t>
      </w:r>
      <w:r w:rsidRPr="00E43F5E">
        <w:t xml:space="preserve"> 2017</w:t>
      </w:r>
      <w:r>
        <w:t xml:space="preserve"> byla petičnímu výboru předána petice se 69 podpisy, kterou iniciovala skupina studentů. </w:t>
      </w:r>
      <w:r w:rsidRPr="00763DDF">
        <w:rPr>
          <w:b/>
        </w:rPr>
        <w:t>Důvodem podané petice byl požadavek legalizace marihuany</w:t>
      </w:r>
      <w:r>
        <w:t xml:space="preserve">, zejména její užívání ze zdravotních důvodů. </w:t>
      </w:r>
      <w:r w:rsidR="00763DDF">
        <w:t>Zpravodajskou zprávu zpracovala poslankyně MUDr. Eva Matyášová, která</w:t>
      </w:r>
      <w:r w:rsidR="000613D5">
        <w:t xml:space="preserve"> s vyslovila proti legalizaci m</w:t>
      </w:r>
      <w:r w:rsidR="00763DDF">
        <w:t>arihuany s poukazem na řadu s tím spojených zdravotních i sociální</w:t>
      </w:r>
      <w:r w:rsidR="0022118D">
        <w:t>c</w:t>
      </w:r>
      <w:r w:rsidR="00763DDF">
        <w:t>h rizik; oponentní stanovisko ve prospěch l</w:t>
      </w:r>
      <w:r w:rsidR="00E43F5E">
        <w:t>egalizace marihuany vypracoval poslanec Tomáš Vymazal.</w:t>
      </w:r>
    </w:p>
    <w:p w:rsidR="00FF5CB0" w:rsidRDefault="00FF5CB0">
      <w:pPr>
        <w:jc w:val="both"/>
      </w:pPr>
    </w:p>
    <w:p w:rsidR="00763DDF" w:rsidRPr="00763DDF" w:rsidRDefault="00763DDF">
      <w:pPr>
        <w:jc w:val="both"/>
        <w:rPr>
          <w:b/>
        </w:rPr>
      </w:pPr>
      <w:r w:rsidRPr="00763DDF">
        <w:rPr>
          <w:b/>
        </w:rPr>
        <w:t xml:space="preserve">Oba zpracované dokumenty byly předloženy petičnímu výboru a zaslány petentům. </w:t>
      </w:r>
    </w:p>
    <w:p w:rsidR="00763DDF" w:rsidRDefault="00763DDF">
      <w:pPr>
        <w:jc w:val="both"/>
      </w:pPr>
    </w:p>
    <w:p w:rsidR="001E19C1" w:rsidRDefault="001E19C1">
      <w:pPr>
        <w:jc w:val="both"/>
      </w:pPr>
    </w:p>
    <w:p w:rsidR="0082069C" w:rsidRDefault="00763DDF">
      <w:pPr>
        <w:jc w:val="both"/>
      </w:pPr>
      <w:r>
        <w:t xml:space="preserve">4. </w:t>
      </w:r>
      <w:r w:rsidR="00E43F5E">
        <w:t xml:space="preserve">Dne 10. 8. 2017 </w:t>
      </w:r>
      <w:r>
        <w:t>požádalo 7 signatářů</w:t>
      </w:r>
      <w:r w:rsidR="007B3AEF">
        <w:t xml:space="preserve"> </w:t>
      </w:r>
      <w:r w:rsidR="001A1B9A">
        <w:t>„</w:t>
      </w:r>
      <w:r w:rsidR="001A1B9A" w:rsidRPr="00763DDF">
        <w:rPr>
          <w:b/>
        </w:rPr>
        <w:t xml:space="preserve">Petice </w:t>
      </w:r>
      <w:r w:rsidR="001A1B9A" w:rsidRPr="00761BA3">
        <w:rPr>
          <w:rFonts w:cs="Times New Roman"/>
          <w:b/>
        </w:rPr>
        <w:t>proti zavedení eura v ČR</w:t>
      </w:r>
      <w:r w:rsidR="001A1B9A">
        <w:t xml:space="preserve">“ vládu, </w:t>
      </w:r>
      <w:r w:rsidR="007B3AEF">
        <w:t>aby svévolně nerozhodovala o přijetí eura, ale vypsala</w:t>
      </w:r>
      <w:r w:rsidR="001A1B9A">
        <w:t xml:space="preserve"> v této věci celostátní referendum</w:t>
      </w:r>
      <w:r w:rsidR="0022118D">
        <w:t>.</w:t>
      </w:r>
    </w:p>
    <w:p w:rsidR="0082069C" w:rsidRDefault="0082069C">
      <w:pPr>
        <w:jc w:val="both"/>
      </w:pPr>
    </w:p>
    <w:p w:rsidR="0022118D" w:rsidRDefault="00D72653" w:rsidP="0022118D">
      <w:pPr>
        <w:jc w:val="both"/>
      </w:pPr>
      <w:r>
        <w:t xml:space="preserve">Na konci 7. volebního období Poslanecké sněmovny se o přijetí eura </w:t>
      </w:r>
      <w:r w:rsidR="00BD44F0">
        <w:t xml:space="preserve">opakovaně diskutovalo a stanoviska jednotlivých parlamentních stran k přijetí eura byla </w:t>
      </w:r>
      <w:r w:rsidR="004509BA">
        <w:t>rozdílná. V</w:t>
      </w:r>
      <w:r w:rsidR="001A1B9A">
        <w:t xml:space="preserve">ždy se </w:t>
      </w:r>
      <w:r w:rsidR="004509BA">
        <w:t xml:space="preserve">však </w:t>
      </w:r>
      <w:r w:rsidR="001A1B9A">
        <w:t>hovořilo o</w:t>
      </w:r>
      <w:r w:rsidR="004509BA">
        <w:t xml:space="preserve"> nutné přípravě ekonomiky i </w:t>
      </w:r>
      <w:r w:rsidR="001A1B9A">
        <w:t>občanů na přijetí společné měny.</w:t>
      </w:r>
      <w:r w:rsidR="0022118D">
        <w:t xml:space="preserve"> Záležet rovněž bude na vývoji v Evropské unii, nakolik bude stabilizovaná po vystoupení Velké Británie z EU, jak budou vyřešeny některé dluhové problémy zemí, apod. </w:t>
      </w:r>
    </w:p>
    <w:p w:rsidR="0022118D" w:rsidRDefault="0022118D">
      <w:pPr>
        <w:jc w:val="both"/>
      </w:pPr>
    </w:p>
    <w:p w:rsidR="009C10FB" w:rsidRPr="0022118D" w:rsidRDefault="00A44C09">
      <w:pPr>
        <w:jc w:val="both"/>
        <w:rPr>
          <w:b/>
        </w:rPr>
      </w:pPr>
      <w:r w:rsidRPr="0022118D">
        <w:rPr>
          <w:b/>
        </w:rPr>
        <w:t xml:space="preserve">Petentům bylo sděleno, </w:t>
      </w:r>
      <w:r w:rsidR="00D6445C" w:rsidRPr="0022118D">
        <w:rPr>
          <w:b/>
        </w:rPr>
        <w:t xml:space="preserve">že problematiku přijetí eura </w:t>
      </w:r>
      <w:r w:rsidR="0022118D" w:rsidRPr="0022118D">
        <w:rPr>
          <w:b/>
        </w:rPr>
        <w:t xml:space="preserve">bude již </w:t>
      </w:r>
      <w:r w:rsidR="00D6445C" w:rsidRPr="0022118D">
        <w:rPr>
          <w:b/>
        </w:rPr>
        <w:t xml:space="preserve">řešit </w:t>
      </w:r>
      <w:r w:rsidR="0022118D" w:rsidRPr="0022118D">
        <w:rPr>
          <w:b/>
        </w:rPr>
        <w:t xml:space="preserve">nová </w:t>
      </w:r>
      <w:r w:rsidR="00D6445C" w:rsidRPr="0022118D">
        <w:rPr>
          <w:b/>
        </w:rPr>
        <w:t xml:space="preserve">vláda </w:t>
      </w:r>
      <w:r w:rsidR="009C10FB" w:rsidRPr="0022118D">
        <w:rPr>
          <w:b/>
        </w:rPr>
        <w:t xml:space="preserve">a Poslanecká sněmovna </w:t>
      </w:r>
      <w:r w:rsidR="00D6445C" w:rsidRPr="0022118D">
        <w:rPr>
          <w:b/>
        </w:rPr>
        <w:t>v novém složení</w:t>
      </w:r>
      <w:r w:rsidR="0022118D">
        <w:rPr>
          <w:b/>
        </w:rPr>
        <w:t>.</w:t>
      </w:r>
    </w:p>
    <w:p w:rsidR="0022118D" w:rsidRDefault="0022118D">
      <w:pPr>
        <w:jc w:val="both"/>
      </w:pPr>
    </w:p>
    <w:p w:rsidR="002139CC" w:rsidRDefault="0022118D">
      <w:pPr>
        <w:jc w:val="both"/>
      </w:pPr>
      <w:r>
        <w:t xml:space="preserve">5.  </w:t>
      </w:r>
      <w:r w:rsidR="00512213">
        <w:t xml:space="preserve">Ke konci 7. volebního období </w:t>
      </w:r>
      <w:r w:rsidR="002139CC">
        <w:t xml:space="preserve">byla dne 18. 10. 2017 </w:t>
      </w:r>
      <w:r>
        <w:t xml:space="preserve">doručena </w:t>
      </w:r>
      <w:r w:rsidR="00512213">
        <w:t>petičnímu výboru Poslan</w:t>
      </w:r>
      <w:r>
        <w:t xml:space="preserve">ecké sněmovny </w:t>
      </w:r>
      <w:r w:rsidR="00153F97">
        <w:t>„</w:t>
      </w:r>
      <w:r w:rsidR="002139CC">
        <w:t>petice</w:t>
      </w:r>
      <w:r w:rsidR="00153F97">
        <w:t xml:space="preserve">“ </w:t>
      </w:r>
      <w:r w:rsidR="002139CC">
        <w:t>jednoho petenta</w:t>
      </w:r>
      <w:r w:rsidR="00512213">
        <w:t xml:space="preserve"> </w:t>
      </w:r>
      <w:r w:rsidR="00512213" w:rsidRPr="00761BA3">
        <w:rPr>
          <w:rFonts w:cs="Times New Roman"/>
          <w:b/>
        </w:rPr>
        <w:t>proti memorandu k těžbě lithia</w:t>
      </w:r>
      <w:r w:rsidR="00512213">
        <w:t>.</w:t>
      </w:r>
      <w:r w:rsidR="00153F97">
        <w:t xml:space="preserve"> Protože nebyly jasné náležitosti petice, byl požádán uvedený petiční výbor o vyjádření, ze kterého vyplynulo, že toto podání bylo postoupeno petičnímu výboru Poslanecké sněmovny předčasně.</w:t>
      </w:r>
      <w:r w:rsidR="00512213">
        <w:t xml:space="preserve"> </w:t>
      </w:r>
    </w:p>
    <w:p w:rsidR="002139CC" w:rsidRDefault="002139CC">
      <w:pPr>
        <w:jc w:val="both"/>
      </w:pPr>
    </w:p>
    <w:p w:rsidR="009C10FB" w:rsidRDefault="00512213">
      <w:pPr>
        <w:jc w:val="both"/>
      </w:pPr>
      <w:r>
        <w:t xml:space="preserve">Dne 16. října 2017 byla svolána schůze Poslanecké sněmovny k posouzení podpisu Ministerstva průmyslu a obchodu České republiky pod memorandem s australskými těžaři k těžbě lithia na svrchovaném území České republiky. </w:t>
      </w:r>
      <w:r w:rsidR="007478C2">
        <w:t>V </w:t>
      </w:r>
      <w:r w:rsidR="0022118D">
        <w:t>u</w:t>
      </w:r>
      <w:r w:rsidR="007478C2">
        <w:t>snesení</w:t>
      </w:r>
      <w:r w:rsidR="00F8018F">
        <w:t xml:space="preserve"> č. 1846 z 61. schůze ze </w:t>
      </w:r>
      <w:r w:rsidR="007478C2">
        <w:t xml:space="preserve">dne 16. října 2017 </w:t>
      </w:r>
      <w:r w:rsidR="0022118D">
        <w:t>požádala Po</w:t>
      </w:r>
      <w:r w:rsidR="007478C2">
        <w:t>slanecká sněmovna vládu</w:t>
      </w:r>
      <w:r w:rsidR="00F8018F">
        <w:t>, aby memorandum</w:t>
      </w:r>
      <w:r w:rsidR="00AC5878">
        <w:t>,</w:t>
      </w:r>
      <w:r w:rsidR="00F8018F">
        <w:t xml:space="preserve"> vzhledem k zřejmé neurčitosti jeho</w:t>
      </w:r>
      <w:r w:rsidR="007478C2">
        <w:t xml:space="preserve"> předmě</w:t>
      </w:r>
      <w:r w:rsidR="00C20E99">
        <w:t>tu</w:t>
      </w:r>
      <w:r w:rsidR="00AC5878">
        <w:t>,</w:t>
      </w:r>
      <w:r w:rsidR="00C90D63">
        <w:t xml:space="preserve"> prohlásila za nulitní. </w:t>
      </w:r>
      <w:r w:rsidR="0022118D">
        <w:t>T</w:t>
      </w:r>
      <w:r w:rsidR="00F8018F">
        <w:t>ěžbu lithia</w:t>
      </w:r>
      <w:r w:rsidR="0022118D">
        <w:t xml:space="preserve"> by měl</w:t>
      </w:r>
      <w:r w:rsidR="00F8018F">
        <w:t xml:space="preserve"> provádě</w:t>
      </w:r>
      <w:r w:rsidR="0022118D">
        <w:t>t</w:t>
      </w:r>
      <w:r w:rsidR="00F8018F">
        <w:t xml:space="preserve"> státní podnik a zisk z této těžby </w:t>
      </w:r>
      <w:r w:rsidR="0022118D">
        <w:t>by měl zůstat</w:t>
      </w:r>
      <w:r w:rsidR="00F8018F">
        <w:t xml:space="preserve"> příjmem státního rozpočtu České republiky.</w:t>
      </w:r>
      <w:r w:rsidR="00C20E99">
        <w:t xml:space="preserve"> Poslanecká sněmovna </w:t>
      </w:r>
      <w:r w:rsidR="00F8018F">
        <w:t>prohlásil</w:t>
      </w:r>
      <w:r w:rsidR="00C20E99">
        <w:t>a memorandum</w:t>
      </w:r>
      <w:r w:rsidR="00F8018F">
        <w:t xml:space="preserve"> p</w:t>
      </w:r>
      <w:r w:rsidR="00340472">
        <w:t>ro Českou republiku</w:t>
      </w:r>
      <w:r w:rsidR="00C20E99">
        <w:t xml:space="preserve"> za nezávazné</w:t>
      </w:r>
      <w:r w:rsidR="00340472">
        <w:t>.</w:t>
      </w:r>
    </w:p>
    <w:p w:rsidR="00FF5CB0" w:rsidRDefault="00FF5CB0">
      <w:pPr>
        <w:jc w:val="both"/>
      </w:pPr>
    </w:p>
    <w:p w:rsidR="0022118D" w:rsidRPr="00FF5CB0" w:rsidRDefault="0022118D">
      <w:pPr>
        <w:jc w:val="both"/>
        <w:rPr>
          <w:b/>
        </w:rPr>
      </w:pPr>
      <w:r w:rsidRPr="00FF5CB0">
        <w:rPr>
          <w:b/>
        </w:rPr>
        <w:t xml:space="preserve">Z těchto důvodů a rovněž </w:t>
      </w:r>
      <w:r w:rsidR="00046098" w:rsidRPr="00FF5CB0">
        <w:rPr>
          <w:b/>
        </w:rPr>
        <w:t xml:space="preserve">i </w:t>
      </w:r>
      <w:r w:rsidRPr="00FF5CB0">
        <w:rPr>
          <w:b/>
        </w:rPr>
        <w:t>proto</w:t>
      </w:r>
      <w:r w:rsidR="00046098" w:rsidRPr="00FF5CB0">
        <w:rPr>
          <w:b/>
        </w:rPr>
        <w:t xml:space="preserve">, </w:t>
      </w:r>
      <w:r w:rsidR="00153F97">
        <w:rPr>
          <w:b/>
        </w:rPr>
        <w:t>že se očekává podání</w:t>
      </w:r>
      <w:r w:rsidRPr="00FF5CB0">
        <w:rPr>
          <w:b/>
        </w:rPr>
        <w:t xml:space="preserve"> </w:t>
      </w:r>
      <w:r w:rsidR="00153F97">
        <w:rPr>
          <w:b/>
        </w:rPr>
        <w:t>formálně bezchybné, obsahově shodně zaměřené</w:t>
      </w:r>
      <w:r w:rsidRPr="00FF5CB0">
        <w:rPr>
          <w:b/>
        </w:rPr>
        <w:t xml:space="preserve"> petice, petiční výbor </w:t>
      </w:r>
      <w:r w:rsidR="00153F97">
        <w:rPr>
          <w:b/>
        </w:rPr>
        <w:t>se zatím meritorně touto problematikou nezabýval.</w:t>
      </w:r>
    </w:p>
    <w:p w:rsidR="00915938" w:rsidRDefault="00915938">
      <w:pPr>
        <w:jc w:val="both"/>
      </w:pPr>
    </w:p>
    <w:p w:rsidR="00325694" w:rsidRPr="00046098" w:rsidRDefault="00046098" w:rsidP="00046098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046098">
        <w:rPr>
          <w:b/>
        </w:rPr>
        <w:t>Postup při vyřizování petic</w:t>
      </w:r>
    </w:p>
    <w:p w:rsidR="003A0629" w:rsidRDefault="003A0629" w:rsidP="003A0629">
      <w:pPr>
        <w:pStyle w:val="Normlnweb"/>
        <w:jc w:val="both"/>
      </w:pPr>
      <w:r>
        <w:t xml:space="preserve">Při vyřizování petic se postupuje dle </w:t>
      </w:r>
      <w:r w:rsidRPr="00761BA3">
        <w:rPr>
          <w:b/>
        </w:rPr>
        <w:t>zákona č 85/1990 Sb., o právu petičním, zákona č. 90/1995 Sb., o jednacím řádu Poslanecké sněmovny</w:t>
      </w:r>
      <w:r w:rsidR="00046098">
        <w:rPr>
          <w:b/>
        </w:rPr>
        <w:t xml:space="preserve"> a </w:t>
      </w:r>
      <w:r w:rsidRPr="00761BA3">
        <w:rPr>
          <w:b/>
        </w:rPr>
        <w:t xml:space="preserve">Zásad petičního výboru pro vyřizování petic doručených Poslanecké sněmovně a jejím orgánům, </w:t>
      </w:r>
      <w:r w:rsidRPr="00046098">
        <w:t>který byl pro 8. volební období schválen dne 6. prosince 2017 na 2. schůzi petičního výboru</w:t>
      </w:r>
      <w:r w:rsidRPr="00046098">
        <w:rPr>
          <w:rFonts w:ascii="Consolas" w:hAnsi="Consolas" w:cs="Consolas"/>
        </w:rPr>
        <w:t>.</w:t>
      </w:r>
      <w:r>
        <w:t xml:space="preserve"> Petiční výbor, kterému jsou vždy doručeny všechny petice adresované Poslanecké sněmovně, posoudí, zda petice obsahuje veškeré náležitosti stanovené zákonem o právu petičním a rozhoduje o postupu vyřízení došlé petice. </w:t>
      </w:r>
    </w:p>
    <w:p w:rsidR="003A0629" w:rsidRDefault="003A0629" w:rsidP="003A0629">
      <w:pPr>
        <w:pStyle w:val="Normlnweb"/>
        <w:jc w:val="both"/>
      </w:pPr>
      <w:r w:rsidRPr="00FF5CB0">
        <w:rPr>
          <w:b/>
        </w:rPr>
        <w:t>K peticím s</w:t>
      </w:r>
      <w:r w:rsidRPr="00761BA3">
        <w:rPr>
          <w:b/>
        </w:rPr>
        <w:t xml:space="preserve"> více než 10 000 podpisy</w:t>
      </w:r>
      <w:r>
        <w:t xml:space="preserve">, případně </w:t>
      </w:r>
      <w:r w:rsidRPr="00FF5CB0">
        <w:rPr>
          <w:b/>
        </w:rPr>
        <w:t>k petici se závažným společenským tématem,</w:t>
      </w:r>
      <w:r>
        <w:t xml:space="preserve"> </w:t>
      </w:r>
      <w:r w:rsidR="00FF5CB0" w:rsidRPr="00FF5CB0">
        <w:t xml:space="preserve">je </w:t>
      </w:r>
      <w:r w:rsidRPr="00FF5CB0">
        <w:t>uspořádáno</w:t>
      </w:r>
      <w:r w:rsidRPr="00761BA3">
        <w:rPr>
          <w:b/>
        </w:rPr>
        <w:t xml:space="preserve"> veřejné slyšení</w:t>
      </w:r>
      <w:r w:rsidRPr="0024325F">
        <w:rPr>
          <w:rFonts w:ascii="Rockwell Condensed" w:hAnsi="Rockwell Condensed"/>
        </w:rPr>
        <w:t>,</w:t>
      </w:r>
      <w:r>
        <w:t xml:space="preserve"> na které jsou přizváni zástupci petentů a zástupci příslušného ministerstva a dalších dotčených orgánů.  </w:t>
      </w:r>
    </w:p>
    <w:p w:rsidR="003A0629" w:rsidRDefault="003A0629" w:rsidP="003A0629">
      <w:pPr>
        <w:pStyle w:val="Normlnweb"/>
        <w:jc w:val="both"/>
      </w:pPr>
      <w:r>
        <w:t xml:space="preserve">Petiční výbor dále rozhoduje o postoupení došlé petice k vyřízení nebo využití </w:t>
      </w:r>
      <w:r w:rsidR="00046098">
        <w:t xml:space="preserve">sněmovnímu </w:t>
      </w:r>
      <w:r>
        <w:t>výboru, který se danou problematikou zabývá. Některé petice, které požadují změnu či doplnění zákona, jsou postoupeny všem parlamentním klubům Poslanecké sněmovny jako připomínky a podněty k zákonodárné činnosti poslanců. Petice jsou také postupovány příslušnému ministerstvu, které zváží zapracování námětu do vládní předlohy zákona nebo vyhlášky. O některých významnějších a početnějších peticích jsou poslanci informováni přímo na zasedání Sněmovny. K propagaci petic přispívají informace o peticích na internetu.</w:t>
      </w:r>
    </w:p>
    <w:p w:rsidR="003A0629" w:rsidRDefault="003A0629" w:rsidP="003A0629">
      <w:pPr>
        <w:pStyle w:val="western"/>
        <w:jc w:val="both"/>
        <w:rPr>
          <w:b w:val="0"/>
          <w:bCs w:val="0"/>
        </w:rPr>
      </w:pPr>
      <w:r>
        <w:rPr>
          <w:b w:val="0"/>
          <w:bCs w:val="0"/>
        </w:rPr>
        <w:t xml:space="preserve">Program evidence petic byl vypracován v informačním systému Poslanecké sněmovny a je k dispozici všem poslancům a výborům Poslanecké sněmovny. Evidence je realizována v prostředí Lotus Notes s uvedením, </w:t>
      </w:r>
      <w:r w:rsidRPr="00761BA3">
        <w:rPr>
          <w:bCs w:val="0"/>
        </w:rPr>
        <w:t>kdo petici podal, kdy byla doručena, čeho se týkala, jak, kdy a kým byla projednána a vyřízena</w:t>
      </w:r>
      <w:r w:rsidRPr="00761BA3">
        <w:rPr>
          <w:b w:val="0"/>
          <w:bCs w:val="0"/>
        </w:rPr>
        <w:t>.</w:t>
      </w:r>
      <w:r>
        <w:rPr>
          <w:b w:val="0"/>
          <w:bCs w:val="0"/>
        </w:rPr>
        <w:t xml:space="preserve"> Program lze využít nejen pro evidenci petic, ale i ke sledování pohybu jednotlivých dokumentů, stavu zpracování, k dotazům na jednotlivé dokumenty a selekci dokumentů dle různých klíčů. V informačním systému Poslanecké sněmovny jsou přehledně řazené pololetní zprávy tak, jak jsou projednávány petičním výborem a schváleny na plénu Poslanecké sněmovny.</w:t>
      </w:r>
    </w:p>
    <w:p w:rsidR="002139CC" w:rsidRDefault="003A0629" w:rsidP="00A4143E">
      <w:pPr>
        <w:pStyle w:val="Normlnweb"/>
        <w:jc w:val="both"/>
      </w:pPr>
      <w:r w:rsidRPr="00761BA3">
        <w:rPr>
          <w:b/>
        </w:rPr>
        <w:t>Obsah petic</w:t>
      </w:r>
      <w:r>
        <w:t xml:space="preserve"> je zachycen v tabulce, ve které se zároveň uvádí </w:t>
      </w:r>
      <w:r w:rsidRPr="00761BA3">
        <w:rPr>
          <w:b/>
        </w:rPr>
        <w:t>počet petic a podpisů</w:t>
      </w:r>
      <w:r w:rsidRPr="00761BA3">
        <w:t xml:space="preserve">. </w:t>
      </w:r>
      <w:r w:rsidRPr="00046098">
        <w:t>V tomto</w:t>
      </w:r>
      <w:r w:rsidRPr="00761BA3">
        <w:t xml:space="preserve"> přehledu </w:t>
      </w:r>
      <w:r w:rsidRPr="00761BA3">
        <w:rPr>
          <w:b/>
        </w:rPr>
        <w:t>jsou petice tříděny podle klasifikačních znaků přebíraných v tezauru Eurovoc</w:t>
      </w:r>
      <w:r>
        <w:t>, které vyjadřují hlavní téma petice. Každý klasifikační znak obsahuje číslo, které slouží pro jeho přesnou identifikaci a systematické členění seznamu petic.</w:t>
      </w:r>
    </w:p>
    <w:p w:rsidR="00A4143E" w:rsidRPr="00A4143E" w:rsidRDefault="00A4143E" w:rsidP="00A4143E">
      <w:pPr>
        <w:pStyle w:val="Normlnweb"/>
        <w:jc w:val="both"/>
        <w:rPr>
          <w:rFonts w:ascii="Consolas" w:hAnsi="Consolas" w:cs="Consolas"/>
          <w:b/>
        </w:rPr>
      </w:pPr>
    </w:p>
    <w:p w:rsidR="002139CC" w:rsidRDefault="002139CC" w:rsidP="003A0629">
      <w:pPr>
        <w:rPr>
          <w:rFonts w:eastAsia="Times New Roman" w:cs="Times New Roman"/>
          <w:color w:val="000000"/>
          <w:szCs w:val="24"/>
          <w:lang w:eastAsia="cs-CZ"/>
        </w:rPr>
      </w:pPr>
    </w:p>
    <w:p w:rsidR="00FE7F6E" w:rsidRDefault="00FE7F6E" w:rsidP="003A0629">
      <w:pPr>
        <w:rPr>
          <w:rFonts w:eastAsia="Times New Roman" w:cs="Times New Roman"/>
          <w:color w:val="000000"/>
          <w:szCs w:val="24"/>
          <w:lang w:eastAsia="cs-CZ"/>
        </w:rPr>
      </w:pPr>
    </w:p>
    <w:p w:rsidR="00FE7F6E" w:rsidRDefault="00FE7F6E" w:rsidP="003A0629">
      <w:pPr>
        <w:rPr>
          <w:rFonts w:eastAsia="Times New Roman" w:cs="Times New Roman"/>
          <w:color w:val="000000"/>
          <w:szCs w:val="24"/>
          <w:lang w:eastAsia="cs-CZ"/>
        </w:rPr>
      </w:pPr>
    </w:p>
    <w:p w:rsidR="00FE7F6E" w:rsidRDefault="00FE7F6E" w:rsidP="003A0629">
      <w:pPr>
        <w:rPr>
          <w:rFonts w:eastAsia="Times New Roman" w:cs="Times New Roman"/>
          <w:color w:val="000000"/>
          <w:szCs w:val="24"/>
          <w:lang w:eastAsia="cs-CZ"/>
        </w:rPr>
      </w:pPr>
    </w:p>
    <w:p w:rsidR="003A0629" w:rsidRPr="00046098" w:rsidRDefault="00046098" w:rsidP="00046098">
      <w:pPr>
        <w:pStyle w:val="Odstavecseseznamem"/>
        <w:numPr>
          <w:ilvl w:val="0"/>
          <w:numId w:val="1"/>
        </w:numPr>
        <w:rPr>
          <w:rFonts w:eastAsia="Times New Roman" w:cs="Times New Roman"/>
          <w:b/>
          <w:color w:val="000000"/>
          <w:szCs w:val="24"/>
          <w:lang w:eastAsia="cs-CZ"/>
        </w:rPr>
      </w:pPr>
      <w:r w:rsidRPr="00046098">
        <w:rPr>
          <w:rFonts w:eastAsia="Times New Roman" w:cs="Times New Roman"/>
          <w:b/>
          <w:color w:val="000000"/>
          <w:szCs w:val="24"/>
          <w:lang w:eastAsia="cs-CZ"/>
        </w:rPr>
        <w:t>Tabulková část</w:t>
      </w:r>
    </w:p>
    <w:p w:rsidR="00472EF2" w:rsidRDefault="00472EF2">
      <w:pPr>
        <w:jc w:val="both"/>
      </w:pPr>
    </w:p>
    <w:p w:rsidR="00FE7F6E" w:rsidRDefault="00FE7F6E">
      <w:pPr>
        <w:jc w:val="both"/>
      </w:pPr>
    </w:p>
    <w:p w:rsidR="00FE7F6E" w:rsidRDefault="00FE7F6E">
      <w:pPr>
        <w:jc w:val="both"/>
      </w:pPr>
    </w:p>
    <w:p w:rsidR="00FE7F6E" w:rsidRDefault="00FE7F6E">
      <w:pPr>
        <w:jc w:val="both"/>
      </w:pPr>
    </w:p>
    <w:p w:rsidR="00EF0EA6" w:rsidRDefault="000F16C2" w:rsidP="00EF0EA6">
      <w:pPr>
        <w:jc w:val="right"/>
        <w:rPr>
          <w:b/>
        </w:rPr>
      </w:pPr>
      <w:r w:rsidRPr="00EF0EA6">
        <w:rPr>
          <w:b/>
        </w:rPr>
        <w:t xml:space="preserve"> </w:t>
      </w:r>
      <w:r w:rsidR="00EF0EA6">
        <w:rPr>
          <w:b/>
        </w:rPr>
        <w:t>Tabulka č. 1</w:t>
      </w:r>
    </w:p>
    <w:p w:rsidR="00EF0EA6" w:rsidRPr="002E7C60" w:rsidRDefault="00C14DA7" w:rsidP="00EF0EA6">
      <w:pPr>
        <w:tabs>
          <w:tab w:val="left" w:pos="1286"/>
        </w:tabs>
        <w:jc w:val="center"/>
        <w:rPr>
          <w:u w:val="single"/>
        </w:rPr>
      </w:pPr>
      <w:r>
        <w:rPr>
          <w:u w:val="single"/>
        </w:rPr>
        <w:t>Přehled došlých petic P</w:t>
      </w:r>
      <w:r w:rsidR="00EF0EA6" w:rsidRPr="002E7C60">
        <w:rPr>
          <w:u w:val="single"/>
        </w:rPr>
        <w:t>oslanecké sněmovně</w:t>
      </w:r>
    </w:p>
    <w:tbl>
      <w:tblPr>
        <w:tblStyle w:val="Mkatabulky"/>
        <w:tblpPr w:leftFromText="141" w:rightFromText="141" w:vertAnchor="text" w:horzAnchor="margin" w:tblpXSpec="center" w:tblpY="438"/>
        <w:tblW w:w="11108" w:type="dxa"/>
        <w:tblLook w:val="04A0" w:firstRow="1" w:lastRow="0" w:firstColumn="1" w:lastColumn="0" w:noHBand="0" w:noVBand="1"/>
      </w:tblPr>
      <w:tblGrid>
        <w:gridCol w:w="1472"/>
        <w:gridCol w:w="1094"/>
        <w:gridCol w:w="1378"/>
        <w:gridCol w:w="1311"/>
        <w:gridCol w:w="1163"/>
        <w:gridCol w:w="1150"/>
        <w:gridCol w:w="1091"/>
        <w:gridCol w:w="1087"/>
        <w:gridCol w:w="1362"/>
      </w:tblGrid>
      <w:tr w:rsidR="00A4143E" w:rsidTr="00A4143E">
        <w:trPr>
          <w:trHeight w:val="511"/>
        </w:trPr>
        <w:tc>
          <w:tcPr>
            <w:tcW w:w="1472" w:type="dxa"/>
            <w:vMerge w:val="restart"/>
          </w:tcPr>
          <w:p w:rsidR="00A4143E" w:rsidRDefault="00A4143E" w:rsidP="00A4143E">
            <w:pPr>
              <w:jc w:val="both"/>
            </w:pPr>
            <w:r>
              <w:t xml:space="preserve">výbory, komise </w:t>
            </w:r>
          </w:p>
        </w:tc>
        <w:tc>
          <w:tcPr>
            <w:tcW w:w="1094" w:type="dxa"/>
            <w:vMerge w:val="restart"/>
          </w:tcPr>
          <w:p w:rsidR="00A4143E" w:rsidRDefault="00A4143E" w:rsidP="00A4143E">
            <w:pPr>
              <w:jc w:val="both"/>
            </w:pPr>
            <w:r>
              <w:t xml:space="preserve">došlo </w:t>
            </w:r>
          </w:p>
        </w:tc>
        <w:tc>
          <w:tcPr>
            <w:tcW w:w="6093" w:type="dxa"/>
            <w:gridSpan w:val="5"/>
          </w:tcPr>
          <w:p w:rsidR="00A4143E" w:rsidRDefault="00A4143E" w:rsidP="00A4143E">
            <w:pPr>
              <w:jc w:val="center"/>
            </w:pPr>
            <w:r>
              <w:t>vyřízeno</w:t>
            </w:r>
          </w:p>
        </w:tc>
        <w:tc>
          <w:tcPr>
            <w:tcW w:w="1087" w:type="dxa"/>
            <w:vMerge w:val="restart"/>
          </w:tcPr>
          <w:p w:rsidR="00A4143E" w:rsidRDefault="00A4143E" w:rsidP="00A4143E">
            <w:r>
              <w:t>lhůta běží</w:t>
            </w:r>
          </w:p>
        </w:tc>
        <w:tc>
          <w:tcPr>
            <w:tcW w:w="1362" w:type="dxa"/>
            <w:vMerge w:val="restart"/>
          </w:tcPr>
          <w:p w:rsidR="00A4143E" w:rsidRDefault="00A4143E" w:rsidP="00A4143E">
            <w:r>
              <w:t>nevyřízeno</w:t>
            </w:r>
          </w:p>
        </w:tc>
      </w:tr>
      <w:tr w:rsidR="00A4143E" w:rsidTr="00A4143E">
        <w:trPr>
          <w:trHeight w:val="238"/>
        </w:trPr>
        <w:tc>
          <w:tcPr>
            <w:tcW w:w="1472" w:type="dxa"/>
            <w:vMerge/>
          </w:tcPr>
          <w:p w:rsidR="00A4143E" w:rsidRDefault="00A4143E" w:rsidP="00A4143E">
            <w:pPr>
              <w:jc w:val="both"/>
            </w:pPr>
          </w:p>
        </w:tc>
        <w:tc>
          <w:tcPr>
            <w:tcW w:w="1094" w:type="dxa"/>
            <w:vMerge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  <w:r>
              <w:t>postoupeno</w:t>
            </w: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  <w:r>
              <w:t>dopisem výboru</w:t>
            </w: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  <w:r>
              <w:t>výboru k využití</w:t>
            </w: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  <w:r>
              <w:t xml:space="preserve">jinak </w:t>
            </w: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  <w:r>
              <w:t>celkem</w:t>
            </w:r>
          </w:p>
        </w:tc>
        <w:tc>
          <w:tcPr>
            <w:tcW w:w="1087" w:type="dxa"/>
            <w:vMerge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  <w:vMerge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55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 xml:space="preserve">ÚPV 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55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VO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55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VOV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VB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55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PV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center"/>
            </w:pPr>
            <w:r>
              <w:t>5</w:t>
            </w:r>
          </w:p>
        </w:tc>
        <w:tc>
          <w:tcPr>
            <w:tcW w:w="1378" w:type="dxa"/>
          </w:tcPr>
          <w:p w:rsidR="00A4143E" w:rsidRDefault="00A4143E" w:rsidP="00A4143E">
            <w:pPr>
              <w:jc w:val="center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center"/>
            </w:pPr>
            <w:r>
              <w:t>4</w:t>
            </w:r>
          </w:p>
        </w:tc>
        <w:tc>
          <w:tcPr>
            <w:tcW w:w="1163" w:type="dxa"/>
          </w:tcPr>
          <w:p w:rsidR="00A4143E" w:rsidRDefault="00A4143E" w:rsidP="00A4143E">
            <w:pPr>
              <w:jc w:val="center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center"/>
            </w:pPr>
            <w:r>
              <w:t>1</w:t>
            </w:r>
          </w:p>
        </w:tc>
        <w:tc>
          <w:tcPr>
            <w:tcW w:w="1089" w:type="dxa"/>
          </w:tcPr>
          <w:p w:rsidR="00A4143E" w:rsidRDefault="00A4143E" w:rsidP="00A4143E">
            <w:pPr>
              <w:jc w:val="center"/>
            </w:pPr>
            <w:r>
              <w:t>5</w:t>
            </w: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RV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KV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HV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ZEV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VVSRR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VŽP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VSP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VZ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VVVKMT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>ZAV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  <w:tr w:rsidR="00A4143E" w:rsidTr="00A4143E">
        <w:trPr>
          <w:trHeight w:val="238"/>
        </w:trPr>
        <w:tc>
          <w:tcPr>
            <w:tcW w:w="1472" w:type="dxa"/>
          </w:tcPr>
          <w:p w:rsidR="00A4143E" w:rsidRDefault="00A4143E" w:rsidP="00A4143E">
            <w:pPr>
              <w:jc w:val="both"/>
            </w:pPr>
            <w:r>
              <w:t xml:space="preserve">VEZ </w:t>
            </w:r>
          </w:p>
        </w:tc>
        <w:tc>
          <w:tcPr>
            <w:tcW w:w="1094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78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11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63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150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9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087" w:type="dxa"/>
          </w:tcPr>
          <w:p w:rsidR="00A4143E" w:rsidRDefault="00A4143E" w:rsidP="00A4143E">
            <w:pPr>
              <w:jc w:val="both"/>
            </w:pPr>
          </w:p>
        </w:tc>
        <w:tc>
          <w:tcPr>
            <w:tcW w:w="1362" w:type="dxa"/>
          </w:tcPr>
          <w:p w:rsidR="00A4143E" w:rsidRDefault="00A4143E" w:rsidP="00A4143E">
            <w:pPr>
              <w:jc w:val="both"/>
            </w:pPr>
          </w:p>
        </w:tc>
      </w:tr>
    </w:tbl>
    <w:p w:rsidR="00EF0EA6" w:rsidRDefault="00EF0EA6" w:rsidP="00EF0EA6">
      <w:pPr>
        <w:tabs>
          <w:tab w:val="left" w:pos="1286"/>
        </w:tabs>
        <w:jc w:val="center"/>
        <w:rPr>
          <w:u w:val="single"/>
        </w:rPr>
      </w:pPr>
      <w:r w:rsidRPr="002E7C60">
        <w:rPr>
          <w:u w:val="single"/>
        </w:rPr>
        <w:t>Období od 1. 7. 2017 do 31.12 2017</w:t>
      </w:r>
    </w:p>
    <w:p w:rsidR="00FE7F6E" w:rsidRPr="002E7C60" w:rsidRDefault="00FE7F6E" w:rsidP="00EF0EA6">
      <w:pPr>
        <w:tabs>
          <w:tab w:val="left" w:pos="1286"/>
        </w:tabs>
        <w:jc w:val="center"/>
        <w:rPr>
          <w:u w:val="single"/>
        </w:rPr>
      </w:pPr>
    </w:p>
    <w:p w:rsidR="00EF0EA6" w:rsidRDefault="00EF0EA6" w:rsidP="00EF0EA6">
      <w:pPr>
        <w:tabs>
          <w:tab w:val="left" w:pos="1286"/>
        </w:tabs>
      </w:pPr>
    </w:p>
    <w:p w:rsidR="002E7C60" w:rsidRDefault="002E7C60" w:rsidP="00EF0EA6">
      <w:pPr>
        <w:tabs>
          <w:tab w:val="left" w:pos="1286"/>
        </w:tabs>
      </w:pPr>
    </w:p>
    <w:p w:rsidR="002E7C60" w:rsidRDefault="002E7C60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4209FB" w:rsidRDefault="004209FB" w:rsidP="002E7C60">
      <w:pPr>
        <w:tabs>
          <w:tab w:val="left" w:pos="1286"/>
        </w:tabs>
        <w:jc w:val="center"/>
      </w:pPr>
    </w:p>
    <w:p w:rsidR="004209FB" w:rsidRDefault="004209FB" w:rsidP="002E7C60">
      <w:pPr>
        <w:tabs>
          <w:tab w:val="left" w:pos="1286"/>
        </w:tabs>
        <w:jc w:val="center"/>
      </w:pPr>
    </w:p>
    <w:p w:rsidR="004209FB" w:rsidRDefault="004209FB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5056F5" w:rsidRDefault="005056F5" w:rsidP="005056F5">
      <w:pPr>
        <w:jc w:val="right"/>
        <w:rPr>
          <w:b/>
        </w:rPr>
      </w:pPr>
    </w:p>
    <w:p w:rsidR="005056F5" w:rsidRDefault="005056F5" w:rsidP="005056F5">
      <w:pPr>
        <w:jc w:val="right"/>
        <w:rPr>
          <w:b/>
        </w:rPr>
      </w:pPr>
      <w:r>
        <w:rPr>
          <w:b/>
        </w:rPr>
        <w:t>Tabulka č. 2</w:t>
      </w:r>
    </w:p>
    <w:p w:rsidR="005056F5" w:rsidRDefault="005056F5" w:rsidP="005056F5">
      <w:pPr>
        <w:tabs>
          <w:tab w:val="left" w:pos="1286"/>
        </w:tabs>
        <w:jc w:val="center"/>
        <w:rPr>
          <w:b/>
        </w:rPr>
      </w:pPr>
    </w:p>
    <w:p w:rsidR="005056F5" w:rsidRPr="007B5E19" w:rsidRDefault="005056F5" w:rsidP="005056F5">
      <w:pPr>
        <w:tabs>
          <w:tab w:val="left" w:pos="1286"/>
        </w:tabs>
        <w:jc w:val="center"/>
        <w:rPr>
          <w:b/>
        </w:rPr>
      </w:pPr>
      <w:r w:rsidRPr="007B5E19">
        <w:rPr>
          <w:b/>
        </w:rPr>
        <w:t>PŘEHLED DOŠLÝCH PETIC POSLANEC</w:t>
      </w:r>
      <w:r>
        <w:rPr>
          <w:b/>
        </w:rPr>
        <w:t>KÉ SNĚMOVNĚ VE II. POLOLETÍ 2017</w:t>
      </w:r>
    </w:p>
    <w:p w:rsidR="005056F5" w:rsidRDefault="005056F5" w:rsidP="005056F5">
      <w:pPr>
        <w:tabs>
          <w:tab w:val="left" w:pos="1286"/>
        </w:tabs>
        <w:jc w:val="center"/>
      </w:pPr>
    </w:p>
    <w:p w:rsidR="00FE7F6E" w:rsidRDefault="00FE7F6E" w:rsidP="00FE7F6E">
      <w:pPr>
        <w:jc w:val="right"/>
        <w:rPr>
          <w:b/>
        </w:rPr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A3128C" w:rsidRDefault="00A3128C" w:rsidP="002E7C60">
      <w:pPr>
        <w:tabs>
          <w:tab w:val="left" w:pos="1286"/>
        </w:tabs>
        <w:jc w:val="center"/>
      </w:pPr>
    </w:p>
    <w:p w:rsidR="002E7C60" w:rsidRPr="007B5E19" w:rsidRDefault="002E7C60" w:rsidP="002E7C60">
      <w:pPr>
        <w:tabs>
          <w:tab w:val="left" w:pos="1286"/>
        </w:tabs>
        <w:jc w:val="center"/>
        <w:rPr>
          <w:b/>
        </w:rPr>
      </w:pPr>
    </w:p>
    <w:tbl>
      <w:tblPr>
        <w:tblStyle w:val="Prosttabulka4"/>
        <w:tblpPr w:leftFromText="141" w:rightFromText="141" w:vertAnchor="page" w:horzAnchor="margin" w:tblpXSpec="center" w:tblpY="2555"/>
        <w:tblW w:w="113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665"/>
        <w:gridCol w:w="294"/>
        <w:gridCol w:w="2258"/>
        <w:gridCol w:w="1701"/>
        <w:gridCol w:w="1396"/>
      </w:tblGrid>
      <w:tr w:rsidR="007553E5" w:rsidTr="00C14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</w:pP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3E5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</w:pP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PETICE </w:t>
            </w:r>
          </w:p>
        </w:tc>
        <w:tc>
          <w:tcPr>
            <w:tcW w:w="1396" w:type="dxa"/>
            <w:shd w:val="clear" w:color="auto" w:fill="FFFFFF" w:themeFill="background1"/>
          </w:tcPr>
          <w:p w:rsidR="00394714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PODPISY</w:t>
            </w:r>
          </w:p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</w:tr>
      <w:tr w:rsidR="007553E5" w:rsidTr="00C14DA7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7B5E19" w:rsidRPr="00EE5B72" w:rsidRDefault="007B5E19" w:rsidP="00494EA1">
            <w:pPr>
              <w:tabs>
                <w:tab w:val="left" w:pos="1286"/>
              </w:tabs>
              <w:rPr>
                <w:sz w:val="20"/>
                <w:szCs w:val="20"/>
              </w:rPr>
            </w:pPr>
            <w:r w:rsidRPr="00EE5B72">
              <w:rPr>
                <w:sz w:val="20"/>
                <w:szCs w:val="20"/>
              </w:rPr>
              <w:t xml:space="preserve">2406 měnové relace </w:t>
            </w: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3E5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 w:val="restart"/>
            <w:shd w:val="clear" w:color="auto" w:fill="FFFFFF" w:themeFill="background1"/>
          </w:tcPr>
          <w:p w:rsidR="00494EA1" w:rsidRPr="00EE5B72" w:rsidRDefault="007B5E19" w:rsidP="003E7A6E">
            <w:pPr>
              <w:tabs>
                <w:tab w:val="left" w:pos="0"/>
              </w:tabs>
              <w:rPr>
                <w:b w:val="0"/>
                <w:sz w:val="28"/>
                <w:szCs w:val="28"/>
              </w:rPr>
            </w:pPr>
            <w:r w:rsidRPr="00EE5B72">
              <w:rPr>
                <w:sz w:val="28"/>
                <w:szCs w:val="28"/>
              </w:rPr>
              <w:t xml:space="preserve">Odmítavé stanovisko k přijetí </w:t>
            </w:r>
            <w:r w:rsidR="00C14DA7" w:rsidRPr="00EE5B72">
              <w:rPr>
                <w:sz w:val="28"/>
                <w:szCs w:val="28"/>
              </w:rPr>
              <w:t>e</w:t>
            </w:r>
            <w:r w:rsidR="00494EA1" w:rsidRPr="00EE5B72">
              <w:rPr>
                <w:sz w:val="28"/>
                <w:szCs w:val="28"/>
              </w:rPr>
              <w:t>ura</w:t>
            </w:r>
          </w:p>
          <w:p w:rsidR="007B5E19" w:rsidRPr="00494EA1" w:rsidRDefault="00494EA1" w:rsidP="00494EA1">
            <w:pPr>
              <w:rPr>
                <w:b w:val="0"/>
                <w:sz w:val="20"/>
              </w:rPr>
            </w:pPr>
            <w:r>
              <w:rPr>
                <w:sz w:val="20"/>
              </w:rPr>
              <w:t xml:space="preserve">                 </w:t>
            </w:r>
            <w:r w:rsidR="007B5E19" w:rsidRPr="007B5E19">
              <w:rPr>
                <w:sz w:val="20"/>
              </w:rPr>
              <w:t>10. 8. 2017</w:t>
            </w:r>
          </w:p>
        </w:tc>
        <w:tc>
          <w:tcPr>
            <w:tcW w:w="294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53E5" w:rsidTr="00C14DA7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/>
            <w:shd w:val="clear" w:color="auto" w:fill="FFFFFF" w:themeFill="background1"/>
          </w:tcPr>
          <w:p w:rsidR="007B5E19" w:rsidRPr="00B27F50" w:rsidRDefault="007B5E19" w:rsidP="00494EA1">
            <w:pPr>
              <w:tabs>
                <w:tab w:val="left" w:pos="1286"/>
              </w:tabs>
              <w:jc w:val="right"/>
              <w:rPr>
                <w:sz w:val="20"/>
              </w:rPr>
            </w:pPr>
          </w:p>
        </w:tc>
        <w:tc>
          <w:tcPr>
            <w:tcW w:w="294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</w:tr>
      <w:tr w:rsidR="007553E5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CA4102" w:rsidRDefault="00CA4102" w:rsidP="00494EA1">
            <w:pPr>
              <w:rPr>
                <w:sz w:val="20"/>
                <w:szCs w:val="20"/>
              </w:rPr>
            </w:pPr>
          </w:p>
          <w:p w:rsidR="007B5E19" w:rsidRPr="00EE5B72" w:rsidRDefault="007B5E19" w:rsidP="00494EA1">
            <w:pPr>
              <w:rPr>
                <w:sz w:val="20"/>
                <w:szCs w:val="20"/>
              </w:rPr>
            </w:pPr>
            <w:r w:rsidRPr="00EE5B72">
              <w:rPr>
                <w:sz w:val="20"/>
                <w:szCs w:val="20"/>
              </w:rPr>
              <w:t>2826 sociální vztahy</w:t>
            </w: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53E5" w:rsidTr="00C14DA7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 w:val="restart"/>
            <w:shd w:val="clear" w:color="auto" w:fill="FFFFFF" w:themeFill="background1"/>
          </w:tcPr>
          <w:p w:rsidR="007B5E19" w:rsidRPr="00EE5B72" w:rsidRDefault="007B5E19" w:rsidP="003E7A6E">
            <w:pPr>
              <w:tabs>
                <w:tab w:val="left" w:pos="1286"/>
              </w:tabs>
              <w:rPr>
                <w:b w:val="0"/>
                <w:sz w:val="28"/>
                <w:szCs w:val="28"/>
              </w:rPr>
            </w:pPr>
            <w:r w:rsidRPr="00EE5B72">
              <w:rPr>
                <w:sz w:val="28"/>
                <w:szCs w:val="28"/>
              </w:rPr>
              <w:t>Nesouhlas s protikuřáckým zákonem</w:t>
            </w:r>
          </w:p>
          <w:p w:rsidR="00930DE8" w:rsidRPr="00B27F50" w:rsidRDefault="007B5E19" w:rsidP="00494EA1">
            <w:pPr>
              <w:tabs>
                <w:tab w:val="left" w:pos="1286"/>
              </w:tabs>
              <w:rPr>
                <w:sz w:val="20"/>
              </w:rPr>
            </w:pPr>
            <w:r w:rsidRPr="007B5E19">
              <w:rPr>
                <w:sz w:val="20"/>
              </w:rPr>
              <w:t xml:space="preserve">                13. 7. 2017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94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4EA1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rPr>
                <w:sz w:val="20"/>
              </w:rPr>
            </w:pPr>
          </w:p>
        </w:tc>
        <w:tc>
          <w:tcPr>
            <w:tcW w:w="294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21 040</w:t>
            </w:r>
          </w:p>
        </w:tc>
      </w:tr>
      <w:tr w:rsidR="007553E5" w:rsidTr="00C14DA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</w:pP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4EA1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7B5E19" w:rsidRPr="00EE5B72" w:rsidRDefault="007B5E19" w:rsidP="00494EA1">
            <w:pPr>
              <w:tabs>
                <w:tab w:val="left" w:pos="1286"/>
              </w:tabs>
              <w:jc w:val="both"/>
              <w:rPr>
                <w:sz w:val="20"/>
                <w:szCs w:val="20"/>
              </w:rPr>
            </w:pPr>
            <w:r w:rsidRPr="00EE5B72">
              <w:rPr>
                <w:sz w:val="20"/>
                <w:szCs w:val="20"/>
              </w:rPr>
              <w:t xml:space="preserve">2841 zdraví </w:t>
            </w: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53E5" w:rsidTr="00C14DA7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 w:val="restart"/>
            <w:shd w:val="clear" w:color="auto" w:fill="FFFFFF" w:themeFill="background1"/>
          </w:tcPr>
          <w:p w:rsidR="005A704C" w:rsidRPr="003E7A6E" w:rsidRDefault="007B5E19" w:rsidP="003E7A6E">
            <w:pPr>
              <w:tabs>
                <w:tab w:val="left" w:pos="1286"/>
              </w:tabs>
              <w:rPr>
                <w:sz w:val="28"/>
                <w:szCs w:val="28"/>
              </w:rPr>
            </w:pPr>
            <w:r w:rsidRPr="00EE5B72">
              <w:rPr>
                <w:sz w:val="28"/>
                <w:szCs w:val="28"/>
              </w:rPr>
              <w:t>P</w:t>
            </w:r>
            <w:r w:rsidR="00EE5B72">
              <w:rPr>
                <w:sz w:val="28"/>
                <w:szCs w:val="28"/>
              </w:rPr>
              <w:t xml:space="preserve">ožadavek týkající se legalizace </w:t>
            </w:r>
            <w:r w:rsidR="003E7A6E">
              <w:rPr>
                <w:sz w:val="28"/>
                <w:szCs w:val="28"/>
              </w:rPr>
              <w:t>marihuany</w:t>
            </w:r>
          </w:p>
          <w:p w:rsidR="007B5E19" w:rsidRDefault="007B5E19" w:rsidP="00494EA1">
            <w:pPr>
              <w:tabs>
                <w:tab w:val="left" w:pos="1286"/>
              </w:tabs>
            </w:pPr>
            <w:r w:rsidRPr="007B5E19">
              <w:rPr>
                <w:sz w:val="20"/>
              </w:rPr>
              <w:t xml:space="preserve">                23. 11. 2017</w:t>
            </w:r>
          </w:p>
        </w:tc>
        <w:tc>
          <w:tcPr>
            <w:tcW w:w="294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4EA1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rPr>
                <w:sz w:val="20"/>
              </w:rPr>
            </w:pPr>
          </w:p>
        </w:tc>
        <w:tc>
          <w:tcPr>
            <w:tcW w:w="294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69</w:t>
            </w:r>
          </w:p>
        </w:tc>
      </w:tr>
      <w:tr w:rsidR="00494EA1" w:rsidTr="00C14DA7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930DE8" w:rsidRDefault="00930DE8" w:rsidP="00494EA1">
            <w:pPr>
              <w:tabs>
                <w:tab w:val="left" w:pos="1286"/>
              </w:tabs>
              <w:rPr>
                <w:sz w:val="20"/>
                <w:szCs w:val="20"/>
              </w:rPr>
            </w:pPr>
          </w:p>
          <w:p w:rsidR="00930DE8" w:rsidRDefault="00930DE8" w:rsidP="00494EA1">
            <w:pPr>
              <w:tabs>
                <w:tab w:val="left" w:pos="1286"/>
              </w:tabs>
              <w:rPr>
                <w:sz w:val="20"/>
                <w:szCs w:val="20"/>
              </w:rPr>
            </w:pPr>
          </w:p>
          <w:p w:rsidR="00930DE8" w:rsidRPr="00EE5B72" w:rsidRDefault="00494EA1" w:rsidP="00494EA1">
            <w:pPr>
              <w:tabs>
                <w:tab w:val="left" w:pos="1286"/>
              </w:tabs>
              <w:rPr>
                <w:sz w:val="20"/>
                <w:szCs w:val="20"/>
              </w:rPr>
            </w:pPr>
            <w:r w:rsidRPr="00EE5B72">
              <w:rPr>
                <w:sz w:val="20"/>
                <w:szCs w:val="20"/>
              </w:rPr>
              <w:t>5216 poškozování životního prostředí</w:t>
            </w:r>
          </w:p>
        </w:tc>
        <w:tc>
          <w:tcPr>
            <w:tcW w:w="294" w:type="dxa"/>
            <w:shd w:val="clear" w:color="auto" w:fill="FFFFFF" w:themeFill="background1"/>
          </w:tcPr>
          <w:p w:rsidR="00494EA1" w:rsidRDefault="00494EA1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vMerge w:val="restart"/>
            <w:shd w:val="clear" w:color="auto" w:fill="FFFFFF" w:themeFill="background1"/>
          </w:tcPr>
          <w:p w:rsidR="00494EA1" w:rsidRDefault="00494EA1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494EA1" w:rsidRDefault="00494EA1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494EA1" w:rsidRDefault="00494EA1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3E5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494EA1" w:rsidRPr="00EE5B72" w:rsidRDefault="00494EA1" w:rsidP="005A704C">
            <w:pPr>
              <w:tabs>
                <w:tab w:val="left" w:pos="1286"/>
              </w:tabs>
              <w:rPr>
                <w:sz w:val="28"/>
                <w:szCs w:val="28"/>
              </w:rPr>
            </w:pPr>
            <w:r w:rsidRPr="00EE5B72">
              <w:rPr>
                <w:sz w:val="28"/>
                <w:szCs w:val="28"/>
              </w:rPr>
              <w:t>Protest pr</w:t>
            </w:r>
            <w:r w:rsidR="003E7A6E">
              <w:rPr>
                <w:sz w:val="28"/>
                <w:szCs w:val="28"/>
              </w:rPr>
              <w:t>oti znečisťování ovzduší v ob</w:t>
            </w:r>
            <w:r w:rsidR="005A704C">
              <w:rPr>
                <w:sz w:val="28"/>
                <w:szCs w:val="28"/>
              </w:rPr>
              <w:t>ci M</w:t>
            </w:r>
            <w:r w:rsidRPr="00EE5B72">
              <w:rPr>
                <w:sz w:val="28"/>
                <w:szCs w:val="28"/>
              </w:rPr>
              <w:t>ydlovary</w:t>
            </w:r>
          </w:p>
          <w:p w:rsidR="00494EA1" w:rsidRPr="00494EA1" w:rsidRDefault="00494EA1" w:rsidP="00494EA1">
            <w:pPr>
              <w:tabs>
                <w:tab w:val="left" w:pos="1286"/>
              </w:tabs>
              <w:rPr>
                <w:b w:val="0"/>
                <w:sz w:val="20"/>
              </w:rPr>
            </w:pPr>
            <w:r>
              <w:rPr>
                <w:sz w:val="20"/>
              </w:rPr>
              <w:t xml:space="preserve">         </w:t>
            </w:r>
            <w:r w:rsidR="007553E5">
              <w:rPr>
                <w:sz w:val="20"/>
              </w:rPr>
              <w:t xml:space="preserve">        </w:t>
            </w:r>
            <w:r>
              <w:rPr>
                <w:sz w:val="20"/>
              </w:rPr>
              <w:t xml:space="preserve">24. 7. 2017       </w:t>
            </w:r>
          </w:p>
        </w:tc>
        <w:tc>
          <w:tcPr>
            <w:tcW w:w="294" w:type="dxa"/>
            <w:shd w:val="clear" w:color="auto" w:fill="FFFFFF" w:themeFill="background1"/>
          </w:tcPr>
          <w:p w:rsidR="00494EA1" w:rsidRDefault="00494EA1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vMerge/>
            <w:shd w:val="clear" w:color="auto" w:fill="FFFFFF" w:themeFill="background1"/>
          </w:tcPr>
          <w:p w:rsidR="00494EA1" w:rsidRDefault="00494EA1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553E5" w:rsidRDefault="007553E5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553E5" w:rsidRDefault="007553E5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  <w:p w:rsidR="00494EA1" w:rsidRDefault="00494EA1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553E5" w:rsidRDefault="007553E5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553E5" w:rsidRDefault="00160DAE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170</w:t>
            </w:r>
          </w:p>
          <w:p w:rsidR="00494EA1" w:rsidRDefault="00494EA1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53E5" w:rsidTr="00C14DA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7B5E19" w:rsidRPr="00A4143E" w:rsidRDefault="007B5E19" w:rsidP="00494EA1">
            <w:pPr>
              <w:tabs>
                <w:tab w:val="left" w:pos="1286"/>
              </w:tabs>
              <w:jc w:val="center"/>
              <w:rPr>
                <w:b w:val="0"/>
                <w:sz w:val="28"/>
              </w:rPr>
            </w:pP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3E5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FFF" w:themeFill="background1"/>
          </w:tcPr>
          <w:p w:rsidR="007B5E19" w:rsidRPr="00EE5B72" w:rsidRDefault="007B5E19" w:rsidP="00494EA1">
            <w:pPr>
              <w:tabs>
                <w:tab w:val="left" w:pos="1286"/>
              </w:tabs>
              <w:rPr>
                <w:sz w:val="20"/>
                <w:szCs w:val="20"/>
              </w:rPr>
            </w:pPr>
            <w:r w:rsidRPr="00EE5B72">
              <w:rPr>
                <w:sz w:val="20"/>
                <w:szCs w:val="20"/>
              </w:rPr>
              <w:t xml:space="preserve">6611 uhelný a těžební průmysl </w:t>
            </w:r>
          </w:p>
        </w:tc>
        <w:tc>
          <w:tcPr>
            <w:tcW w:w="294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53E5" w:rsidTr="00C14DA7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 w:val="restart"/>
            <w:shd w:val="clear" w:color="auto" w:fill="FFFFFF" w:themeFill="background1"/>
          </w:tcPr>
          <w:p w:rsidR="007B5E19" w:rsidRPr="00EE5B72" w:rsidRDefault="007B5E19" w:rsidP="003E7A6E">
            <w:pPr>
              <w:tabs>
                <w:tab w:val="left" w:pos="1286"/>
              </w:tabs>
              <w:rPr>
                <w:b w:val="0"/>
                <w:sz w:val="28"/>
                <w:szCs w:val="28"/>
              </w:rPr>
            </w:pPr>
            <w:r w:rsidRPr="00EE5B72">
              <w:rPr>
                <w:sz w:val="28"/>
                <w:szCs w:val="28"/>
              </w:rPr>
              <w:t>Protest proti memorandu k těžbě lithia</w:t>
            </w:r>
          </w:p>
          <w:p w:rsidR="007B5E19" w:rsidRPr="007B5E19" w:rsidRDefault="007B5E19" w:rsidP="002F46EE">
            <w:pPr>
              <w:rPr>
                <w:sz w:val="20"/>
              </w:rPr>
            </w:pPr>
            <w:r w:rsidRPr="007B5E19">
              <w:rPr>
                <w:sz w:val="20"/>
              </w:rPr>
              <w:t xml:space="preserve">              </w:t>
            </w:r>
            <w:r w:rsidR="002F46EE">
              <w:rPr>
                <w:sz w:val="20"/>
              </w:rPr>
              <w:t xml:space="preserve">  </w:t>
            </w:r>
            <w:r w:rsidRPr="007B5E19">
              <w:rPr>
                <w:sz w:val="20"/>
              </w:rPr>
              <w:t>18. 10. 2017</w:t>
            </w:r>
          </w:p>
        </w:tc>
        <w:tc>
          <w:tcPr>
            <w:tcW w:w="294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vMerge w:val="restart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3E5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Merge/>
            <w:shd w:val="clear" w:color="auto" w:fill="FFFFFF" w:themeFill="background1"/>
          </w:tcPr>
          <w:p w:rsidR="007B5E19" w:rsidRPr="007B5E19" w:rsidRDefault="007B5E19" w:rsidP="00494EA1">
            <w:pPr>
              <w:tabs>
                <w:tab w:val="left" w:pos="1286"/>
              </w:tabs>
              <w:jc w:val="center"/>
              <w:rPr>
                <w:sz w:val="20"/>
              </w:rPr>
            </w:pPr>
          </w:p>
        </w:tc>
        <w:tc>
          <w:tcPr>
            <w:tcW w:w="294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8" w:type="dxa"/>
            <w:vMerge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494EA1" w:rsidTr="00C14DA7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4" w:type="dxa"/>
            <w:gridSpan w:val="5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</w:pPr>
          </w:p>
        </w:tc>
      </w:tr>
      <w:tr w:rsidR="007553E5" w:rsidTr="00C14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9" w:type="dxa"/>
            <w:gridSpan w:val="2"/>
            <w:shd w:val="clear" w:color="auto" w:fill="FFFFFF" w:themeFill="background1"/>
          </w:tcPr>
          <w:p w:rsidR="00394714" w:rsidRDefault="00394714" w:rsidP="00494EA1">
            <w:pPr>
              <w:tabs>
                <w:tab w:val="left" w:pos="1286"/>
              </w:tabs>
              <w:jc w:val="center"/>
            </w:pPr>
          </w:p>
          <w:p w:rsidR="007B5E19" w:rsidRDefault="007B5E19" w:rsidP="003E7A6E">
            <w:pPr>
              <w:tabs>
                <w:tab w:val="left" w:pos="1286"/>
              </w:tabs>
            </w:pPr>
            <w:r>
              <w:t xml:space="preserve">CELKEM </w:t>
            </w:r>
          </w:p>
        </w:tc>
        <w:tc>
          <w:tcPr>
            <w:tcW w:w="2258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5E19" w:rsidRPr="007553E5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553E5">
              <w:rPr>
                <w:b/>
              </w:rPr>
              <w:t>5</w:t>
            </w:r>
          </w:p>
        </w:tc>
        <w:tc>
          <w:tcPr>
            <w:tcW w:w="1396" w:type="dxa"/>
            <w:shd w:val="clear" w:color="auto" w:fill="FFFFFF" w:themeFill="background1"/>
          </w:tcPr>
          <w:p w:rsidR="007B5E19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5E19" w:rsidRPr="007553E5" w:rsidRDefault="007B5E19" w:rsidP="00494EA1">
            <w:pPr>
              <w:tabs>
                <w:tab w:val="left" w:pos="12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553E5">
              <w:rPr>
                <w:b/>
              </w:rPr>
              <w:t xml:space="preserve">21 287 </w:t>
            </w:r>
          </w:p>
        </w:tc>
      </w:tr>
    </w:tbl>
    <w:p w:rsidR="002E7C60" w:rsidRPr="00EF0EA6" w:rsidRDefault="002E7C60" w:rsidP="002E7C60">
      <w:pPr>
        <w:tabs>
          <w:tab w:val="left" w:pos="1286"/>
        </w:tabs>
        <w:jc w:val="center"/>
      </w:pPr>
    </w:p>
    <w:sectPr w:rsidR="002E7C60" w:rsidRPr="00EF0EA6"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337" w:rsidRDefault="00890337">
      <w:r>
        <w:separator/>
      </w:r>
    </w:p>
  </w:endnote>
  <w:endnote w:type="continuationSeparator" w:id="0">
    <w:p w:rsidR="00890337" w:rsidRDefault="0089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Rockwell Condensed">
    <w:altName w:val="Century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337" w:rsidRDefault="00890337">
      <w:r>
        <w:separator/>
      </w:r>
    </w:p>
  </w:footnote>
  <w:footnote w:type="continuationSeparator" w:id="0">
    <w:p w:rsidR="00890337" w:rsidRDefault="00890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804C8F"/>
    <w:multiLevelType w:val="hybridMultilevel"/>
    <w:tmpl w:val="1F0EA7DE"/>
    <w:lvl w:ilvl="0" w:tplc="8B4AF772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A1482"/>
    <w:multiLevelType w:val="hybridMultilevel"/>
    <w:tmpl w:val="D856DA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74066"/>
    <w:multiLevelType w:val="hybridMultilevel"/>
    <w:tmpl w:val="E676E0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48"/>
    <w:rsid w:val="00000F57"/>
    <w:rsid w:val="000204C2"/>
    <w:rsid w:val="00027D5D"/>
    <w:rsid w:val="000308CB"/>
    <w:rsid w:val="00033C2A"/>
    <w:rsid w:val="00046098"/>
    <w:rsid w:val="000613D5"/>
    <w:rsid w:val="000864E1"/>
    <w:rsid w:val="000B5A25"/>
    <w:rsid w:val="000B6917"/>
    <w:rsid w:val="000F16C2"/>
    <w:rsid w:val="00120EAD"/>
    <w:rsid w:val="00131810"/>
    <w:rsid w:val="001413C5"/>
    <w:rsid w:val="00153F97"/>
    <w:rsid w:val="00160DAE"/>
    <w:rsid w:val="001648E9"/>
    <w:rsid w:val="00183949"/>
    <w:rsid w:val="001959A6"/>
    <w:rsid w:val="001A1B9A"/>
    <w:rsid w:val="001B655D"/>
    <w:rsid w:val="001E1561"/>
    <w:rsid w:val="001E19C1"/>
    <w:rsid w:val="002139CC"/>
    <w:rsid w:val="0022118D"/>
    <w:rsid w:val="0022719E"/>
    <w:rsid w:val="0024325F"/>
    <w:rsid w:val="002755AB"/>
    <w:rsid w:val="002860AA"/>
    <w:rsid w:val="002C65C2"/>
    <w:rsid w:val="002E2378"/>
    <w:rsid w:val="002E7C60"/>
    <w:rsid w:val="002F46EE"/>
    <w:rsid w:val="002F5C3A"/>
    <w:rsid w:val="00304368"/>
    <w:rsid w:val="0031230E"/>
    <w:rsid w:val="00325694"/>
    <w:rsid w:val="00340472"/>
    <w:rsid w:val="003448A2"/>
    <w:rsid w:val="00356FD3"/>
    <w:rsid w:val="00367DA9"/>
    <w:rsid w:val="00394714"/>
    <w:rsid w:val="003A0629"/>
    <w:rsid w:val="003C1686"/>
    <w:rsid w:val="003D2500"/>
    <w:rsid w:val="003E7A6E"/>
    <w:rsid w:val="004209FB"/>
    <w:rsid w:val="00426A1D"/>
    <w:rsid w:val="004509BA"/>
    <w:rsid w:val="00471FB2"/>
    <w:rsid w:val="00472EF2"/>
    <w:rsid w:val="00473927"/>
    <w:rsid w:val="00494EA1"/>
    <w:rsid w:val="004E78E7"/>
    <w:rsid w:val="004F7831"/>
    <w:rsid w:val="00501BCF"/>
    <w:rsid w:val="005056F5"/>
    <w:rsid w:val="00512213"/>
    <w:rsid w:val="00543009"/>
    <w:rsid w:val="005442CD"/>
    <w:rsid w:val="00553997"/>
    <w:rsid w:val="00561142"/>
    <w:rsid w:val="00565541"/>
    <w:rsid w:val="00581471"/>
    <w:rsid w:val="005A704C"/>
    <w:rsid w:val="0062588C"/>
    <w:rsid w:val="00625E55"/>
    <w:rsid w:val="006403C0"/>
    <w:rsid w:val="00694098"/>
    <w:rsid w:val="00697F26"/>
    <w:rsid w:val="006A10BC"/>
    <w:rsid w:val="00746C12"/>
    <w:rsid w:val="007478C2"/>
    <w:rsid w:val="007553E5"/>
    <w:rsid w:val="00761BA3"/>
    <w:rsid w:val="00762559"/>
    <w:rsid w:val="00763DDF"/>
    <w:rsid w:val="007701D5"/>
    <w:rsid w:val="00777731"/>
    <w:rsid w:val="00794D59"/>
    <w:rsid w:val="007B3AEF"/>
    <w:rsid w:val="007B5E19"/>
    <w:rsid w:val="007E63B6"/>
    <w:rsid w:val="0080052D"/>
    <w:rsid w:val="0081555E"/>
    <w:rsid w:val="0082069C"/>
    <w:rsid w:val="00850A0B"/>
    <w:rsid w:val="00860213"/>
    <w:rsid w:val="00862BD5"/>
    <w:rsid w:val="00890337"/>
    <w:rsid w:val="0089732F"/>
    <w:rsid w:val="008A009F"/>
    <w:rsid w:val="008E64E0"/>
    <w:rsid w:val="00915938"/>
    <w:rsid w:val="009229B7"/>
    <w:rsid w:val="00926F19"/>
    <w:rsid w:val="00927B54"/>
    <w:rsid w:val="00930DE8"/>
    <w:rsid w:val="009363A9"/>
    <w:rsid w:val="00946161"/>
    <w:rsid w:val="009A3348"/>
    <w:rsid w:val="009C10FB"/>
    <w:rsid w:val="009F1901"/>
    <w:rsid w:val="00A10EBA"/>
    <w:rsid w:val="00A3128C"/>
    <w:rsid w:val="00A4143E"/>
    <w:rsid w:val="00A44C09"/>
    <w:rsid w:val="00A6419E"/>
    <w:rsid w:val="00A65972"/>
    <w:rsid w:val="00A84286"/>
    <w:rsid w:val="00AA49C6"/>
    <w:rsid w:val="00AC35A4"/>
    <w:rsid w:val="00AC5878"/>
    <w:rsid w:val="00AD0F48"/>
    <w:rsid w:val="00AF41E7"/>
    <w:rsid w:val="00B27F50"/>
    <w:rsid w:val="00B4616A"/>
    <w:rsid w:val="00B72126"/>
    <w:rsid w:val="00B749B0"/>
    <w:rsid w:val="00B97F24"/>
    <w:rsid w:val="00BA329E"/>
    <w:rsid w:val="00BA40AE"/>
    <w:rsid w:val="00BC2E8A"/>
    <w:rsid w:val="00BD44F0"/>
    <w:rsid w:val="00BE2672"/>
    <w:rsid w:val="00C10292"/>
    <w:rsid w:val="00C1093F"/>
    <w:rsid w:val="00C14DA7"/>
    <w:rsid w:val="00C20E99"/>
    <w:rsid w:val="00C62A66"/>
    <w:rsid w:val="00C90D63"/>
    <w:rsid w:val="00CA4102"/>
    <w:rsid w:val="00CE7FB6"/>
    <w:rsid w:val="00D271C4"/>
    <w:rsid w:val="00D6445C"/>
    <w:rsid w:val="00D72653"/>
    <w:rsid w:val="00D742D5"/>
    <w:rsid w:val="00D93DCF"/>
    <w:rsid w:val="00DB15D1"/>
    <w:rsid w:val="00E0387B"/>
    <w:rsid w:val="00E24E48"/>
    <w:rsid w:val="00E41980"/>
    <w:rsid w:val="00E43F5E"/>
    <w:rsid w:val="00E47066"/>
    <w:rsid w:val="00E8451B"/>
    <w:rsid w:val="00EB2EF4"/>
    <w:rsid w:val="00EC0A6B"/>
    <w:rsid w:val="00EE5B72"/>
    <w:rsid w:val="00EF0EA6"/>
    <w:rsid w:val="00F8018F"/>
    <w:rsid w:val="00F93020"/>
    <w:rsid w:val="00FB6CB1"/>
    <w:rsid w:val="00FE7F6E"/>
    <w:rsid w:val="00FF5CB0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E4A5B-C6CC-4947-9526-E3AD4250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eastAsia="Calibri"/>
      <w:color w:val="00000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EE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33D6"/>
  </w:style>
  <w:style w:type="character" w:customStyle="1" w:styleId="ZpatChar">
    <w:name w:val="Zápatí Char"/>
    <w:basedOn w:val="Standardnpsmoodstavce"/>
    <w:link w:val="Zpat"/>
    <w:uiPriority w:val="99"/>
    <w:rsid w:val="008933D6"/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Normlnweb">
    <w:name w:val="Normal (Web)"/>
    <w:basedOn w:val="Normln"/>
    <w:uiPriority w:val="99"/>
    <w:unhideWhenUsed/>
    <w:rsid w:val="005751A4"/>
    <w:pPr>
      <w:spacing w:before="280"/>
      <w:jc w:val="center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5751A4"/>
    <w:pPr>
      <w:spacing w:before="280"/>
      <w:jc w:val="center"/>
    </w:pPr>
    <w:rPr>
      <w:rFonts w:eastAsia="Times New Roman" w:cs="Times New Roman"/>
      <w:b/>
      <w:bCs/>
      <w:color w:val="00000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EE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933D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8933D6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501BCF"/>
    <w:pPr>
      <w:ind w:left="720"/>
      <w:contextualSpacing/>
    </w:pPr>
  </w:style>
  <w:style w:type="table" w:styleId="Mkatabulky">
    <w:name w:val="Table Grid"/>
    <w:basedOn w:val="Normlntabulka"/>
    <w:uiPriority w:val="39"/>
    <w:rsid w:val="00EF0E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4">
    <w:name w:val="Plain Table 4"/>
    <w:basedOn w:val="Normlntabulka"/>
    <w:uiPriority w:val="44"/>
    <w:rsid w:val="007B5E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7B5E1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1">
    <w:name w:val="Plain Table 1"/>
    <w:basedOn w:val="Normlntabulka"/>
    <w:uiPriority w:val="41"/>
    <w:rsid w:val="00494EA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160DA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6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6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1BAB8-68B4-4098-8309-15C7A6F1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1496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Zanova Lada</dc:creator>
  <cp:lastModifiedBy>ZelenkovaM</cp:lastModifiedBy>
  <cp:revision>2</cp:revision>
  <cp:lastPrinted>2018-02-14T09:26:00Z</cp:lastPrinted>
  <dcterms:created xsi:type="dcterms:W3CDTF">2018-02-14T09:42:00Z</dcterms:created>
  <dcterms:modified xsi:type="dcterms:W3CDTF">2018-02-14T09:42:00Z</dcterms:modified>
  <dc:language>cs-CZ</dc:language>
</cp:coreProperties>
</file>