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262" w:rsidRPr="00930A4D" w:rsidRDefault="00624262" w:rsidP="00624262">
      <w:pPr>
        <w:jc w:val="center"/>
        <w:outlineLvl w:val="0"/>
        <w:rPr>
          <w:rFonts w:ascii="Times New Roman" w:hAnsi="Times New Roman"/>
          <w:b/>
          <w:sz w:val="24"/>
          <w:szCs w:val="24"/>
        </w:rPr>
      </w:pPr>
      <w:r>
        <w:rPr>
          <w:rFonts w:ascii="Times New Roman" w:hAnsi="Times New Roman"/>
          <w:b/>
          <w:sz w:val="24"/>
          <w:szCs w:val="24"/>
        </w:rPr>
        <w:t xml:space="preserve">Pozměňovací návrh </w:t>
      </w:r>
      <w:r w:rsidRPr="00930A4D">
        <w:rPr>
          <w:rFonts w:ascii="Times New Roman" w:hAnsi="Times New Roman"/>
          <w:b/>
          <w:sz w:val="24"/>
          <w:szCs w:val="24"/>
        </w:rPr>
        <w:t>k vládnímu návrhu zákona, kterým se mění zákon č. 6/1993 Sb., o</w:t>
      </w:r>
      <w:r>
        <w:rPr>
          <w:rFonts w:ascii="Times New Roman" w:hAnsi="Times New Roman"/>
          <w:b/>
          <w:sz w:val="24"/>
          <w:szCs w:val="24"/>
        </w:rPr>
        <w:t> </w:t>
      </w:r>
      <w:r w:rsidRPr="00930A4D">
        <w:rPr>
          <w:rFonts w:ascii="Times New Roman" w:hAnsi="Times New Roman"/>
          <w:b/>
          <w:sz w:val="24"/>
          <w:szCs w:val="24"/>
        </w:rPr>
        <w:t>České národní bance, ve znění pozdějších předpisů, a zákon č. 136/2011 Sb., o oběhu bankovek a mincí a o změně zákona č. 6/1993 Sb., o České národní bance, ve znění pozdějších předpisů, ve znění pozdějších předpisů</w:t>
      </w:r>
    </w:p>
    <w:p w:rsidR="00624262" w:rsidRPr="00930A4D" w:rsidRDefault="00624262" w:rsidP="00624262">
      <w:pPr>
        <w:outlineLvl w:val="0"/>
        <w:rPr>
          <w:rFonts w:ascii="Times New Roman" w:hAnsi="Times New Roman"/>
          <w:b/>
          <w:sz w:val="24"/>
          <w:szCs w:val="24"/>
        </w:rPr>
      </w:pPr>
    </w:p>
    <w:p w:rsidR="00624262" w:rsidRDefault="00624262" w:rsidP="00624262">
      <w:pPr>
        <w:jc w:val="center"/>
        <w:outlineLvl w:val="0"/>
        <w:rPr>
          <w:rFonts w:ascii="Times New Roman" w:hAnsi="Times New Roman"/>
          <w:b/>
          <w:sz w:val="24"/>
          <w:szCs w:val="24"/>
        </w:rPr>
      </w:pPr>
      <w:r w:rsidRPr="00930A4D">
        <w:rPr>
          <w:rFonts w:ascii="Times New Roman" w:hAnsi="Times New Roman"/>
          <w:b/>
          <w:sz w:val="24"/>
          <w:szCs w:val="24"/>
        </w:rPr>
        <w:t>(sněmovní tisk 1009)</w:t>
      </w:r>
    </w:p>
    <w:p w:rsidR="00624262" w:rsidRPr="00930A4D" w:rsidRDefault="00624262" w:rsidP="00624262">
      <w:pPr>
        <w:jc w:val="center"/>
        <w:outlineLvl w:val="0"/>
        <w:rPr>
          <w:rFonts w:ascii="Times New Roman" w:hAnsi="Times New Roman"/>
          <w:b/>
          <w:sz w:val="24"/>
          <w:szCs w:val="24"/>
        </w:rPr>
      </w:pPr>
    </w:p>
    <w:p w:rsidR="00624262" w:rsidRPr="00930A4D" w:rsidRDefault="00624262" w:rsidP="00624262">
      <w:pPr>
        <w:jc w:val="center"/>
        <w:outlineLvl w:val="0"/>
        <w:rPr>
          <w:rFonts w:ascii="Times New Roman" w:hAnsi="Times New Roman"/>
          <w:b/>
          <w:sz w:val="24"/>
          <w:szCs w:val="24"/>
        </w:rPr>
      </w:pPr>
    </w:p>
    <w:p w:rsidR="00624262" w:rsidRDefault="00624262" w:rsidP="00624262">
      <w:pPr>
        <w:numPr>
          <w:ilvl w:val="0"/>
          <w:numId w:val="1"/>
        </w:numPr>
        <w:ind w:left="567" w:hanging="567"/>
        <w:rPr>
          <w:rFonts w:ascii="Times New Roman" w:hAnsi="Times New Roman"/>
          <w:b/>
          <w:sz w:val="24"/>
          <w:szCs w:val="24"/>
          <w:u w:val="single"/>
        </w:rPr>
      </w:pPr>
      <w:r>
        <w:rPr>
          <w:rFonts w:ascii="Times New Roman" w:hAnsi="Times New Roman"/>
          <w:b/>
          <w:sz w:val="24"/>
          <w:szCs w:val="24"/>
          <w:u w:val="single"/>
        </w:rPr>
        <w:t>Návrh</w:t>
      </w:r>
      <w:r w:rsidRPr="00930A4D">
        <w:rPr>
          <w:rFonts w:ascii="Times New Roman" w:hAnsi="Times New Roman"/>
          <w:b/>
          <w:sz w:val="24"/>
          <w:szCs w:val="24"/>
          <w:u w:val="single"/>
        </w:rPr>
        <w:t xml:space="preserve"> změn:</w:t>
      </w:r>
    </w:p>
    <w:p w:rsidR="00624262" w:rsidRPr="00930A4D" w:rsidRDefault="00624262" w:rsidP="00624262">
      <w:pPr>
        <w:ind w:left="567"/>
        <w:rPr>
          <w:rFonts w:ascii="Times New Roman" w:hAnsi="Times New Roman"/>
          <w:b/>
          <w:sz w:val="24"/>
          <w:szCs w:val="24"/>
          <w:u w:val="single"/>
        </w:rPr>
      </w:pPr>
    </w:p>
    <w:p w:rsidR="00624262" w:rsidRPr="00C44757" w:rsidRDefault="00624262" w:rsidP="00624262">
      <w:pPr>
        <w:ind w:left="567"/>
        <w:rPr>
          <w:rFonts w:ascii="Times New Roman" w:hAnsi="Times New Roman"/>
          <w:sz w:val="24"/>
          <w:szCs w:val="24"/>
        </w:rPr>
      </w:pPr>
      <w:r>
        <w:rPr>
          <w:rFonts w:ascii="Times New Roman" w:hAnsi="Times New Roman"/>
          <w:sz w:val="24"/>
          <w:szCs w:val="24"/>
        </w:rPr>
        <w:t>V čl. I bodu 35 se</w:t>
      </w:r>
      <w:r w:rsidRPr="00C44757">
        <w:rPr>
          <w:rFonts w:ascii="Times New Roman" w:hAnsi="Times New Roman"/>
          <w:sz w:val="24"/>
          <w:szCs w:val="24"/>
        </w:rPr>
        <w:t xml:space="preserve"> </w:t>
      </w:r>
      <w:r>
        <w:rPr>
          <w:rFonts w:ascii="Times New Roman" w:hAnsi="Times New Roman"/>
          <w:sz w:val="24"/>
          <w:szCs w:val="24"/>
        </w:rPr>
        <w:t>v </w:t>
      </w:r>
      <w:r w:rsidRPr="00C44757">
        <w:rPr>
          <w:rFonts w:ascii="Times New Roman" w:hAnsi="Times New Roman"/>
          <w:sz w:val="24"/>
          <w:szCs w:val="24"/>
        </w:rPr>
        <w:t>45</w:t>
      </w:r>
      <w:r>
        <w:rPr>
          <w:rFonts w:ascii="Times New Roman" w:hAnsi="Times New Roman"/>
          <w:sz w:val="24"/>
          <w:szCs w:val="24"/>
        </w:rPr>
        <w:t xml:space="preserve">a </w:t>
      </w:r>
      <w:r w:rsidRPr="00C44757">
        <w:rPr>
          <w:rFonts w:ascii="Times New Roman" w:hAnsi="Times New Roman"/>
          <w:sz w:val="24"/>
          <w:szCs w:val="24"/>
        </w:rPr>
        <w:t xml:space="preserve">odst. </w:t>
      </w:r>
      <w:r>
        <w:rPr>
          <w:rFonts w:ascii="Times New Roman" w:hAnsi="Times New Roman"/>
          <w:sz w:val="24"/>
          <w:szCs w:val="24"/>
        </w:rPr>
        <w:t>4 písmeno b) zrušuje a písmeno c) se nově označuje jako písmeno b).</w:t>
      </w:r>
    </w:p>
    <w:p w:rsidR="00624262" w:rsidRPr="00930A4D" w:rsidRDefault="00624262" w:rsidP="00624262">
      <w:pPr>
        <w:ind w:left="567"/>
        <w:rPr>
          <w:rFonts w:ascii="Times New Roman" w:hAnsi="Times New Roman"/>
          <w:sz w:val="24"/>
          <w:szCs w:val="24"/>
        </w:rPr>
      </w:pPr>
    </w:p>
    <w:p w:rsidR="00624262" w:rsidRDefault="00624262" w:rsidP="00624262">
      <w:pPr>
        <w:numPr>
          <w:ilvl w:val="0"/>
          <w:numId w:val="1"/>
        </w:numPr>
        <w:ind w:left="567" w:hanging="567"/>
        <w:rPr>
          <w:rFonts w:ascii="Times New Roman" w:hAnsi="Times New Roman"/>
          <w:b/>
          <w:sz w:val="24"/>
          <w:szCs w:val="24"/>
          <w:u w:val="single"/>
        </w:rPr>
      </w:pPr>
      <w:r w:rsidRPr="00930A4D">
        <w:rPr>
          <w:rFonts w:ascii="Times New Roman" w:hAnsi="Times New Roman"/>
          <w:b/>
          <w:sz w:val="24"/>
          <w:szCs w:val="24"/>
          <w:u w:val="single"/>
        </w:rPr>
        <w:t>Odůvodnění</w:t>
      </w:r>
    </w:p>
    <w:p w:rsidR="00624262" w:rsidRDefault="00624262" w:rsidP="00624262">
      <w:pPr>
        <w:rPr>
          <w:rFonts w:ascii="Times New Roman" w:hAnsi="Times New Roman"/>
          <w:sz w:val="24"/>
          <w:szCs w:val="24"/>
        </w:rPr>
      </w:pPr>
      <w:r w:rsidRPr="00364384">
        <w:rPr>
          <w:rFonts w:ascii="Times New Roman" w:hAnsi="Times New Roman"/>
          <w:sz w:val="24"/>
          <w:szCs w:val="24"/>
        </w:rPr>
        <w:t xml:space="preserve">Cílem pozměňovacího návrhu je vyloučit z regulace nastavení horní hranice úvěrového ukazatele poměřujícího celkovou výši dluhů spotřebitele k jeho příjmům (DTI). Tento ukazatel </w:t>
      </w:r>
      <w:r>
        <w:rPr>
          <w:rFonts w:ascii="Times New Roman" w:hAnsi="Times New Roman"/>
          <w:sz w:val="24"/>
          <w:szCs w:val="24"/>
        </w:rPr>
        <w:t xml:space="preserve">nezohledňuje rozdílnost žadatelů o úvěry, kdy např. mladý žadatel na počátku své pracovní kariéry disponuje spíše nižším příjmem, avšak jeho délka ekonomického života je relativně delší, tedy je při vhodně nastavené splatnosti úvěru stále schopen úvěr splatit. Stejně tak je problémem tohoto ukazatele fakt, že je </w:t>
      </w:r>
      <w:proofErr w:type="spellStart"/>
      <w:r>
        <w:rPr>
          <w:rFonts w:ascii="Times New Roman" w:hAnsi="Times New Roman"/>
          <w:sz w:val="24"/>
          <w:szCs w:val="24"/>
        </w:rPr>
        <w:t>zpěthledící</w:t>
      </w:r>
      <w:proofErr w:type="spellEnd"/>
      <w:r>
        <w:rPr>
          <w:rFonts w:ascii="Times New Roman" w:hAnsi="Times New Roman"/>
          <w:sz w:val="24"/>
          <w:szCs w:val="24"/>
        </w:rPr>
        <w:t xml:space="preserve"> (jak uvádí také návrh vyhlášky ČNB s podrobnějším vzorcem tohoto ukazatele), tedy opět nezohledňuje budoucí vývoj příjmů, který je rozhodující pro to, aby byl daný úvěr řádně splácen a nakonec splacen (a tedy negeneroval rizika). To může být zásadní opět např. pro mladé žadatele o hypoteční úvěr. Pevný limit pro výši úvěru v podobě násobku jeho platu pak takové žadatele diskriminuje.</w:t>
      </w:r>
    </w:p>
    <w:p w:rsidR="00624262" w:rsidRDefault="00624262" w:rsidP="00624262">
      <w:pPr>
        <w:rPr>
          <w:rFonts w:ascii="Times New Roman" w:hAnsi="Times New Roman"/>
          <w:sz w:val="24"/>
          <w:szCs w:val="24"/>
        </w:rPr>
      </w:pPr>
    </w:p>
    <w:p w:rsidR="00044DDD" w:rsidRDefault="00624262">
      <w:r w:rsidRPr="00364384">
        <w:rPr>
          <w:rFonts w:ascii="Times New Roman" w:hAnsi="Times New Roman"/>
          <w:sz w:val="24"/>
          <w:szCs w:val="24"/>
        </w:rPr>
        <w:t>K ošetření hrozby nárůstu systémového rizika se jako dostatečn</w:t>
      </w:r>
      <w:r>
        <w:rPr>
          <w:rFonts w:ascii="Times New Roman" w:hAnsi="Times New Roman"/>
          <w:sz w:val="24"/>
          <w:szCs w:val="24"/>
        </w:rPr>
        <w:t>ý</w:t>
      </w:r>
      <w:r w:rsidRPr="00364384">
        <w:rPr>
          <w:rFonts w:ascii="Times New Roman" w:hAnsi="Times New Roman"/>
          <w:sz w:val="24"/>
          <w:szCs w:val="24"/>
        </w:rPr>
        <w:t xml:space="preserve"> jeví ukazatel poměřující celkovou výši dluhů spotřebitele ze spotřebitelských úvěrů zajištěných stejnou obytnou nemovitostí k hodnotě zajištění (LTV) a ukazatel poměřující výdaje spotřebitele vyplývající z celkové výše dluhů spotřebitele k jeho příjmům (DSTI). </w:t>
      </w:r>
      <w:bookmarkStart w:id="0" w:name="_GoBack"/>
      <w:bookmarkEnd w:id="0"/>
    </w:p>
    <w:sectPr w:rsidR="00044DDD" w:rsidSect="00B26A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02B01"/>
    <w:multiLevelType w:val="hybridMultilevel"/>
    <w:tmpl w:val="ADFAE124"/>
    <w:lvl w:ilvl="0" w:tplc="792E35F6">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262"/>
    <w:rsid w:val="00044DDD"/>
    <w:rsid w:val="00624262"/>
    <w:rsid w:val="009547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24262"/>
    <w:pPr>
      <w:overflowPunct w:val="0"/>
      <w:autoSpaceDE w:val="0"/>
      <w:autoSpaceDN w:val="0"/>
      <w:adjustRightInd w:val="0"/>
      <w:spacing w:after="0" w:line="240" w:lineRule="auto"/>
      <w:jc w:val="both"/>
      <w:textAlignment w:val="baseline"/>
    </w:pPr>
    <w:rPr>
      <w:rFonts w:ascii="Arial" w:eastAsia="Times New Roman" w:hAnsi="Arial" w:cs="Times New Roman"/>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24262"/>
    <w:pPr>
      <w:overflowPunct w:val="0"/>
      <w:autoSpaceDE w:val="0"/>
      <w:autoSpaceDN w:val="0"/>
      <w:adjustRightInd w:val="0"/>
      <w:spacing w:after="0" w:line="240" w:lineRule="auto"/>
      <w:jc w:val="both"/>
      <w:textAlignment w:val="baseline"/>
    </w:pPr>
    <w:rPr>
      <w:rFonts w:ascii="Arial" w:eastAsia="Times New Roman" w:hAnsi="Arial" w:cs="Times New Roman"/>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240</Words>
  <Characters>1422</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Autor</cp:lastModifiedBy>
  <cp:revision>1</cp:revision>
  <dcterms:created xsi:type="dcterms:W3CDTF">2017-05-10T07:19:00Z</dcterms:created>
  <dcterms:modified xsi:type="dcterms:W3CDTF">2017-05-10T08:24:00Z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-1601623386</vt:i4>
  </property>
  <property fmtid="{D5CDD505-2E9C-101B-9397-08002B2CF9AE}" pid="3" name="_NewReviewCycle">
    <vt:lpwstr/>
  </property>
  <property fmtid="{D5CDD505-2E9C-101B-9397-08002B2CF9AE}" pid="4" name="_EmailSubject">
    <vt:lpwstr>PN Refinancování a bez DTI (ST 1009)</vt:lpwstr>
  </property>
  <property fmtid="{D5CDD505-2E9C-101B-9397-08002B2CF9AE}" pid="5" name="_AuthorEmail">
    <vt:lpwstr>Jaroslav.Kremen@mfcr.cz</vt:lpwstr>
  </property>
  <property fmtid="{D5CDD505-2E9C-101B-9397-08002B2CF9AE}" pid="6" name="_AuthorEmailDisplayName">
    <vt:lpwstr>Křemen Jaroslav Ing. Mgr.</vt:lpwstr>
  </property>
</Properties>
</file>