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4EA" w:rsidRPr="000574EA" w:rsidRDefault="000574EA" w:rsidP="000574EA">
      <w:pPr>
        <w:keepNext/>
        <w:keepLines/>
        <w:spacing w:after="0" w:line="240" w:lineRule="auto"/>
        <w:jc w:val="center"/>
        <w:outlineLvl w:val="0"/>
        <w:rPr>
          <w:rFonts w:ascii="Times New Roman" w:eastAsia="Times New Roman" w:hAnsi="Times New Roman"/>
          <w:b/>
          <w:caps/>
          <w:sz w:val="24"/>
          <w:szCs w:val="24"/>
          <w:lang w:eastAsia="cs-CZ"/>
        </w:rPr>
      </w:pPr>
      <w:bookmarkStart w:id="0" w:name="_GoBack"/>
      <w:bookmarkEnd w:id="0"/>
      <w:r w:rsidRPr="000574EA">
        <w:rPr>
          <w:rFonts w:ascii="Times New Roman" w:eastAsia="Times New Roman" w:hAnsi="Times New Roman"/>
          <w:b/>
          <w:caps/>
          <w:sz w:val="24"/>
          <w:szCs w:val="24"/>
          <w:lang w:eastAsia="cs-CZ"/>
        </w:rPr>
        <w:t>ZÁKON</w:t>
      </w:r>
    </w:p>
    <w:p w:rsidR="000574EA" w:rsidRPr="000574EA" w:rsidRDefault="000574EA" w:rsidP="000574EA">
      <w:pPr>
        <w:keepNext/>
        <w:keepLines/>
        <w:spacing w:after="0" w:line="240" w:lineRule="auto"/>
        <w:jc w:val="both"/>
        <w:outlineLvl w:val="0"/>
        <w:rPr>
          <w:rFonts w:ascii="Times New Roman" w:eastAsia="Times New Roman" w:hAnsi="Times New Roman"/>
          <w:b/>
          <w:caps/>
          <w:sz w:val="24"/>
          <w:szCs w:val="24"/>
          <w:lang w:eastAsia="cs-CZ"/>
        </w:rPr>
      </w:pPr>
    </w:p>
    <w:p w:rsidR="000574EA" w:rsidRDefault="000574EA" w:rsidP="000574EA">
      <w:pPr>
        <w:spacing w:after="0" w:line="240" w:lineRule="auto"/>
        <w:jc w:val="center"/>
        <w:rPr>
          <w:rFonts w:ascii="Times New Roman" w:eastAsia="Times New Roman" w:hAnsi="Times New Roman"/>
          <w:sz w:val="24"/>
          <w:szCs w:val="24"/>
          <w:lang w:eastAsia="cs-CZ"/>
        </w:rPr>
      </w:pPr>
      <w:r w:rsidRPr="000574EA">
        <w:rPr>
          <w:rFonts w:ascii="Times New Roman" w:eastAsia="Times New Roman" w:hAnsi="Times New Roman"/>
          <w:sz w:val="24"/>
          <w:szCs w:val="24"/>
          <w:lang w:eastAsia="cs-CZ"/>
        </w:rPr>
        <w:t xml:space="preserve">ze dne </w:t>
      </w:r>
      <w:r w:rsidR="002D6691">
        <w:rPr>
          <w:rFonts w:ascii="Times New Roman" w:eastAsia="Times New Roman" w:hAnsi="Times New Roman"/>
          <w:sz w:val="24"/>
          <w:szCs w:val="24"/>
          <w:lang w:eastAsia="cs-CZ"/>
        </w:rPr>
        <w:t xml:space="preserve">          </w:t>
      </w:r>
      <w:r w:rsidRPr="000574EA">
        <w:rPr>
          <w:rFonts w:ascii="Times New Roman" w:eastAsia="Times New Roman" w:hAnsi="Times New Roman"/>
          <w:sz w:val="24"/>
          <w:szCs w:val="24"/>
          <w:lang w:eastAsia="cs-CZ"/>
        </w:rPr>
        <w:t xml:space="preserve"> 201</w:t>
      </w:r>
      <w:r w:rsidR="002D6691">
        <w:rPr>
          <w:rFonts w:ascii="Times New Roman" w:eastAsia="Times New Roman" w:hAnsi="Times New Roman"/>
          <w:sz w:val="24"/>
          <w:szCs w:val="24"/>
          <w:lang w:eastAsia="cs-CZ"/>
        </w:rPr>
        <w:t>6</w:t>
      </w:r>
      <w:r w:rsidRPr="000574EA">
        <w:rPr>
          <w:rFonts w:ascii="Times New Roman" w:eastAsia="Times New Roman" w:hAnsi="Times New Roman"/>
          <w:sz w:val="24"/>
          <w:szCs w:val="24"/>
          <w:lang w:eastAsia="cs-CZ"/>
        </w:rPr>
        <w:t>,</w:t>
      </w:r>
    </w:p>
    <w:p w:rsidR="000574EA" w:rsidRPr="000574EA" w:rsidRDefault="000574EA" w:rsidP="000574EA">
      <w:pPr>
        <w:spacing w:after="0" w:line="240" w:lineRule="auto"/>
        <w:jc w:val="center"/>
        <w:rPr>
          <w:rFonts w:ascii="Times New Roman" w:eastAsia="Times New Roman" w:hAnsi="Times New Roman"/>
          <w:sz w:val="24"/>
          <w:szCs w:val="24"/>
          <w:lang w:eastAsia="cs-CZ"/>
        </w:rPr>
      </w:pPr>
    </w:p>
    <w:p w:rsidR="000574EA" w:rsidRPr="000574EA" w:rsidRDefault="000574EA" w:rsidP="000574EA">
      <w:pPr>
        <w:pStyle w:val="nadpiszkona"/>
        <w:spacing w:before="0" w:after="0" w:line="240" w:lineRule="auto"/>
        <w:rPr>
          <w:rFonts w:ascii="Times New Roman" w:eastAsia="Times New Roman" w:hAnsi="Times New Roman"/>
          <w:sz w:val="24"/>
          <w:szCs w:val="24"/>
          <w:lang w:eastAsia="cs-CZ"/>
        </w:rPr>
      </w:pPr>
      <w:r w:rsidRPr="000574EA">
        <w:rPr>
          <w:rFonts w:ascii="Times New Roman" w:eastAsia="Times New Roman" w:hAnsi="Times New Roman"/>
          <w:sz w:val="24"/>
          <w:szCs w:val="24"/>
        </w:rPr>
        <w:t>kterým se mění zákon č. 418/2011 Sb., o trestní odpovědnosti právnických osob a řízení proti nim, ve znění pozdějších předpisů</w:t>
      </w:r>
    </w:p>
    <w:p w:rsidR="000574EA" w:rsidRPr="000574EA" w:rsidRDefault="000574EA" w:rsidP="000574EA">
      <w:pPr>
        <w:spacing w:after="0" w:line="240" w:lineRule="auto"/>
        <w:jc w:val="both"/>
        <w:rPr>
          <w:rFonts w:ascii="Times New Roman" w:hAnsi="Times New Roman"/>
          <w:sz w:val="24"/>
          <w:szCs w:val="24"/>
        </w:rPr>
      </w:pPr>
    </w:p>
    <w:p w:rsidR="002D6691" w:rsidRDefault="002D6691" w:rsidP="000574EA">
      <w:pPr>
        <w:pStyle w:val="Parlament"/>
        <w:spacing w:before="0" w:after="0" w:line="240" w:lineRule="auto"/>
        <w:ind w:firstLine="708"/>
        <w:jc w:val="both"/>
        <w:rPr>
          <w:rFonts w:ascii="Times New Roman" w:hAnsi="Times New Roman"/>
          <w:sz w:val="24"/>
          <w:szCs w:val="24"/>
        </w:rPr>
      </w:pPr>
    </w:p>
    <w:p w:rsidR="000574EA" w:rsidRDefault="000574EA" w:rsidP="000574EA">
      <w:pPr>
        <w:pStyle w:val="Parlament"/>
        <w:spacing w:before="0" w:after="0" w:line="240" w:lineRule="auto"/>
        <w:ind w:firstLine="708"/>
        <w:jc w:val="both"/>
        <w:rPr>
          <w:rFonts w:ascii="Times New Roman" w:hAnsi="Times New Roman"/>
          <w:sz w:val="24"/>
          <w:szCs w:val="24"/>
        </w:rPr>
      </w:pPr>
      <w:r w:rsidRPr="000574EA">
        <w:rPr>
          <w:rFonts w:ascii="Times New Roman" w:hAnsi="Times New Roman"/>
          <w:sz w:val="24"/>
          <w:szCs w:val="24"/>
        </w:rPr>
        <w:t>Parlament se usnesl na tomto zákoně České republiky:</w:t>
      </w:r>
    </w:p>
    <w:p w:rsidR="000574EA" w:rsidRPr="000574EA" w:rsidRDefault="000574EA" w:rsidP="000574EA">
      <w:pPr>
        <w:pStyle w:val="ST"/>
      </w:pPr>
    </w:p>
    <w:p w:rsidR="000574EA" w:rsidRPr="000574EA" w:rsidRDefault="000574EA" w:rsidP="000574EA">
      <w:pPr>
        <w:pStyle w:val="lnek"/>
        <w:spacing w:before="0" w:after="0" w:line="240" w:lineRule="auto"/>
        <w:rPr>
          <w:rFonts w:ascii="Times New Roman" w:hAnsi="Times New Roman"/>
          <w:sz w:val="24"/>
          <w:szCs w:val="24"/>
        </w:rPr>
      </w:pPr>
      <w:r w:rsidRPr="000574EA">
        <w:rPr>
          <w:rFonts w:ascii="Times New Roman" w:hAnsi="Times New Roman"/>
          <w:sz w:val="24"/>
          <w:szCs w:val="24"/>
        </w:rPr>
        <w:t>Čl. I</w:t>
      </w:r>
    </w:p>
    <w:p w:rsidR="000574EA" w:rsidRDefault="000574EA" w:rsidP="000574EA">
      <w:pPr>
        <w:pStyle w:val="Textlnku"/>
        <w:spacing w:before="0" w:after="0" w:line="240" w:lineRule="auto"/>
        <w:jc w:val="both"/>
        <w:rPr>
          <w:rFonts w:ascii="Times New Roman" w:hAnsi="Times New Roman"/>
          <w:sz w:val="24"/>
          <w:szCs w:val="24"/>
        </w:rPr>
      </w:pPr>
    </w:p>
    <w:p w:rsidR="000574EA" w:rsidRDefault="000574EA" w:rsidP="000574EA">
      <w:pPr>
        <w:pStyle w:val="Textlnku"/>
        <w:spacing w:before="0" w:after="0" w:line="240" w:lineRule="auto"/>
        <w:ind w:firstLine="567"/>
        <w:jc w:val="both"/>
        <w:rPr>
          <w:rFonts w:ascii="Times New Roman" w:hAnsi="Times New Roman"/>
          <w:sz w:val="24"/>
          <w:szCs w:val="24"/>
        </w:rPr>
      </w:pPr>
      <w:r w:rsidRPr="000574EA">
        <w:rPr>
          <w:rFonts w:ascii="Times New Roman" w:hAnsi="Times New Roman"/>
          <w:sz w:val="24"/>
          <w:szCs w:val="24"/>
        </w:rPr>
        <w:t>Zákon č. 418/2011 Sb., o trestní odpovědnosti právnických osob a řízení proti nim, ve znění zákona č. 105/2013 Sb.</w:t>
      </w:r>
      <w:r w:rsidR="00ED1A42">
        <w:rPr>
          <w:rFonts w:ascii="Times New Roman" w:hAnsi="Times New Roman"/>
          <w:sz w:val="24"/>
          <w:szCs w:val="24"/>
        </w:rPr>
        <w:t>,</w:t>
      </w:r>
      <w:r w:rsidRPr="000574EA">
        <w:rPr>
          <w:rFonts w:ascii="Times New Roman" w:hAnsi="Times New Roman"/>
          <w:sz w:val="24"/>
          <w:szCs w:val="24"/>
        </w:rPr>
        <w:t xml:space="preserve"> zákona č. 141/2014 Sb.</w:t>
      </w:r>
      <w:r w:rsidR="00ED1A42">
        <w:rPr>
          <w:rFonts w:ascii="Times New Roman" w:hAnsi="Times New Roman"/>
          <w:sz w:val="24"/>
          <w:szCs w:val="24"/>
        </w:rPr>
        <w:t>, zákona č. 86/2015 Sb., zákona č. 375/2015 Sb. a zákona č. …/2016 Sb.</w:t>
      </w:r>
      <w:r w:rsidRPr="000574EA">
        <w:rPr>
          <w:rFonts w:ascii="Times New Roman" w:hAnsi="Times New Roman"/>
          <w:sz w:val="24"/>
          <w:szCs w:val="24"/>
        </w:rPr>
        <w:t>, se mění takto:</w:t>
      </w:r>
    </w:p>
    <w:p w:rsidR="000574EA" w:rsidRDefault="000574EA" w:rsidP="000574EA">
      <w:pPr>
        <w:pStyle w:val="Textlnku"/>
        <w:spacing w:before="0" w:after="0" w:line="240" w:lineRule="auto"/>
        <w:ind w:firstLine="567"/>
        <w:jc w:val="both"/>
        <w:rPr>
          <w:rFonts w:ascii="Times New Roman" w:hAnsi="Times New Roman"/>
          <w:sz w:val="24"/>
          <w:szCs w:val="24"/>
        </w:rPr>
      </w:pPr>
    </w:p>
    <w:p w:rsidR="001C2C32" w:rsidRPr="000574EA" w:rsidRDefault="001C2C32" w:rsidP="000574EA">
      <w:pPr>
        <w:pStyle w:val="Textlnku"/>
        <w:spacing w:before="0" w:after="0" w:line="240" w:lineRule="auto"/>
        <w:ind w:firstLine="567"/>
        <w:jc w:val="both"/>
        <w:rPr>
          <w:rFonts w:ascii="Times New Roman" w:hAnsi="Times New Roman"/>
          <w:sz w:val="24"/>
          <w:szCs w:val="24"/>
        </w:rPr>
      </w:pPr>
    </w:p>
    <w:p w:rsidR="000574EA" w:rsidRDefault="000574EA" w:rsidP="00711CE3">
      <w:pPr>
        <w:pStyle w:val="Novelizanbod"/>
        <w:numPr>
          <w:ilvl w:val="0"/>
          <w:numId w:val="6"/>
        </w:numPr>
        <w:tabs>
          <w:tab w:val="num" w:pos="567"/>
        </w:tabs>
        <w:spacing w:before="0" w:after="0" w:line="240" w:lineRule="auto"/>
        <w:ind w:left="567" w:hanging="567"/>
        <w:jc w:val="both"/>
        <w:rPr>
          <w:rFonts w:ascii="Times New Roman" w:eastAsia="Times New Roman" w:hAnsi="Times New Roman"/>
          <w:sz w:val="24"/>
          <w:szCs w:val="24"/>
        </w:rPr>
      </w:pPr>
      <w:r w:rsidRPr="000574EA">
        <w:rPr>
          <w:rFonts w:ascii="Times New Roman" w:eastAsia="Times New Roman" w:hAnsi="Times New Roman"/>
          <w:sz w:val="24"/>
          <w:szCs w:val="24"/>
        </w:rPr>
        <w:t>V § 4 odst. 1 se slova „padělání a pozměnění peněz (§ 233 trestního zákoníku), udávání padělaných a pozměněných peněz (§ 235 trestního zákoníku), výroby a držení padělatelského náčiní (§ 236 trestního zákoníku), neoprávněné výroby peněz (§ 237 trestního zákoníku), teroristického útoku (§ 311 trestního zákoníku)“ nahrazují slovy „mučení a jiného nelidského a krutého zacházení (§ 149 trestního zákoníku), padělání a pozměnění peněz (§ 233 trestního zákoníku), udávání padělaných a pozměněných peněz (§ 235 trestního zákoníku), výroby a držení padělatelského náčiní (§ 236 trestního zákoníku), neoprávněné výroby peněz (§ 237 trestního zákoníku), rozvracení republiky (§ 310 trestního zákoníku), teroristického útoku (§ 311 trestního zákoníku), teroru (§ 312 trestního zákoníku), sabotáže (§ 314 trestního zákoníku), vyzvědačství (§ 316 trestního zákoníku), násilí proti orgánu veřejné moci (§ 323 trestního zákoníku), násilí proti úřední osobě (§ 325 trestního zákoníku), padělání a pozměnění veřejné listiny (§ 348 trestního zákoníku), účasti na organizované zločinecké skupině podle § 361 odst. 2 nebo 3 trestního zákoníku, genocidia (§ 400 trestního zákoníku), útoku proti lidskosti (§ 401 trestního zákoníku), apartheidu a diskriminace skupiny lidí (§ 402 trestního zákoníku), přípravy útočné války (§ 406 trestního zákoníku), válečné krutosti (§ 412 trestního zákoníku), perzekuce obyvatelstva (§ 413 trestního zákoníku), plenění v prostoru válečných operací (§ 414 trestního zákoníku), zneužití mezinárodně uznávaných a státních znaků (§ 415 trestního zákoníku), zneužití vlajky a příměří (§ 416 trestního zákoníku) a ublížení parlamentáři (§ 417 trestního zákoníku)“.</w:t>
      </w:r>
    </w:p>
    <w:p w:rsidR="000574EA" w:rsidRPr="000574EA" w:rsidRDefault="000574EA" w:rsidP="000574EA"/>
    <w:p w:rsidR="000574EA" w:rsidRPr="000574EA" w:rsidRDefault="000574EA" w:rsidP="00711CE3">
      <w:pPr>
        <w:pStyle w:val="Novelizanbod"/>
        <w:numPr>
          <w:ilvl w:val="0"/>
          <w:numId w:val="6"/>
        </w:numPr>
        <w:tabs>
          <w:tab w:val="num" w:pos="567"/>
        </w:tabs>
        <w:spacing w:before="0" w:after="0" w:line="240" w:lineRule="auto"/>
        <w:ind w:left="567" w:hanging="567"/>
        <w:jc w:val="both"/>
        <w:rPr>
          <w:rFonts w:ascii="Times New Roman" w:eastAsia="Times New Roman" w:hAnsi="Times New Roman"/>
          <w:sz w:val="24"/>
          <w:szCs w:val="24"/>
        </w:rPr>
      </w:pPr>
      <w:r w:rsidRPr="000574EA">
        <w:rPr>
          <w:rFonts w:ascii="Times New Roman" w:eastAsia="Times New Roman" w:hAnsi="Times New Roman"/>
          <w:sz w:val="24"/>
          <w:szCs w:val="24"/>
        </w:rPr>
        <w:t>§ 7 včetně nadpisu zní:</w:t>
      </w:r>
    </w:p>
    <w:p w:rsidR="000574EA" w:rsidRDefault="000574EA" w:rsidP="000574EA">
      <w:pPr>
        <w:widowControl w:val="0"/>
        <w:autoSpaceDE w:val="0"/>
        <w:autoSpaceDN w:val="0"/>
        <w:adjustRightInd w:val="0"/>
        <w:spacing w:after="0" w:line="240" w:lineRule="auto"/>
        <w:jc w:val="center"/>
        <w:rPr>
          <w:rFonts w:ascii="Times New Roman" w:hAnsi="Times New Roman"/>
          <w:bCs/>
          <w:sz w:val="24"/>
          <w:szCs w:val="24"/>
        </w:rPr>
      </w:pPr>
    </w:p>
    <w:p w:rsidR="000574EA" w:rsidRPr="001C2C32" w:rsidRDefault="000574EA" w:rsidP="001C2C32">
      <w:pPr>
        <w:widowControl w:val="0"/>
        <w:autoSpaceDE w:val="0"/>
        <w:autoSpaceDN w:val="0"/>
        <w:adjustRightInd w:val="0"/>
        <w:spacing w:after="0" w:line="240" w:lineRule="auto"/>
        <w:jc w:val="center"/>
        <w:rPr>
          <w:rFonts w:ascii="Times New Roman" w:hAnsi="Times New Roman"/>
          <w:bCs/>
          <w:sz w:val="24"/>
          <w:szCs w:val="24"/>
        </w:rPr>
      </w:pPr>
      <w:r w:rsidRPr="000574EA">
        <w:rPr>
          <w:rFonts w:ascii="Times New Roman" w:hAnsi="Times New Roman"/>
          <w:bCs/>
          <w:sz w:val="24"/>
          <w:szCs w:val="24"/>
        </w:rPr>
        <w:t>„§ 7</w:t>
      </w:r>
    </w:p>
    <w:p w:rsidR="000574EA" w:rsidRPr="000574EA" w:rsidRDefault="000574EA" w:rsidP="000574EA">
      <w:pPr>
        <w:spacing w:after="0" w:line="240" w:lineRule="auto"/>
        <w:jc w:val="center"/>
        <w:rPr>
          <w:rFonts w:ascii="Times New Roman" w:hAnsi="Times New Roman"/>
          <w:b/>
          <w:sz w:val="24"/>
          <w:szCs w:val="24"/>
        </w:rPr>
      </w:pPr>
      <w:r w:rsidRPr="000574EA">
        <w:rPr>
          <w:rFonts w:ascii="Times New Roman" w:hAnsi="Times New Roman"/>
          <w:b/>
          <w:sz w:val="24"/>
          <w:szCs w:val="24"/>
        </w:rPr>
        <w:t>Trestné činy</w:t>
      </w:r>
    </w:p>
    <w:p w:rsidR="000574EA" w:rsidRDefault="000574EA" w:rsidP="000574EA">
      <w:pPr>
        <w:pStyle w:val="Textlnku"/>
        <w:spacing w:before="0" w:after="0" w:line="240" w:lineRule="auto"/>
        <w:ind w:firstLine="357"/>
        <w:jc w:val="both"/>
        <w:rPr>
          <w:rFonts w:ascii="Times New Roman" w:hAnsi="Times New Roman"/>
          <w:snapToGrid w:val="0"/>
          <w:sz w:val="24"/>
          <w:szCs w:val="24"/>
        </w:rPr>
      </w:pPr>
    </w:p>
    <w:p w:rsidR="000574EA" w:rsidRDefault="000574EA" w:rsidP="00ED1A42">
      <w:pPr>
        <w:pStyle w:val="Textlnku"/>
        <w:spacing w:before="0" w:after="0" w:line="240" w:lineRule="auto"/>
        <w:ind w:firstLine="567"/>
        <w:jc w:val="both"/>
        <w:rPr>
          <w:rFonts w:ascii="Times New Roman" w:hAnsi="Times New Roman"/>
          <w:snapToGrid w:val="0"/>
          <w:sz w:val="24"/>
          <w:szCs w:val="24"/>
        </w:rPr>
      </w:pPr>
      <w:r w:rsidRPr="000574EA">
        <w:rPr>
          <w:rFonts w:ascii="Times New Roman" w:hAnsi="Times New Roman"/>
          <w:snapToGrid w:val="0"/>
          <w:sz w:val="24"/>
          <w:szCs w:val="24"/>
        </w:rPr>
        <w:t xml:space="preserve">Trestnými činy se pro účely tohoto zákona rozumí zločiny nebo přečiny uvedené v trestním zákoníku s výjimkou trestných činů zabití (§ 141 trestního zákoníku), vraždy novorozeného dítěte matkou (§ 142 trestního zákoníku), účasti na sebevraždě (§ 144 trestního zákoníku), rvačky (§ 158 trestního zákoníku), soulože mezi příbuznými (§ 188 trestního zákoníku), dvojího manželství (§ 194 trestního zákoníku), opuštění dítěte nebo svěřené osoby </w:t>
      </w:r>
      <w:r w:rsidRPr="000574EA">
        <w:rPr>
          <w:rFonts w:ascii="Times New Roman" w:hAnsi="Times New Roman"/>
          <w:snapToGrid w:val="0"/>
          <w:sz w:val="24"/>
          <w:szCs w:val="24"/>
        </w:rPr>
        <w:lastRenderedPageBreak/>
        <w:t>(§ 195 trestního zákoníku), zanedbání povinné výživy (§ 196 trestního zákoníku), týrání osoby žijící ve společném obydlí (§ 199 trestního zákoníku),</w:t>
      </w:r>
      <w:r w:rsidR="00ED1A42">
        <w:rPr>
          <w:rFonts w:ascii="Times New Roman" w:hAnsi="Times New Roman"/>
          <w:snapToGrid w:val="0"/>
          <w:sz w:val="24"/>
          <w:szCs w:val="24"/>
        </w:rPr>
        <w:t xml:space="preserve"> porušení předpisů o pravidlech hospodářské soutěže podle § 248 odst. 2 trestního zákoníku,</w:t>
      </w:r>
      <w:r w:rsidRPr="000574EA">
        <w:rPr>
          <w:rFonts w:ascii="Times New Roman" w:hAnsi="Times New Roman"/>
          <w:snapToGrid w:val="0"/>
          <w:sz w:val="24"/>
          <w:szCs w:val="24"/>
        </w:rPr>
        <w:t xml:space="preserve"> vlastizrady (§ 309 trestního zákoníku), zneužití zastupování státu a mezinárodní organizace (§ 315 trestního zákoníku), spolupráce s nepřítelem (§ 319 trestního zákoníku), válečné zrady (§ 320 trestního zákoníku), služby v cizích ozbrojených silách (§ 321 trestního zákoníku), osvobození vězně (§ 338 trestního zákoníku), násilného překročení státní hranice (§ 339 trestního zákoníku), vzpoury vězňů (§ 344 trestního zákoníku), nebezpečného pronásledování (§ 354 trestního zákoníku), opilství (§ 360 trestního zákoníku), proti branné povinnosti uvedených ve zvláštní části hlavě jedenácté trestního zákoníku, vojenských uvedených ve zvláštní části hlavě dvanácté trestního zákoníku a použití zakázaného bojového prostředku a nedovoleného vedení boje (§ 411 trestního zákoníku).“.</w:t>
      </w:r>
    </w:p>
    <w:p w:rsidR="00ED1A42" w:rsidRDefault="00ED1A42" w:rsidP="00ED1A42">
      <w:pPr>
        <w:pStyle w:val="Textlnku"/>
        <w:spacing w:before="0" w:after="0" w:line="240" w:lineRule="auto"/>
        <w:ind w:firstLine="567"/>
        <w:jc w:val="both"/>
        <w:rPr>
          <w:rFonts w:ascii="Times New Roman" w:hAnsi="Times New Roman"/>
          <w:snapToGrid w:val="0"/>
          <w:sz w:val="24"/>
          <w:szCs w:val="24"/>
        </w:rPr>
      </w:pPr>
    </w:p>
    <w:p w:rsidR="001C2C32" w:rsidRDefault="001C2C32" w:rsidP="00ED1A42">
      <w:pPr>
        <w:pStyle w:val="Textlnku"/>
        <w:spacing w:before="0" w:after="0" w:line="240" w:lineRule="auto"/>
        <w:ind w:firstLine="567"/>
        <w:jc w:val="both"/>
        <w:rPr>
          <w:rFonts w:ascii="Times New Roman" w:hAnsi="Times New Roman"/>
          <w:snapToGrid w:val="0"/>
          <w:sz w:val="24"/>
          <w:szCs w:val="24"/>
        </w:rPr>
      </w:pPr>
    </w:p>
    <w:p w:rsidR="00ED1A42" w:rsidRDefault="00ED1A42" w:rsidP="00ED1A42">
      <w:pPr>
        <w:pStyle w:val="Textlnku"/>
        <w:spacing w:before="0" w:after="0" w:line="240" w:lineRule="auto"/>
        <w:ind w:firstLine="0"/>
        <w:jc w:val="both"/>
        <w:rPr>
          <w:rFonts w:ascii="Times New Roman" w:hAnsi="Times New Roman"/>
          <w:snapToGrid w:val="0"/>
          <w:sz w:val="24"/>
          <w:szCs w:val="24"/>
        </w:rPr>
      </w:pPr>
      <w:r>
        <w:rPr>
          <w:rFonts w:ascii="Times New Roman" w:hAnsi="Times New Roman"/>
          <w:snapToGrid w:val="0"/>
          <w:sz w:val="24"/>
          <w:szCs w:val="24"/>
        </w:rPr>
        <w:t>3.      V § 8 odst. 1 se slova „jejím jménem nebo“ zrušují.</w:t>
      </w:r>
    </w:p>
    <w:p w:rsidR="00ED1A42" w:rsidRDefault="00ED1A42" w:rsidP="00ED1A42">
      <w:pPr>
        <w:pStyle w:val="Textlnku"/>
        <w:spacing w:before="0" w:after="0" w:line="240" w:lineRule="auto"/>
        <w:ind w:firstLine="0"/>
        <w:jc w:val="both"/>
        <w:rPr>
          <w:rFonts w:ascii="Times New Roman" w:hAnsi="Times New Roman"/>
          <w:snapToGrid w:val="0"/>
          <w:sz w:val="24"/>
          <w:szCs w:val="24"/>
        </w:rPr>
      </w:pPr>
    </w:p>
    <w:p w:rsidR="001C2C32" w:rsidRDefault="001C2C32" w:rsidP="00ED1A42">
      <w:pPr>
        <w:pStyle w:val="Textlnku"/>
        <w:spacing w:before="0" w:after="0" w:line="240" w:lineRule="auto"/>
        <w:ind w:firstLine="0"/>
        <w:jc w:val="both"/>
        <w:rPr>
          <w:rFonts w:ascii="Times New Roman" w:hAnsi="Times New Roman"/>
          <w:snapToGrid w:val="0"/>
          <w:sz w:val="24"/>
          <w:szCs w:val="24"/>
        </w:rPr>
      </w:pPr>
    </w:p>
    <w:p w:rsidR="00ED1A42" w:rsidRDefault="00ED1A42" w:rsidP="00ED1A42">
      <w:pPr>
        <w:pStyle w:val="Textlnku"/>
        <w:spacing w:before="0" w:after="0" w:line="240" w:lineRule="auto"/>
        <w:ind w:left="567" w:hanging="567"/>
        <w:jc w:val="both"/>
        <w:rPr>
          <w:rFonts w:ascii="Times New Roman" w:hAnsi="Times New Roman"/>
          <w:snapToGrid w:val="0"/>
          <w:sz w:val="24"/>
          <w:szCs w:val="24"/>
        </w:rPr>
      </w:pPr>
      <w:r>
        <w:rPr>
          <w:rFonts w:ascii="Times New Roman" w:hAnsi="Times New Roman"/>
          <w:snapToGrid w:val="0"/>
          <w:sz w:val="24"/>
          <w:szCs w:val="24"/>
        </w:rPr>
        <w:t xml:space="preserve">4.      V § 8 odst. 1 písm. a) se za slovo „osoba“ vkládají slova „ve vedoucím postavení v rámci právnické osoby“. </w:t>
      </w:r>
    </w:p>
    <w:p w:rsidR="00ED1A42" w:rsidRDefault="00ED1A42" w:rsidP="00ED1A42">
      <w:pPr>
        <w:pStyle w:val="Textlnku"/>
        <w:spacing w:before="0" w:after="0" w:line="240" w:lineRule="auto"/>
        <w:ind w:left="567" w:hanging="567"/>
        <w:jc w:val="both"/>
        <w:rPr>
          <w:rFonts w:ascii="Times New Roman" w:hAnsi="Times New Roman"/>
          <w:snapToGrid w:val="0"/>
          <w:sz w:val="24"/>
          <w:szCs w:val="24"/>
        </w:rPr>
      </w:pPr>
    </w:p>
    <w:p w:rsidR="001C2C32" w:rsidRDefault="00ED1A42" w:rsidP="001C2C32">
      <w:pPr>
        <w:pStyle w:val="Textlnku"/>
        <w:spacing w:after="0" w:line="240" w:lineRule="auto"/>
        <w:ind w:left="567" w:hanging="567"/>
        <w:jc w:val="both"/>
        <w:rPr>
          <w:rFonts w:ascii="Times New Roman" w:hAnsi="Times New Roman"/>
          <w:snapToGrid w:val="0"/>
          <w:sz w:val="24"/>
          <w:szCs w:val="24"/>
        </w:rPr>
      </w:pPr>
      <w:r w:rsidRPr="00ED1A42">
        <w:rPr>
          <w:rFonts w:ascii="Times New Roman" w:hAnsi="Times New Roman"/>
          <w:snapToGrid w:val="0"/>
          <w:sz w:val="24"/>
          <w:szCs w:val="24"/>
        </w:rPr>
        <w:t xml:space="preserve">5. </w:t>
      </w:r>
      <w:r w:rsidRPr="00ED1A42">
        <w:rPr>
          <w:rFonts w:ascii="Times New Roman" w:hAnsi="Times New Roman"/>
          <w:snapToGrid w:val="0"/>
          <w:sz w:val="24"/>
          <w:szCs w:val="24"/>
        </w:rPr>
        <w:tab/>
        <w:t xml:space="preserve">V § 8 odst. 1 písm. b) se slova „ten, kdo“ nahrazují slovy „osoba ve vedoucím postavení v </w:t>
      </w:r>
      <w:r w:rsidR="006E0B93">
        <w:rPr>
          <w:rFonts w:ascii="Times New Roman" w:hAnsi="Times New Roman"/>
          <w:snapToGrid w:val="0"/>
          <w:sz w:val="24"/>
          <w:szCs w:val="24"/>
        </w:rPr>
        <w:t>rámci právnické osoby, která“.</w:t>
      </w:r>
    </w:p>
    <w:p w:rsidR="001C2C32" w:rsidRPr="00ED1A42" w:rsidRDefault="001C2C32" w:rsidP="001C2C32">
      <w:pPr>
        <w:pStyle w:val="Textlnku"/>
        <w:spacing w:after="0" w:line="240" w:lineRule="auto"/>
        <w:ind w:left="567" w:hanging="567"/>
        <w:jc w:val="both"/>
        <w:rPr>
          <w:rFonts w:ascii="Times New Roman" w:hAnsi="Times New Roman"/>
          <w:snapToGrid w:val="0"/>
          <w:sz w:val="24"/>
          <w:szCs w:val="24"/>
        </w:rPr>
      </w:pPr>
    </w:p>
    <w:p w:rsidR="00ED1A42" w:rsidRPr="00ED1A42" w:rsidRDefault="00ED1A42" w:rsidP="00ED1A42">
      <w:pPr>
        <w:pStyle w:val="Textlnku"/>
        <w:spacing w:after="0" w:line="240" w:lineRule="auto"/>
        <w:ind w:left="567" w:hanging="567"/>
        <w:jc w:val="both"/>
        <w:rPr>
          <w:rFonts w:ascii="Times New Roman" w:hAnsi="Times New Roman"/>
          <w:snapToGrid w:val="0"/>
          <w:sz w:val="24"/>
          <w:szCs w:val="24"/>
        </w:rPr>
      </w:pPr>
      <w:r w:rsidRPr="00ED1A42">
        <w:rPr>
          <w:rFonts w:ascii="Times New Roman" w:hAnsi="Times New Roman"/>
          <w:snapToGrid w:val="0"/>
          <w:sz w:val="24"/>
          <w:szCs w:val="24"/>
        </w:rPr>
        <w:t xml:space="preserve">6. </w:t>
      </w:r>
      <w:r w:rsidRPr="00ED1A42">
        <w:rPr>
          <w:rFonts w:ascii="Times New Roman" w:hAnsi="Times New Roman"/>
          <w:snapToGrid w:val="0"/>
          <w:sz w:val="24"/>
          <w:szCs w:val="24"/>
        </w:rPr>
        <w:tab/>
        <w:t>V § 8 se doplňuje odstavec 5, který zní:</w:t>
      </w:r>
    </w:p>
    <w:p w:rsidR="001C2C32" w:rsidRDefault="001C2C32" w:rsidP="001C2C32">
      <w:pPr>
        <w:pStyle w:val="Textlnku"/>
        <w:spacing w:before="0" w:after="0" w:line="240" w:lineRule="auto"/>
        <w:ind w:firstLine="567"/>
        <w:jc w:val="both"/>
        <w:rPr>
          <w:rFonts w:ascii="Times New Roman" w:hAnsi="Times New Roman"/>
          <w:snapToGrid w:val="0"/>
          <w:sz w:val="24"/>
          <w:szCs w:val="24"/>
        </w:rPr>
      </w:pPr>
    </w:p>
    <w:p w:rsidR="00ED1A42" w:rsidRDefault="00ED1A42" w:rsidP="001C2C32">
      <w:pPr>
        <w:pStyle w:val="Textlnku"/>
        <w:spacing w:before="0" w:after="0" w:line="240" w:lineRule="auto"/>
        <w:ind w:firstLine="567"/>
        <w:jc w:val="both"/>
        <w:rPr>
          <w:rFonts w:ascii="Times New Roman" w:hAnsi="Times New Roman"/>
          <w:snapToGrid w:val="0"/>
          <w:sz w:val="24"/>
          <w:szCs w:val="24"/>
        </w:rPr>
      </w:pPr>
      <w:r w:rsidRPr="00ED1A42">
        <w:rPr>
          <w:rFonts w:ascii="Times New Roman" w:hAnsi="Times New Roman"/>
          <w:snapToGrid w:val="0"/>
          <w:sz w:val="24"/>
          <w:szCs w:val="24"/>
        </w:rPr>
        <w:t>„(5) Právnická osoba se trestní odpovědnosti podle odstavců 1 až 4 zprostí, pokud vynaložila veškeré úsilí, které na ní bylo možno spravedlivě požadovat, aby spáchání protiprávního činu osobami uvedenými v odstavci 1 zabránila.“.</w:t>
      </w:r>
    </w:p>
    <w:p w:rsidR="000574EA" w:rsidRDefault="000574EA" w:rsidP="001C2C32">
      <w:pPr>
        <w:pStyle w:val="Textlnku"/>
        <w:spacing w:before="0" w:after="0" w:line="240" w:lineRule="auto"/>
        <w:ind w:firstLine="0"/>
        <w:jc w:val="both"/>
        <w:rPr>
          <w:rFonts w:ascii="Times New Roman" w:hAnsi="Times New Roman"/>
          <w:snapToGrid w:val="0"/>
          <w:sz w:val="24"/>
          <w:szCs w:val="24"/>
        </w:rPr>
      </w:pPr>
    </w:p>
    <w:p w:rsidR="001C2C32" w:rsidRPr="000574EA" w:rsidRDefault="001C2C32" w:rsidP="001C2C32">
      <w:pPr>
        <w:pStyle w:val="Textlnku"/>
        <w:spacing w:before="0" w:after="0" w:line="240" w:lineRule="auto"/>
        <w:ind w:firstLine="0"/>
        <w:jc w:val="both"/>
        <w:rPr>
          <w:rFonts w:ascii="Times New Roman" w:hAnsi="Times New Roman"/>
          <w:snapToGrid w:val="0"/>
          <w:sz w:val="24"/>
          <w:szCs w:val="24"/>
        </w:rPr>
      </w:pPr>
    </w:p>
    <w:p w:rsidR="000574EA" w:rsidRDefault="001C2C32" w:rsidP="001C2C32">
      <w:pPr>
        <w:pStyle w:val="Novelizanbod"/>
        <w:numPr>
          <w:ilvl w:val="0"/>
          <w:numId w:val="0"/>
        </w:numPr>
        <w:spacing w:before="0" w:after="0" w:line="240" w:lineRule="auto"/>
        <w:ind w:left="567" w:hanging="567"/>
        <w:jc w:val="both"/>
        <w:rPr>
          <w:rFonts w:ascii="Times New Roman" w:hAnsi="Times New Roman"/>
          <w:bCs/>
          <w:sz w:val="24"/>
          <w:szCs w:val="24"/>
        </w:rPr>
      </w:pPr>
      <w:r>
        <w:rPr>
          <w:rFonts w:ascii="Times New Roman" w:eastAsia="Times New Roman" w:hAnsi="Times New Roman"/>
          <w:sz w:val="24"/>
          <w:szCs w:val="24"/>
        </w:rPr>
        <w:t>7.</w:t>
      </w:r>
      <w:r>
        <w:rPr>
          <w:rFonts w:ascii="Times New Roman" w:eastAsia="Times New Roman" w:hAnsi="Times New Roman"/>
          <w:sz w:val="24"/>
          <w:szCs w:val="24"/>
        </w:rPr>
        <w:tab/>
      </w:r>
      <w:r w:rsidR="000574EA" w:rsidRPr="000574EA">
        <w:rPr>
          <w:rFonts w:ascii="Times New Roman" w:eastAsia="Times New Roman" w:hAnsi="Times New Roman"/>
          <w:sz w:val="24"/>
          <w:szCs w:val="24"/>
        </w:rPr>
        <w:t>V § 11 odst. 2 se za slovo „</w:t>
      </w:r>
      <w:r w:rsidR="000574EA" w:rsidRPr="000574EA">
        <w:rPr>
          <w:rFonts w:ascii="Times New Roman" w:hAnsi="Times New Roman"/>
          <w:bCs/>
          <w:sz w:val="24"/>
          <w:szCs w:val="24"/>
        </w:rPr>
        <w:t xml:space="preserve">čin“ vkládají slova „pletich v insolvenčním řízení (§ 226 trestního zákoníku), porušení předpisů o pravidlech hospodářské soutěže podle § 248 odst. 1 písm. e) trestního zákoníku, </w:t>
      </w:r>
      <w:r w:rsidR="00ED1A42">
        <w:rPr>
          <w:rFonts w:ascii="Times New Roman" w:hAnsi="Times New Roman"/>
          <w:bCs/>
          <w:sz w:val="24"/>
          <w:szCs w:val="24"/>
        </w:rPr>
        <w:t>z</w:t>
      </w:r>
      <w:r w:rsidR="000574EA" w:rsidRPr="000574EA">
        <w:rPr>
          <w:rFonts w:ascii="Times New Roman" w:hAnsi="Times New Roman"/>
          <w:bCs/>
          <w:sz w:val="24"/>
          <w:szCs w:val="24"/>
        </w:rPr>
        <w:t>jednání výhody při zadání veřejné zakázky, při veřejné soutěži a veřejné dražbě podle § 256 odst. 3 nebo 4 trestního zákoníku, pletich při zadání veřejné zakázky a při veřejné soutěži podle § 257 odst. 1 písm. b) nebo c) trestního zákoníku, pletich při veřejné dražbě podle § 258 odst. 1 písm. b) nebo c) trestního zákoníku,“.</w:t>
      </w:r>
    </w:p>
    <w:p w:rsidR="000574EA" w:rsidRPr="000574EA" w:rsidRDefault="000574EA" w:rsidP="000574EA"/>
    <w:p w:rsidR="000574EA" w:rsidRDefault="001C2C32" w:rsidP="001C2C32">
      <w:pPr>
        <w:pStyle w:val="Novelizanbod"/>
        <w:numPr>
          <w:ilvl w:val="0"/>
          <w:numId w:val="0"/>
        </w:numPr>
        <w:spacing w:before="0"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8.</w:t>
      </w:r>
      <w:r>
        <w:rPr>
          <w:rFonts w:ascii="Times New Roman" w:eastAsia="Times New Roman" w:hAnsi="Times New Roman"/>
          <w:sz w:val="24"/>
          <w:szCs w:val="24"/>
        </w:rPr>
        <w:tab/>
      </w:r>
      <w:r w:rsidR="000574EA" w:rsidRPr="000574EA">
        <w:rPr>
          <w:rFonts w:ascii="Times New Roman" w:eastAsia="Times New Roman" w:hAnsi="Times New Roman"/>
          <w:sz w:val="24"/>
          <w:szCs w:val="24"/>
        </w:rPr>
        <w:t>§ 13 včetně nadpisu zní:</w:t>
      </w:r>
    </w:p>
    <w:p w:rsidR="000574EA" w:rsidRPr="000574EA" w:rsidRDefault="000574EA" w:rsidP="000574EA"/>
    <w:p w:rsidR="000574EA" w:rsidRPr="000574EA" w:rsidRDefault="000574EA" w:rsidP="001C2C32">
      <w:pPr>
        <w:widowControl w:val="0"/>
        <w:autoSpaceDE w:val="0"/>
        <w:autoSpaceDN w:val="0"/>
        <w:adjustRightInd w:val="0"/>
        <w:spacing w:after="0" w:line="240" w:lineRule="auto"/>
        <w:jc w:val="center"/>
        <w:rPr>
          <w:rFonts w:ascii="Times New Roman" w:hAnsi="Times New Roman"/>
          <w:bCs/>
          <w:sz w:val="24"/>
          <w:szCs w:val="24"/>
        </w:rPr>
      </w:pPr>
      <w:r w:rsidRPr="000574EA">
        <w:rPr>
          <w:rFonts w:ascii="Times New Roman" w:hAnsi="Times New Roman"/>
          <w:bCs/>
          <w:sz w:val="24"/>
          <w:szCs w:val="24"/>
        </w:rPr>
        <w:t>„§ 13</w:t>
      </w:r>
    </w:p>
    <w:p w:rsidR="000574EA" w:rsidRDefault="000574EA" w:rsidP="000574EA">
      <w:pPr>
        <w:spacing w:after="0" w:line="240" w:lineRule="auto"/>
        <w:jc w:val="center"/>
        <w:rPr>
          <w:rFonts w:ascii="Times New Roman" w:hAnsi="Times New Roman"/>
          <w:b/>
          <w:sz w:val="24"/>
          <w:szCs w:val="24"/>
        </w:rPr>
      </w:pPr>
      <w:r w:rsidRPr="000574EA">
        <w:rPr>
          <w:rFonts w:ascii="Times New Roman" w:hAnsi="Times New Roman"/>
          <w:b/>
          <w:sz w:val="24"/>
          <w:szCs w:val="24"/>
        </w:rPr>
        <w:t>Vyloučení z</w:t>
      </w:r>
      <w:r>
        <w:rPr>
          <w:rFonts w:ascii="Times New Roman" w:hAnsi="Times New Roman"/>
          <w:b/>
          <w:sz w:val="24"/>
          <w:szCs w:val="24"/>
        </w:rPr>
        <w:t> </w:t>
      </w:r>
      <w:r w:rsidRPr="000574EA">
        <w:rPr>
          <w:rFonts w:ascii="Times New Roman" w:hAnsi="Times New Roman"/>
          <w:b/>
          <w:sz w:val="24"/>
          <w:szCs w:val="24"/>
        </w:rPr>
        <w:t>promlčení</w:t>
      </w:r>
    </w:p>
    <w:p w:rsidR="000574EA" w:rsidRPr="000574EA" w:rsidRDefault="000574EA" w:rsidP="000574EA">
      <w:pPr>
        <w:spacing w:after="0" w:line="240" w:lineRule="auto"/>
        <w:jc w:val="center"/>
        <w:rPr>
          <w:rFonts w:ascii="Times New Roman" w:hAnsi="Times New Roman"/>
          <w:b/>
          <w:sz w:val="24"/>
          <w:szCs w:val="24"/>
        </w:rPr>
      </w:pPr>
    </w:p>
    <w:p w:rsidR="000574EA" w:rsidRPr="000574EA" w:rsidRDefault="000574EA" w:rsidP="001C2C32">
      <w:pPr>
        <w:pStyle w:val="Textodstavce"/>
        <w:numPr>
          <w:ilvl w:val="0"/>
          <w:numId w:val="0"/>
        </w:numPr>
        <w:tabs>
          <w:tab w:val="left" w:pos="0"/>
        </w:tabs>
        <w:spacing w:before="0" w:after="0" w:line="240" w:lineRule="auto"/>
        <w:ind w:firstLine="567"/>
        <w:jc w:val="both"/>
        <w:rPr>
          <w:rFonts w:ascii="Times New Roman" w:hAnsi="Times New Roman"/>
          <w:snapToGrid w:val="0"/>
          <w:sz w:val="24"/>
          <w:szCs w:val="24"/>
        </w:rPr>
      </w:pPr>
      <w:r w:rsidRPr="000574EA">
        <w:rPr>
          <w:rFonts w:ascii="Times New Roman" w:hAnsi="Times New Roman"/>
          <w:snapToGrid w:val="0"/>
          <w:sz w:val="24"/>
          <w:szCs w:val="24"/>
        </w:rPr>
        <w:t>Uplynutím promlčecí doby nezaniká trestní odpovědnost</w:t>
      </w:r>
      <w:r w:rsidRPr="000574EA">
        <w:rPr>
          <w:rFonts w:ascii="Times New Roman" w:hAnsi="Times New Roman"/>
          <w:sz w:val="24"/>
          <w:szCs w:val="24"/>
        </w:rPr>
        <w:t xml:space="preserve"> </w:t>
      </w:r>
    </w:p>
    <w:p w:rsidR="000574EA" w:rsidRPr="000574EA" w:rsidRDefault="000574EA" w:rsidP="001C2C32">
      <w:pPr>
        <w:pStyle w:val="Textlnku"/>
        <w:spacing w:before="0" w:after="0" w:line="240" w:lineRule="auto"/>
        <w:ind w:left="567" w:hanging="567"/>
        <w:jc w:val="both"/>
        <w:rPr>
          <w:rFonts w:ascii="Times New Roman" w:hAnsi="Times New Roman"/>
          <w:snapToGrid w:val="0"/>
          <w:sz w:val="24"/>
          <w:szCs w:val="24"/>
        </w:rPr>
      </w:pPr>
      <w:r w:rsidRPr="000574EA">
        <w:rPr>
          <w:rFonts w:ascii="Times New Roman" w:hAnsi="Times New Roman"/>
          <w:snapToGrid w:val="0"/>
          <w:sz w:val="24"/>
          <w:szCs w:val="24"/>
        </w:rPr>
        <w:t xml:space="preserve">a) </w:t>
      </w:r>
      <w:r w:rsidR="001C2C32">
        <w:rPr>
          <w:rFonts w:ascii="Times New Roman" w:hAnsi="Times New Roman"/>
          <w:snapToGrid w:val="0"/>
          <w:sz w:val="24"/>
          <w:szCs w:val="24"/>
        </w:rPr>
        <w:tab/>
      </w:r>
      <w:r w:rsidRPr="000574EA">
        <w:rPr>
          <w:rFonts w:ascii="Times New Roman" w:hAnsi="Times New Roman"/>
          <w:snapToGrid w:val="0"/>
          <w:sz w:val="24"/>
          <w:szCs w:val="24"/>
        </w:rPr>
        <w:t xml:space="preserve">za trestné činy uvedené ve zvláštní části hlavě třinácté trestního zákoníku, s výjimkou trestných činů založení, podpory a propagace hnutí směřujícího k potlačení práv a svobod </w:t>
      </w:r>
      <w:r w:rsidRPr="000574EA">
        <w:rPr>
          <w:rFonts w:ascii="Times New Roman" w:hAnsi="Times New Roman"/>
          <w:snapToGrid w:val="0"/>
          <w:sz w:val="24"/>
          <w:szCs w:val="24"/>
        </w:rPr>
        <w:lastRenderedPageBreak/>
        <w:t xml:space="preserve">člověka (§ 403 trestního zákoníku), projevu sympatií k hnutí směřujícímu k potlačení práv a svobod člověka (§ 404 trestního zákoníku) a popírání, zpochybňování, schvalování a ospravedlňování genocidia (§ 405 trestního zákoníku),  </w:t>
      </w:r>
    </w:p>
    <w:p w:rsidR="000574EA" w:rsidRDefault="000574EA" w:rsidP="001C2C32">
      <w:pPr>
        <w:pStyle w:val="Textlnku"/>
        <w:spacing w:before="0" w:after="0" w:line="240" w:lineRule="auto"/>
        <w:ind w:left="567" w:hanging="567"/>
        <w:jc w:val="both"/>
        <w:rPr>
          <w:rFonts w:ascii="Times New Roman" w:hAnsi="Times New Roman"/>
          <w:snapToGrid w:val="0"/>
          <w:sz w:val="24"/>
          <w:szCs w:val="24"/>
        </w:rPr>
      </w:pPr>
      <w:r w:rsidRPr="000574EA">
        <w:rPr>
          <w:rFonts w:ascii="Times New Roman" w:hAnsi="Times New Roman"/>
          <w:snapToGrid w:val="0"/>
          <w:sz w:val="24"/>
          <w:szCs w:val="24"/>
        </w:rPr>
        <w:t xml:space="preserve">b) </w:t>
      </w:r>
      <w:r w:rsidR="001C2C32">
        <w:rPr>
          <w:rFonts w:ascii="Times New Roman" w:hAnsi="Times New Roman"/>
          <w:snapToGrid w:val="0"/>
          <w:sz w:val="24"/>
          <w:szCs w:val="24"/>
        </w:rPr>
        <w:tab/>
      </w:r>
      <w:r w:rsidRPr="000574EA">
        <w:rPr>
          <w:rFonts w:ascii="Times New Roman" w:hAnsi="Times New Roman"/>
          <w:snapToGrid w:val="0"/>
          <w:sz w:val="24"/>
          <w:szCs w:val="24"/>
        </w:rPr>
        <w:t>za trestné činy rozvracení republiky (§ 310 trestního zákoníku), teroristického útoku (§</w:t>
      </w:r>
      <w:r w:rsidR="0066248B">
        <w:rPr>
          <w:rFonts w:ascii="Times New Roman" w:hAnsi="Times New Roman"/>
          <w:snapToGrid w:val="0"/>
          <w:sz w:val="24"/>
          <w:szCs w:val="24"/>
        </w:rPr>
        <w:t> </w:t>
      </w:r>
      <w:r w:rsidRPr="000574EA">
        <w:rPr>
          <w:rFonts w:ascii="Times New Roman" w:hAnsi="Times New Roman"/>
          <w:snapToGrid w:val="0"/>
          <w:sz w:val="24"/>
          <w:szCs w:val="24"/>
        </w:rPr>
        <w:t xml:space="preserve">311 trestního zákoníku) a teroru (§ 312 trestního zákoníku), pokud byly spáchány za takových okolností, že zakládají válečný zločin nebo zločin proti lidskosti podle předpisů mezinárodního práva.“. </w:t>
      </w:r>
    </w:p>
    <w:p w:rsidR="000574EA" w:rsidRDefault="000574EA" w:rsidP="000574EA">
      <w:pPr>
        <w:pStyle w:val="Textlnku"/>
        <w:spacing w:before="0" w:after="0" w:line="240" w:lineRule="auto"/>
        <w:ind w:left="284" w:hanging="284"/>
        <w:jc w:val="both"/>
        <w:rPr>
          <w:rFonts w:ascii="Times New Roman" w:hAnsi="Times New Roman"/>
          <w:sz w:val="24"/>
          <w:szCs w:val="24"/>
        </w:rPr>
      </w:pPr>
    </w:p>
    <w:p w:rsidR="001C2C32" w:rsidRPr="000574EA" w:rsidRDefault="001C2C32" w:rsidP="000574EA">
      <w:pPr>
        <w:pStyle w:val="Textlnku"/>
        <w:spacing w:before="0" w:after="0" w:line="240" w:lineRule="auto"/>
        <w:ind w:left="284" w:hanging="284"/>
        <w:jc w:val="both"/>
        <w:rPr>
          <w:rFonts w:ascii="Times New Roman" w:hAnsi="Times New Roman"/>
          <w:sz w:val="24"/>
          <w:szCs w:val="24"/>
        </w:rPr>
      </w:pPr>
    </w:p>
    <w:p w:rsidR="000574EA" w:rsidRPr="000574EA" w:rsidRDefault="001C2C32" w:rsidP="001C2C32">
      <w:pPr>
        <w:pStyle w:val="Novelizanbod"/>
        <w:numPr>
          <w:ilvl w:val="0"/>
          <w:numId w:val="0"/>
        </w:numPr>
        <w:spacing w:before="0"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9.</w:t>
      </w:r>
      <w:r>
        <w:rPr>
          <w:rFonts w:ascii="Times New Roman" w:eastAsia="Times New Roman" w:hAnsi="Times New Roman"/>
          <w:sz w:val="24"/>
          <w:szCs w:val="24"/>
        </w:rPr>
        <w:tab/>
      </w:r>
      <w:r w:rsidR="000574EA" w:rsidRPr="000574EA">
        <w:rPr>
          <w:rFonts w:ascii="Times New Roman" w:eastAsia="Times New Roman" w:hAnsi="Times New Roman"/>
          <w:sz w:val="24"/>
          <w:szCs w:val="24"/>
        </w:rPr>
        <w:t>§ 25 včetně nadpisu zní:</w:t>
      </w:r>
    </w:p>
    <w:p w:rsidR="000574EA" w:rsidRDefault="000574EA" w:rsidP="000574EA">
      <w:pPr>
        <w:widowControl w:val="0"/>
        <w:autoSpaceDE w:val="0"/>
        <w:autoSpaceDN w:val="0"/>
        <w:adjustRightInd w:val="0"/>
        <w:spacing w:after="0" w:line="240" w:lineRule="auto"/>
        <w:jc w:val="both"/>
        <w:rPr>
          <w:rFonts w:ascii="Times New Roman" w:hAnsi="Times New Roman"/>
          <w:bCs/>
          <w:sz w:val="24"/>
          <w:szCs w:val="24"/>
        </w:rPr>
      </w:pPr>
    </w:p>
    <w:p w:rsidR="000574EA" w:rsidRPr="001C2C32" w:rsidRDefault="000574EA" w:rsidP="001C2C32">
      <w:pPr>
        <w:widowControl w:val="0"/>
        <w:autoSpaceDE w:val="0"/>
        <w:autoSpaceDN w:val="0"/>
        <w:adjustRightInd w:val="0"/>
        <w:spacing w:after="0" w:line="240" w:lineRule="auto"/>
        <w:jc w:val="center"/>
        <w:rPr>
          <w:rFonts w:ascii="Times New Roman" w:hAnsi="Times New Roman"/>
          <w:bCs/>
          <w:sz w:val="24"/>
          <w:szCs w:val="24"/>
        </w:rPr>
      </w:pPr>
      <w:r w:rsidRPr="000574EA">
        <w:rPr>
          <w:rFonts w:ascii="Times New Roman" w:hAnsi="Times New Roman"/>
          <w:bCs/>
          <w:sz w:val="24"/>
          <w:szCs w:val="24"/>
        </w:rPr>
        <w:t>„§ 25</w:t>
      </w:r>
    </w:p>
    <w:p w:rsidR="000574EA" w:rsidRDefault="000574EA" w:rsidP="000574EA">
      <w:pPr>
        <w:spacing w:after="0" w:line="240" w:lineRule="auto"/>
        <w:jc w:val="center"/>
        <w:rPr>
          <w:rFonts w:ascii="Times New Roman" w:hAnsi="Times New Roman"/>
          <w:b/>
          <w:sz w:val="24"/>
          <w:szCs w:val="24"/>
        </w:rPr>
      </w:pPr>
      <w:r w:rsidRPr="000574EA">
        <w:rPr>
          <w:rFonts w:ascii="Times New Roman" w:hAnsi="Times New Roman"/>
          <w:b/>
          <w:sz w:val="24"/>
          <w:szCs w:val="24"/>
        </w:rPr>
        <w:t>Vyloučení z</w:t>
      </w:r>
      <w:r>
        <w:rPr>
          <w:rFonts w:ascii="Times New Roman" w:hAnsi="Times New Roman"/>
          <w:b/>
          <w:sz w:val="24"/>
          <w:szCs w:val="24"/>
        </w:rPr>
        <w:t> </w:t>
      </w:r>
      <w:r w:rsidRPr="000574EA">
        <w:rPr>
          <w:rFonts w:ascii="Times New Roman" w:hAnsi="Times New Roman"/>
          <w:b/>
          <w:sz w:val="24"/>
          <w:szCs w:val="24"/>
        </w:rPr>
        <w:t>promlčení</w:t>
      </w:r>
    </w:p>
    <w:p w:rsidR="000574EA" w:rsidRPr="000574EA" w:rsidRDefault="000574EA" w:rsidP="000574EA">
      <w:pPr>
        <w:spacing w:after="0" w:line="240" w:lineRule="auto"/>
        <w:jc w:val="center"/>
        <w:rPr>
          <w:rFonts w:ascii="Times New Roman" w:hAnsi="Times New Roman"/>
          <w:b/>
          <w:sz w:val="24"/>
          <w:szCs w:val="24"/>
        </w:rPr>
      </w:pPr>
    </w:p>
    <w:p w:rsidR="000574EA" w:rsidRPr="000574EA" w:rsidRDefault="000574EA" w:rsidP="001C2C32">
      <w:pPr>
        <w:pStyle w:val="Textlnku"/>
        <w:spacing w:before="0" w:after="0" w:line="240" w:lineRule="auto"/>
        <w:ind w:left="708" w:firstLine="0"/>
        <w:jc w:val="both"/>
        <w:rPr>
          <w:rFonts w:ascii="Times New Roman" w:hAnsi="Times New Roman"/>
          <w:sz w:val="24"/>
          <w:szCs w:val="24"/>
        </w:rPr>
      </w:pPr>
      <w:r w:rsidRPr="000574EA">
        <w:rPr>
          <w:rFonts w:ascii="Times New Roman" w:hAnsi="Times New Roman"/>
          <w:sz w:val="24"/>
          <w:szCs w:val="24"/>
        </w:rPr>
        <w:t>Výkon trestu uloženého pro trestné činy uvedené v § 13 se nepromlčuje.“.</w:t>
      </w:r>
    </w:p>
    <w:p w:rsidR="000574EA" w:rsidRPr="000574EA" w:rsidRDefault="000574EA" w:rsidP="000574EA">
      <w:pPr>
        <w:spacing w:after="0" w:line="240" w:lineRule="auto"/>
        <w:jc w:val="both"/>
        <w:rPr>
          <w:rFonts w:ascii="Times New Roman" w:hAnsi="Times New Roman"/>
          <w:sz w:val="24"/>
          <w:szCs w:val="24"/>
        </w:rPr>
      </w:pPr>
    </w:p>
    <w:p w:rsidR="001C2C32" w:rsidRDefault="001C2C32" w:rsidP="000574EA">
      <w:pPr>
        <w:pStyle w:val="lnek"/>
        <w:spacing w:before="0" w:after="0" w:line="240" w:lineRule="auto"/>
        <w:rPr>
          <w:rFonts w:ascii="Times New Roman" w:hAnsi="Times New Roman"/>
          <w:sz w:val="24"/>
          <w:szCs w:val="24"/>
        </w:rPr>
      </w:pPr>
    </w:p>
    <w:p w:rsidR="001C2C32" w:rsidRDefault="001C2C32" w:rsidP="001C2C32">
      <w:pPr>
        <w:pStyle w:val="lnek"/>
        <w:spacing w:before="0" w:after="0" w:line="240" w:lineRule="auto"/>
        <w:rPr>
          <w:rFonts w:ascii="Times New Roman" w:hAnsi="Times New Roman"/>
          <w:sz w:val="24"/>
          <w:szCs w:val="24"/>
        </w:rPr>
      </w:pPr>
    </w:p>
    <w:p w:rsidR="000574EA" w:rsidRPr="001C2C32" w:rsidRDefault="000574EA" w:rsidP="001C2C32">
      <w:pPr>
        <w:pStyle w:val="lnek"/>
        <w:spacing w:before="0" w:after="0" w:line="240" w:lineRule="auto"/>
        <w:rPr>
          <w:rFonts w:ascii="Times New Roman" w:hAnsi="Times New Roman"/>
          <w:sz w:val="24"/>
          <w:szCs w:val="24"/>
        </w:rPr>
      </w:pPr>
      <w:r w:rsidRPr="000574EA">
        <w:rPr>
          <w:rFonts w:ascii="Times New Roman" w:hAnsi="Times New Roman"/>
          <w:sz w:val="24"/>
          <w:szCs w:val="24"/>
        </w:rPr>
        <w:t>Čl. II</w:t>
      </w:r>
    </w:p>
    <w:p w:rsidR="000574EA" w:rsidRPr="000574EA" w:rsidRDefault="000574EA" w:rsidP="000574EA">
      <w:pPr>
        <w:spacing w:after="0" w:line="240" w:lineRule="auto"/>
        <w:jc w:val="center"/>
        <w:rPr>
          <w:rFonts w:ascii="Times New Roman" w:hAnsi="Times New Roman"/>
          <w:b/>
          <w:sz w:val="24"/>
          <w:szCs w:val="24"/>
          <w:lang w:eastAsia="cs-CZ"/>
        </w:rPr>
      </w:pPr>
      <w:r w:rsidRPr="000574EA">
        <w:rPr>
          <w:rFonts w:ascii="Times New Roman" w:hAnsi="Times New Roman"/>
          <w:b/>
          <w:sz w:val="24"/>
          <w:szCs w:val="24"/>
          <w:lang w:eastAsia="cs-CZ"/>
        </w:rPr>
        <w:t>Účinnost</w:t>
      </w:r>
    </w:p>
    <w:p w:rsidR="000574EA" w:rsidRDefault="000574EA" w:rsidP="000574EA">
      <w:pPr>
        <w:spacing w:after="0" w:line="240" w:lineRule="auto"/>
        <w:ind w:firstLine="425"/>
        <w:jc w:val="both"/>
        <w:rPr>
          <w:rFonts w:ascii="Times New Roman" w:hAnsi="Times New Roman"/>
          <w:sz w:val="24"/>
          <w:szCs w:val="24"/>
        </w:rPr>
      </w:pPr>
    </w:p>
    <w:p w:rsidR="000574EA" w:rsidRPr="000574EA" w:rsidRDefault="000574EA" w:rsidP="001C2C32">
      <w:pPr>
        <w:spacing w:after="0" w:line="240" w:lineRule="auto"/>
        <w:ind w:firstLine="708"/>
        <w:jc w:val="both"/>
        <w:rPr>
          <w:rFonts w:ascii="Times New Roman" w:hAnsi="Times New Roman"/>
          <w:sz w:val="24"/>
          <w:szCs w:val="24"/>
        </w:rPr>
      </w:pPr>
      <w:r w:rsidRPr="000574EA">
        <w:rPr>
          <w:rFonts w:ascii="Times New Roman" w:hAnsi="Times New Roman"/>
          <w:sz w:val="24"/>
          <w:szCs w:val="24"/>
        </w:rPr>
        <w:t>Tento zákon nabývá účinnosti prvním dnem šestého kalendářního měsíce následujícího po </w:t>
      </w:r>
      <w:r w:rsidR="0066248B">
        <w:rPr>
          <w:rFonts w:ascii="Times New Roman" w:hAnsi="Times New Roman"/>
          <w:sz w:val="24"/>
          <w:szCs w:val="24"/>
        </w:rPr>
        <w:t xml:space="preserve">dni </w:t>
      </w:r>
      <w:r w:rsidRPr="000574EA">
        <w:rPr>
          <w:rFonts w:ascii="Times New Roman" w:hAnsi="Times New Roman"/>
          <w:sz w:val="24"/>
          <w:szCs w:val="24"/>
        </w:rPr>
        <w:t xml:space="preserve">jeho vyhlášení.  </w:t>
      </w:r>
    </w:p>
    <w:p w:rsidR="000574EA" w:rsidRPr="000574EA" w:rsidRDefault="000574EA" w:rsidP="000574EA">
      <w:pPr>
        <w:spacing w:after="0" w:line="240" w:lineRule="auto"/>
        <w:jc w:val="both"/>
        <w:rPr>
          <w:rFonts w:ascii="Times New Roman" w:hAnsi="Times New Roman"/>
          <w:sz w:val="24"/>
          <w:szCs w:val="24"/>
        </w:rPr>
      </w:pPr>
    </w:p>
    <w:p w:rsidR="000574EA" w:rsidRPr="000574EA" w:rsidRDefault="000574EA" w:rsidP="000574EA">
      <w:pPr>
        <w:spacing w:after="0" w:line="240" w:lineRule="auto"/>
        <w:jc w:val="both"/>
        <w:rPr>
          <w:rFonts w:ascii="Times New Roman" w:hAnsi="Times New Roman"/>
          <w:sz w:val="24"/>
          <w:szCs w:val="24"/>
        </w:rPr>
      </w:pPr>
    </w:p>
    <w:sectPr w:rsidR="000574EA" w:rsidRPr="000574EA">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CE3" w:rsidRDefault="00711CE3">
      <w:pPr>
        <w:spacing w:after="0" w:line="240" w:lineRule="auto"/>
      </w:pPr>
      <w:r>
        <w:separator/>
      </w:r>
    </w:p>
  </w:endnote>
  <w:endnote w:type="continuationSeparator" w:id="0">
    <w:p w:rsidR="00711CE3" w:rsidRDefault="00711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CE3" w:rsidRDefault="00711CE3">
      <w:pPr>
        <w:spacing w:after="0" w:line="240" w:lineRule="auto"/>
      </w:pPr>
      <w:r>
        <w:separator/>
      </w:r>
    </w:p>
  </w:footnote>
  <w:footnote w:type="continuationSeparator" w:id="0">
    <w:p w:rsidR="00711CE3" w:rsidRDefault="00711C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2C5" w:rsidRDefault="00711CE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502C5" w:rsidRDefault="004502C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2C5" w:rsidRDefault="00711CE3">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C873E4">
      <w:rPr>
        <w:rStyle w:val="slostrnky"/>
        <w:noProof/>
      </w:rPr>
      <w:t>3</w:t>
    </w:r>
    <w:r>
      <w:rPr>
        <w:rStyle w:val="slostrnky"/>
      </w:rPr>
      <w:fldChar w:fldCharType="end"/>
    </w:r>
    <w:r>
      <w:rPr>
        <w:rStyle w:val="slostrnky"/>
      </w:rPr>
      <w:t xml:space="preserve"> -</w:t>
    </w:r>
  </w:p>
  <w:p w:rsidR="004502C5" w:rsidRDefault="004502C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3">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5">
    <w:nsid w:val="74C73E4F"/>
    <w:multiLevelType w:val="hybridMultilevel"/>
    <w:tmpl w:val="6C6CC7B0"/>
    <w:lvl w:ilvl="0" w:tplc="0722E546">
      <w:start w:val="1"/>
      <w:numFmt w:val="decimal"/>
      <w:lvlText w:val="%1."/>
      <w:lvlJc w:val="left"/>
      <w:pPr>
        <w:ind w:left="785" w:hanging="360"/>
      </w:pPr>
    </w:lvl>
    <w:lvl w:ilvl="1" w:tplc="04050019">
      <w:start w:val="1"/>
      <w:numFmt w:val="lowerLetter"/>
      <w:lvlText w:val="%2."/>
      <w:lvlJc w:val="left"/>
      <w:pPr>
        <w:ind w:left="1505" w:hanging="360"/>
      </w:pPr>
    </w:lvl>
    <w:lvl w:ilvl="2" w:tplc="0405001B">
      <w:start w:val="1"/>
      <w:numFmt w:val="lowerRoman"/>
      <w:lvlText w:val="%3."/>
      <w:lvlJc w:val="right"/>
      <w:pPr>
        <w:ind w:left="2225" w:hanging="180"/>
      </w:pPr>
    </w:lvl>
    <w:lvl w:ilvl="3" w:tplc="0405000F">
      <w:start w:val="1"/>
      <w:numFmt w:val="decimal"/>
      <w:lvlText w:val="%4."/>
      <w:lvlJc w:val="left"/>
      <w:pPr>
        <w:ind w:left="2945" w:hanging="360"/>
      </w:pPr>
    </w:lvl>
    <w:lvl w:ilvl="4" w:tplc="04050019">
      <w:start w:val="1"/>
      <w:numFmt w:val="lowerLetter"/>
      <w:lvlText w:val="%5."/>
      <w:lvlJc w:val="left"/>
      <w:pPr>
        <w:ind w:left="3665" w:hanging="360"/>
      </w:pPr>
    </w:lvl>
    <w:lvl w:ilvl="5" w:tplc="0405001B">
      <w:start w:val="1"/>
      <w:numFmt w:val="lowerRoman"/>
      <w:lvlText w:val="%6."/>
      <w:lvlJc w:val="right"/>
      <w:pPr>
        <w:ind w:left="4385" w:hanging="180"/>
      </w:pPr>
    </w:lvl>
    <w:lvl w:ilvl="6" w:tplc="0405000F">
      <w:start w:val="1"/>
      <w:numFmt w:val="decimal"/>
      <w:lvlText w:val="%7."/>
      <w:lvlJc w:val="left"/>
      <w:pPr>
        <w:ind w:left="5105" w:hanging="360"/>
      </w:pPr>
    </w:lvl>
    <w:lvl w:ilvl="7" w:tplc="04050019">
      <w:start w:val="1"/>
      <w:numFmt w:val="lowerLetter"/>
      <w:lvlText w:val="%8."/>
      <w:lvlJc w:val="left"/>
      <w:pPr>
        <w:ind w:left="5825" w:hanging="360"/>
      </w:pPr>
    </w:lvl>
    <w:lvl w:ilvl="8" w:tplc="0405001B">
      <w:start w:val="1"/>
      <w:numFmt w:val="lowerRoman"/>
      <w:lvlText w:val="%9."/>
      <w:lvlJc w:val="right"/>
      <w:pPr>
        <w:ind w:left="6545" w:hanging="180"/>
      </w:pPr>
    </w:lvl>
  </w:abstractNum>
  <w:num w:numId="1">
    <w:abstractNumId w:val="3"/>
  </w:num>
  <w:num w:numId="2">
    <w:abstractNumId w:val="1"/>
  </w:num>
  <w:num w:numId="3">
    <w:abstractNumId w:val="0"/>
  </w:num>
  <w:num w:numId="4">
    <w:abstractNumId w:val="4"/>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4EA"/>
    <w:rsid w:val="000574EA"/>
    <w:rsid w:val="001C2C32"/>
    <w:rsid w:val="002D6691"/>
    <w:rsid w:val="004502C5"/>
    <w:rsid w:val="0066248B"/>
    <w:rsid w:val="006E0B93"/>
    <w:rsid w:val="00711CE3"/>
    <w:rsid w:val="008069D7"/>
    <w:rsid w:val="008F2F94"/>
    <w:rsid w:val="00C873E4"/>
    <w:rsid w:val="00ED1A42"/>
    <w:rsid w:val="00F11CCC"/>
    <w:rsid w:val="00FA5AB8"/>
    <w:rsid w:val="00FC7E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5A65B6-A24D-4D5F-908D-3E24FBD56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74EA"/>
    <w:pPr>
      <w:spacing w:after="200" w:line="276" w:lineRule="auto"/>
    </w:pPr>
    <w:rPr>
      <w:rFonts w:ascii="Calibri" w:eastAsia="Calibri" w:hAnsi="Calibri"/>
      <w:sz w:val="22"/>
      <w:szCs w:val="22"/>
      <w:lang w:eastAsia="en-US"/>
    </w:rPr>
  </w:style>
  <w:style w:type="paragraph" w:styleId="Nadpis1">
    <w:name w:val="heading 1"/>
    <w:basedOn w:val="Normln"/>
    <w:next w:val="Normln"/>
    <w:qFormat/>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pPr>
      <w:tabs>
        <w:tab w:val="center" w:pos="4536"/>
        <w:tab w:val="right" w:pos="9072"/>
      </w:tabs>
    </w:pPr>
  </w:style>
  <w:style w:type="paragraph" w:customStyle="1" w:styleId="Textparagrafu">
    <w:name w:val="Text paragrafu"/>
    <w:basedOn w:val="Normln"/>
    <w:pPr>
      <w:spacing w:before="240"/>
      <w:ind w:firstLine="425"/>
      <w:outlineLvl w:val="5"/>
    </w:pPr>
  </w:style>
  <w:style w:type="paragraph" w:customStyle="1" w:styleId="Paragraf">
    <w:name w:val="Paragraf"/>
    <w:basedOn w:val="Normln"/>
    <w:next w:val="Textodstavce"/>
    <w:pPr>
      <w:keepNext/>
      <w:keepLines/>
      <w:spacing w:before="240"/>
      <w:jc w:val="center"/>
      <w:outlineLvl w:val="5"/>
    </w:pPr>
  </w:style>
  <w:style w:type="paragraph" w:customStyle="1" w:styleId="Oddl">
    <w:name w:val="Oddíl"/>
    <w:basedOn w:val="Normln"/>
    <w:next w:val="Nadpisoddlu"/>
    <w:pPr>
      <w:keepNext/>
      <w:keepLines/>
      <w:spacing w:before="240"/>
      <w:jc w:val="center"/>
      <w:outlineLvl w:val="4"/>
    </w:pPr>
  </w:style>
  <w:style w:type="paragraph" w:customStyle="1" w:styleId="Nadpisoddlu">
    <w:name w:val="Nadpis oddílu"/>
    <w:basedOn w:val="Normln"/>
    <w:next w:val="Paragraf"/>
    <w:pPr>
      <w:keepNext/>
      <w:keepLines/>
      <w:jc w:val="center"/>
      <w:outlineLvl w:val="4"/>
    </w:pPr>
    <w:rPr>
      <w:b/>
    </w:rPr>
  </w:style>
  <w:style w:type="paragraph" w:customStyle="1" w:styleId="Dl">
    <w:name w:val="Díl"/>
    <w:basedOn w:val="Normln"/>
    <w:next w:val="Nadpisdlu"/>
    <w:pPr>
      <w:keepNext/>
      <w:keepLines/>
      <w:spacing w:before="240"/>
      <w:jc w:val="center"/>
      <w:outlineLvl w:val="3"/>
    </w:pPr>
  </w:style>
  <w:style w:type="paragraph" w:customStyle="1" w:styleId="Nadpisdlu">
    <w:name w:val="Nadpis dílu"/>
    <w:basedOn w:val="Normln"/>
    <w:next w:val="Oddl"/>
    <w:pPr>
      <w:keepNext/>
      <w:keepLines/>
      <w:jc w:val="center"/>
      <w:outlineLvl w:val="3"/>
    </w:pPr>
    <w:rPr>
      <w:b/>
    </w:rPr>
  </w:style>
  <w:style w:type="paragraph" w:customStyle="1" w:styleId="Hlava">
    <w:name w:val="Hlava"/>
    <w:basedOn w:val="Normln"/>
    <w:next w:val="Nadpishlavy"/>
    <w:pPr>
      <w:keepNext/>
      <w:keepLines/>
      <w:spacing w:before="240"/>
      <w:jc w:val="center"/>
      <w:outlineLvl w:val="2"/>
    </w:pPr>
  </w:style>
  <w:style w:type="paragraph" w:customStyle="1" w:styleId="Nadpishlavy">
    <w:name w:val="Nadpis hlavy"/>
    <w:basedOn w:val="Normln"/>
    <w:next w:val="Dl"/>
    <w:pPr>
      <w:keepNext/>
      <w:keepLines/>
      <w:jc w:val="center"/>
      <w:outlineLvl w:val="2"/>
    </w:pPr>
    <w:rPr>
      <w:b/>
    </w:rPr>
  </w:style>
  <w:style w:type="paragraph" w:customStyle="1" w:styleId="ST">
    <w:name w:val="ČÁST"/>
    <w:basedOn w:val="Normln"/>
    <w:next w:val="NADPISSTI"/>
    <w:pPr>
      <w:keepNext/>
      <w:keepLines/>
      <w:spacing w:before="240" w:after="120"/>
      <w:jc w:val="center"/>
      <w:outlineLvl w:val="1"/>
    </w:pPr>
    <w:rPr>
      <w:caps/>
    </w:rPr>
  </w:style>
  <w:style w:type="paragraph" w:customStyle="1" w:styleId="NADPISSTI">
    <w:name w:val="NADPIS ČÁSTI"/>
    <w:basedOn w:val="Normln"/>
    <w:next w:val="Hlava"/>
    <w:pPr>
      <w:keepNext/>
      <w:keepLines/>
      <w:jc w:val="center"/>
      <w:outlineLvl w:val="1"/>
    </w:pPr>
    <w:rPr>
      <w:b/>
    </w:rPr>
  </w:style>
  <w:style w:type="paragraph" w:customStyle="1" w:styleId="ZKON">
    <w:name w:val="ZÁKON"/>
    <w:basedOn w:val="Normln"/>
    <w:next w:val="nadpiszkona"/>
    <w:pPr>
      <w:keepNext/>
      <w:keepLines/>
      <w:jc w:val="center"/>
      <w:outlineLvl w:val="0"/>
    </w:pPr>
    <w:rPr>
      <w:b/>
      <w:caps/>
    </w:rPr>
  </w:style>
  <w:style w:type="paragraph" w:customStyle="1" w:styleId="nadpiszkona">
    <w:name w:val="nadpis zákona"/>
    <w:basedOn w:val="Normln"/>
    <w:next w:val="Parlament"/>
    <w:pPr>
      <w:keepNext/>
      <w:keepLines/>
      <w:spacing w:before="120"/>
      <w:jc w:val="center"/>
      <w:outlineLvl w:val="0"/>
    </w:pPr>
    <w:rPr>
      <w:b/>
    </w:rPr>
  </w:style>
  <w:style w:type="paragraph" w:customStyle="1" w:styleId="Parlament">
    <w:name w:val="Parlament"/>
    <w:basedOn w:val="Normln"/>
    <w:next w:val="ST"/>
    <w:pPr>
      <w:keepNext/>
      <w:keepLines/>
      <w:spacing w:before="360" w:after="240"/>
    </w:pPr>
  </w:style>
  <w:style w:type="paragraph" w:customStyle="1" w:styleId="Textlnku">
    <w:name w:val="Text článku"/>
    <w:basedOn w:val="Normln"/>
    <w:link w:val="TextlnkuChar"/>
    <w:pPr>
      <w:spacing w:before="240"/>
      <w:ind w:firstLine="425"/>
      <w:outlineLvl w:val="5"/>
    </w:pPr>
  </w:style>
  <w:style w:type="paragraph" w:customStyle="1" w:styleId="lnek">
    <w:name w:val="Článek"/>
    <w:basedOn w:val="Normln"/>
    <w:next w:val="Textodstavce"/>
    <w:pPr>
      <w:keepNext/>
      <w:keepLines/>
      <w:spacing w:before="240"/>
      <w:jc w:val="center"/>
      <w:outlineLvl w:val="5"/>
    </w:pPr>
  </w:style>
  <w:style w:type="paragraph" w:customStyle="1" w:styleId="CELEX">
    <w:name w:val="CELEX"/>
    <w:basedOn w:val="Normln"/>
    <w:next w:val="Normln"/>
    <w:pPr>
      <w:spacing w:before="60"/>
    </w:pPr>
    <w:rPr>
      <w:i/>
      <w:sz w:val="20"/>
    </w:rPr>
  </w:style>
  <w:style w:type="paragraph" w:customStyle="1" w:styleId="funkce">
    <w:name w:val="funkce"/>
    <w:basedOn w:val="Normln"/>
    <w:pPr>
      <w:keepLines/>
      <w:jc w:val="center"/>
    </w:pPr>
  </w:style>
  <w:style w:type="paragraph" w:customStyle="1" w:styleId="Psmeno">
    <w:name w:val="&quot;Písmeno&quot;"/>
    <w:basedOn w:val="Normln"/>
    <w:next w:val="Normln"/>
    <w:pPr>
      <w:keepNext/>
      <w:keepLines/>
      <w:ind w:left="425" w:hanging="425"/>
    </w:pPr>
  </w:style>
  <w:style w:type="paragraph" w:customStyle="1" w:styleId="Oznaenpozmn">
    <w:name w:val="Označení pozm.n."/>
    <w:basedOn w:val="Normln"/>
    <w:next w:val="Normln"/>
    <w:pPr>
      <w:numPr>
        <w:numId w:val="2"/>
      </w:numPr>
      <w:spacing w:after="120"/>
    </w:pPr>
    <w:rPr>
      <w:b/>
    </w:rPr>
  </w:style>
  <w:style w:type="paragraph" w:customStyle="1" w:styleId="Textpozmn">
    <w:name w:val="Text pozm.n."/>
    <w:basedOn w:val="Normln"/>
    <w:next w:val="Normln"/>
    <w:pPr>
      <w:numPr>
        <w:numId w:val="3"/>
      </w:numPr>
      <w:tabs>
        <w:tab w:val="clear" w:pos="425"/>
        <w:tab w:val="left" w:pos="851"/>
      </w:tabs>
      <w:spacing w:after="120"/>
      <w:ind w:left="850"/>
    </w:pPr>
  </w:style>
  <w:style w:type="paragraph" w:customStyle="1" w:styleId="Novelizanbod">
    <w:name w:val="Novelizační bod"/>
    <w:basedOn w:val="Normln"/>
    <w:next w:val="Normln"/>
    <w:pPr>
      <w:keepNext/>
      <w:keepLines/>
      <w:numPr>
        <w:numId w:val="5"/>
      </w:numPr>
      <w:tabs>
        <w:tab w:val="left" w:pos="851"/>
      </w:tabs>
      <w:spacing w:before="480" w:after="120"/>
    </w:pPr>
  </w:style>
  <w:style w:type="paragraph" w:customStyle="1" w:styleId="Novelizanbodvpozmn">
    <w:name w:val="Novelizační bod v pozm.n."/>
    <w:basedOn w:val="Normln"/>
    <w:next w:val="Normln"/>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pPr>
      <w:keepNext/>
      <w:keepLines/>
      <w:spacing w:after="120"/>
      <w:jc w:val="center"/>
    </w:pPr>
    <w:rPr>
      <w:b/>
      <w:sz w:val="32"/>
    </w:rPr>
  </w:style>
  <w:style w:type="paragraph" w:customStyle="1" w:styleId="Textbodu">
    <w:name w:val="Text bodu"/>
    <w:basedOn w:val="Normln"/>
    <w:pPr>
      <w:numPr>
        <w:ilvl w:val="8"/>
        <w:numId w:val="4"/>
      </w:numPr>
      <w:outlineLvl w:val="8"/>
    </w:pPr>
  </w:style>
  <w:style w:type="paragraph" w:customStyle="1" w:styleId="Textpsmene">
    <w:name w:val="Text písmene"/>
    <w:basedOn w:val="Normln"/>
    <w:pPr>
      <w:numPr>
        <w:ilvl w:val="7"/>
        <w:numId w:val="4"/>
      </w:numPr>
      <w:outlineLvl w:val="7"/>
    </w:pPr>
  </w:style>
  <w:style w:type="character" w:customStyle="1" w:styleId="Odkaznapoznpodarou">
    <w:name w:val="Odkaz na pozn. pod čarou"/>
    <w:basedOn w:val="Standardnpsmoodstavce"/>
    <w:rPr>
      <w:vertAlign w:val="superscript"/>
    </w:rPr>
  </w:style>
  <w:style w:type="character" w:customStyle="1" w:styleId="TextlnkuChar">
    <w:name w:val="Text článku Char"/>
    <w:link w:val="Textlnku"/>
    <w:locked/>
    <w:rsid w:val="000574EA"/>
    <w:rPr>
      <w:sz w:val="24"/>
    </w:rPr>
  </w:style>
  <w:style w:type="paragraph" w:customStyle="1" w:styleId="Textodstavce">
    <w:name w:val="Text odstavce"/>
    <w:basedOn w:val="Normln"/>
    <w:link w:val="TextodstavceChar"/>
    <w:pPr>
      <w:numPr>
        <w:ilvl w:val="6"/>
        <w:numId w:val="4"/>
      </w:numPr>
      <w:tabs>
        <w:tab w:val="left" w:pos="851"/>
      </w:tabs>
      <w:spacing w:before="120" w:after="120"/>
      <w:outlineLvl w:val="6"/>
    </w:pPr>
  </w:style>
  <w:style w:type="paragraph" w:customStyle="1" w:styleId="Textbodunovely">
    <w:name w:val="Text bodu novely"/>
    <w:basedOn w:val="Normln"/>
    <w:next w:val="Normln"/>
    <w:pPr>
      <w:ind w:left="567" w:hanging="567"/>
    </w:p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Textpoznpodarou">
    <w:name w:val="footnote text"/>
    <w:basedOn w:val="Normln"/>
    <w:semiHidden/>
    <w:pPr>
      <w:tabs>
        <w:tab w:val="left" w:pos="425"/>
      </w:tabs>
      <w:ind w:left="425" w:hanging="425"/>
    </w:pPr>
    <w:rPr>
      <w:sz w:val="20"/>
    </w:rPr>
  </w:style>
  <w:style w:type="character" w:styleId="Znakapoznpodarou">
    <w:name w:val="footnote reference"/>
    <w:basedOn w:val="Standardnpsmoodstavce"/>
    <w:semiHidden/>
    <w:rPr>
      <w:vertAlign w:val="superscript"/>
    </w:rPr>
  </w:style>
  <w:style w:type="paragraph" w:styleId="Titulek">
    <w:name w:val="caption"/>
    <w:basedOn w:val="Normln"/>
    <w:next w:val="Normln"/>
    <w:qFormat/>
    <w:pPr>
      <w:spacing w:before="120" w:after="120"/>
    </w:pPr>
    <w:rPr>
      <w:b/>
    </w:rPr>
  </w:style>
  <w:style w:type="paragraph" w:customStyle="1" w:styleId="Nvrh">
    <w:name w:val="Návrh"/>
    <w:basedOn w:val="Normln"/>
    <w:next w:val="ZKON"/>
    <w:pPr>
      <w:keepNext/>
      <w:keepLines/>
      <w:spacing w:after="240"/>
      <w:jc w:val="center"/>
      <w:outlineLvl w:val="0"/>
    </w:pPr>
    <w:rPr>
      <w:spacing w:val="40"/>
    </w:rPr>
  </w:style>
  <w:style w:type="paragraph" w:customStyle="1" w:styleId="Podpis">
    <w:name w:val="Podpis_"/>
    <w:basedOn w:val="Normln"/>
    <w:next w:val="funkce"/>
    <w:pPr>
      <w:keepNext/>
      <w:keepLines/>
      <w:spacing w:before="720"/>
      <w:jc w:val="center"/>
    </w:pPr>
  </w:style>
  <w:style w:type="character" w:customStyle="1" w:styleId="TextodstavceChar">
    <w:name w:val="Text odstavce Char"/>
    <w:link w:val="Textodstavce"/>
    <w:locked/>
    <w:rsid w:val="000574EA"/>
    <w:rPr>
      <w:rFonts w:ascii="Calibri" w:eastAsia="Calibri" w:hAnsi="Calibri"/>
      <w:sz w:val="22"/>
      <w:szCs w:val="22"/>
      <w:lang w:eastAsia="en-US"/>
    </w:rPr>
  </w:style>
  <w:style w:type="paragraph" w:customStyle="1" w:styleId="VARIANTA">
    <w:name w:val="VARIANTA"/>
    <w:basedOn w:val="Normln"/>
    <w:next w:val="Normln"/>
    <w:pPr>
      <w:keepNext/>
      <w:spacing w:before="120" w:after="120"/>
    </w:pPr>
    <w:rPr>
      <w:caps/>
      <w:spacing w:val="60"/>
    </w:rPr>
  </w:style>
  <w:style w:type="paragraph" w:customStyle="1" w:styleId="VARIANTA-konec">
    <w:name w:val="VARIANTA - konec"/>
    <w:basedOn w:val="Normln"/>
    <w:next w:val="Normln"/>
    <w:rPr>
      <w:caps/>
      <w:spacing w:val="60"/>
    </w:rPr>
  </w:style>
  <w:style w:type="paragraph" w:customStyle="1" w:styleId="Nadpisparagrafu">
    <w:name w:val="Nadpis paragrafu"/>
    <w:basedOn w:val="Paragraf"/>
    <w:next w:val="Textodstavce"/>
    <w:rPr>
      <w:b/>
    </w:rPr>
  </w:style>
  <w:style w:type="paragraph" w:customStyle="1" w:styleId="Nadpislnku">
    <w:name w:val="Nadpis článku"/>
    <w:basedOn w:val="lnek"/>
    <w:next w:val="Textodstavce"/>
    <w:rPr>
      <w:b/>
    </w:rPr>
  </w:style>
  <w:style w:type="paragraph" w:styleId="Textbubliny">
    <w:name w:val="Balloon Text"/>
    <w:basedOn w:val="Normln"/>
    <w:link w:val="TextbublinyChar"/>
    <w:uiPriority w:val="99"/>
    <w:semiHidden/>
    <w:unhideWhenUsed/>
    <w:rsid w:val="00FA5AB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A5AB8"/>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73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TotalTime>
  <Pages>3</Pages>
  <Words>859</Words>
  <Characters>4974</Characters>
  <Application>Microsoft Office Word</Application>
  <DocSecurity>0</DocSecurity>
  <Lines>41</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Šablona pro zápis návrhů zákonů</vt:lpstr>
      <vt:lpstr>Šablona pro zápis návrhů zákonů</vt:lpstr>
    </vt:vector>
  </TitlesOfParts>
  <Manager>Petr Pilař</Manager>
  <Company>Kancelář Senátu PČR</Company>
  <LinksUpToDate>false</LinksUpToDate>
  <CharactersWithSpaces>5822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pro zápis návrhů zákonů</dc:title>
  <dc:subject>LN_Zákon verze 2.1</dc:subject>
  <dc:creator>Fialova Marcela</dc:creator>
  <cp:keywords>šablona LN_Zákon legislativní pomůcka zákon</cp:keywords>
  <dc:description>Šablona verze 2.1, vytvořená v prosinci 2002</dc:description>
  <cp:lastModifiedBy>Kvetonova Hana</cp:lastModifiedBy>
  <cp:revision>2</cp:revision>
  <cp:lastPrinted>2016-03-29T07:52:00Z</cp:lastPrinted>
  <dcterms:created xsi:type="dcterms:W3CDTF">2016-04-01T07:25:00Z</dcterms:created>
  <dcterms:modified xsi:type="dcterms:W3CDTF">2016-04-01T07:25:00Z</dcterms:modified>
  <cp:category>šablona</cp:category>
</cp:coreProperties>
</file>