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ED8" w:rsidRDefault="00EC3ED8" w:rsidP="00EC3ED8">
      <w:pPr>
        <w:pStyle w:val="Nadpis"/>
        <w:spacing w:before="0" w:after="0"/>
        <w:jc w:val="center"/>
        <w:rPr>
          <w:b/>
          <w:bCs/>
          <w:sz w:val="24"/>
        </w:rPr>
      </w:pPr>
      <w:r>
        <w:rPr>
          <w:b/>
          <w:bCs/>
          <w:sz w:val="24"/>
        </w:rPr>
        <w:t xml:space="preserve">Pozměňovací a jiné návrhy </w:t>
      </w:r>
    </w:p>
    <w:p w:rsidR="00EC3ED8" w:rsidRPr="00E36B68" w:rsidRDefault="00EC3ED8" w:rsidP="00EC3ED8">
      <w:pPr>
        <w:widowControl/>
        <w:suppressAutoHyphens w:val="0"/>
        <w:autoSpaceDE w:val="0"/>
        <w:autoSpaceDN w:val="0"/>
        <w:adjustRightInd w:val="0"/>
        <w:spacing w:before="120"/>
        <w:jc w:val="center"/>
        <w:rPr>
          <w:rFonts w:eastAsia="Times New Roman" w:cs="Times New Roman"/>
          <w:b/>
          <w:lang w:eastAsia="cs-CZ" w:bidi="ar-SA"/>
        </w:rPr>
      </w:pPr>
      <w:r w:rsidRPr="00E36B68">
        <w:rPr>
          <w:rFonts w:eastAsia="Times New Roman" w:cs="Times New Roman"/>
          <w:b/>
          <w:lang w:eastAsia="cs-CZ" w:bidi="ar-SA"/>
        </w:rPr>
        <w:t>k vládnímu návrhu zákona, kterým se mění zákon č. 503/2012 Sb., o Státním pozemkovém</w:t>
      </w:r>
    </w:p>
    <w:p w:rsidR="00EC3ED8" w:rsidRPr="00E36B68" w:rsidRDefault="00EC3ED8" w:rsidP="00EC3ED8">
      <w:pPr>
        <w:widowControl/>
        <w:suppressAutoHyphens w:val="0"/>
        <w:autoSpaceDE w:val="0"/>
        <w:autoSpaceDN w:val="0"/>
        <w:adjustRightInd w:val="0"/>
        <w:jc w:val="center"/>
        <w:rPr>
          <w:rFonts w:eastAsia="Times New Roman" w:cs="Times New Roman"/>
          <w:b/>
          <w:lang w:eastAsia="cs-CZ" w:bidi="ar-SA"/>
        </w:rPr>
      </w:pPr>
      <w:r w:rsidRPr="00E36B68">
        <w:rPr>
          <w:rFonts w:eastAsia="Times New Roman" w:cs="Times New Roman"/>
          <w:b/>
          <w:lang w:eastAsia="cs-CZ" w:bidi="ar-SA"/>
        </w:rPr>
        <w:t>úřadu a o změně některých souvisejících zákonů, ve znění pozdějších předpisů, a další</w:t>
      </w:r>
    </w:p>
    <w:p w:rsidR="00EC3ED8" w:rsidRDefault="00EC3ED8" w:rsidP="00EC3ED8">
      <w:pPr>
        <w:widowControl/>
        <w:suppressAutoHyphens w:val="0"/>
        <w:autoSpaceDE w:val="0"/>
        <w:autoSpaceDN w:val="0"/>
        <w:adjustRightInd w:val="0"/>
        <w:jc w:val="center"/>
        <w:rPr>
          <w:rFonts w:eastAsia="Times New Roman" w:cs="Times New Roman"/>
          <w:b/>
          <w:lang w:eastAsia="cs-CZ" w:bidi="ar-SA"/>
        </w:rPr>
      </w:pPr>
      <w:r w:rsidRPr="00E36B68">
        <w:rPr>
          <w:rFonts w:eastAsia="Times New Roman" w:cs="Times New Roman"/>
          <w:b/>
          <w:lang w:eastAsia="cs-CZ" w:bidi="ar-SA"/>
        </w:rPr>
        <w:t xml:space="preserve">související zákony </w:t>
      </w:r>
    </w:p>
    <w:p w:rsidR="00EC3ED8" w:rsidRPr="00E36B68" w:rsidRDefault="00EC3ED8" w:rsidP="00EC3ED8">
      <w:pPr>
        <w:widowControl/>
        <w:suppressAutoHyphens w:val="0"/>
        <w:autoSpaceDE w:val="0"/>
        <w:autoSpaceDN w:val="0"/>
        <w:adjustRightInd w:val="0"/>
        <w:jc w:val="center"/>
        <w:rPr>
          <w:rFonts w:eastAsia="Times New Roman" w:cs="Times New Roman"/>
          <w:b/>
          <w:lang w:eastAsia="cs-CZ" w:bidi="ar-SA"/>
        </w:rPr>
      </w:pPr>
      <w:r>
        <w:rPr>
          <w:rFonts w:eastAsia="Times New Roman" w:cs="Times New Roman"/>
          <w:b/>
          <w:lang w:eastAsia="cs-CZ" w:bidi="ar-SA"/>
        </w:rPr>
        <w:t>(tis</w:t>
      </w:r>
      <w:r w:rsidRPr="00E36B68">
        <w:rPr>
          <w:rFonts w:eastAsia="Times New Roman" w:cs="Times New Roman"/>
          <w:b/>
          <w:lang w:eastAsia="cs-CZ" w:bidi="ar-SA"/>
        </w:rPr>
        <w:t>k 575)</w:t>
      </w:r>
    </w:p>
    <w:p w:rsidR="00EC3ED8" w:rsidRDefault="00EC3ED8" w:rsidP="00EC3ED8">
      <w:pPr>
        <w:pStyle w:val="Zkladntext"/>
      </w:pPr>
    </w:p>
    <w:p w:rsidR="008420C0" w:rsidRPr="00E04CF9" w:rsidRDefault="008420C0" w:rsidP="00EC3ED8">
      <w:pPr>
        <w:pStyle w:val="Zkladntext"/>
      </w:pPr>
    </w:p>
    <w:p w:rsidR="00EC3ED8" w:rsidRPr="008647FF" w:rsidRDefault="0089338E" w:rsidP="00EC3ED8">
      <w:pPr>
        <w:pStyle w:val="Paragraf"/>
        <w:keepNext w:val="0"/>
        <w:keepLines w:val="0"/>
        <w:spacing w:before="0"/>
        <w:jc w:val="both"/>
        <w:rPr>
          <w:b/>
        </w:rPr>
      </w:pPr>
      <w:r>
        <w:rPr>
          <w:b/>
        </w:rPr>
        <w:t xml:space="preserve">Ve druhém čtení </w:t>
      </w:r>
      <w:r w:rsidR="00EC3ED8" w:rsidRPr="008647FF">
        <w:rPr>
          <w:b/>
        </w:rPr>
        <w:t xml:space="preserve">byl </w:t>
      </w:r>
      <w:r>
        <w:rPr>
          <w:b/>
        </w:rPr>
        <w:t xml:space="preserve">poslancem Petrem Bendlem </w:t>
      </w:r>
      <w:r w:rsidR="00EC3ED8" w:rsidRPr="008647FF">
        <w:rPr>
          <w:b/>
        </w:rPr>
        <w:t>podán návrh na zamítnutí návrhu zákona.</w:t>
      </w:r>
    </w:p>
    <w:p w:rsidR="00EC3ED8" w:rsidRPr="00E36B68" w:rsidRDefault="00EC3ED8" w:rsidP="00EC3ED8">
      <w:pPr>
        <w:rPr>
          <w:i/>
        </w:rPr>
      </w:pPr>
    </w:p>
    <w:p w:rsidR="00EC3ED8" w:rsidRDefault="00EC3ED8" w:rsidP="00EC3ED8">
      <w:pPr>
        <w:rPr>
          <w:i/>
        </w:rPr>
      </w:pPr>
    </w:p>
    <w:p w:rsidR="008420C0" w:rsidRPr="00E36B68" w:rsidRDefault="008420C0" w:rsidP="00EC3ED8">
      <w:pPr>
        <w:rPr>
          <w:i/>
        </w:rPr>
      </w:pPr>
    </w:p>
    <w:p w:rsidR="00EC3ED8" w:rsidRDefault="00EC3ED8" w:rsidP="00C47D8A">
      <w:pPr>
        <w:pStyle w:val="Oznaenpozmn"/>
        <w:tabs>
          <w:tab w:val="clear" w:pos="425"/>
        </w:tabs>
        <w:ind w:left="567" w:hanging="567"/>
        <w:jc w:val="both"/>
      </w:pPr>
      <w:r w:rsidRPr="006A05AE">
        <w:t xml:space="preserve">Pozměňovací návrhy obsažené v usnesení </w:t>
      </w:r>
      <w:r w:rsidRPr="00E30117">
        <w:t>garančního</w:t>
      </w:r>
      <w:r w:rsidRPr="008647FF">
        <w:t xml:space="preserve"> </w:t>
      </w:r>
      <w:r>
        <w:t xml:space="preserve">zemědělského </w:t>
      </w:r>
      <w:r w:rsidRPr="006A05AE">
        <w:t xml:space="preserve">výboru č. </w:t>
      </w:r>
      <w:r>
        <w:t>99</w:t>
      </w:r>
      <w:r w:rsidRPr="006A05AE">
        <w:t xml:space="preserve"> ze</w:t>
      </w:r>
      <w:r>
        <w:t> </w:t>
      </w:r>
      <w:r w:rsidR="00C47D8A">
        <w:t>dne 2. </w:t>
      </w:r>
      <w:r>
        <w:t xml:space="preserve">prosince </w:t>
      </w:r>
      <w:r w:rsidRPr="006A05AE">
        <w:t>2015 (tisk 5</w:t>
      </w:r>
      <w:r>
        <w:t>7</w:t>
      </w:r>
      <w:r w:rsidRPr="006A05AE">
        <w:t>5/</w:t>
      </w:r>
      <w:r>
        <w:t>2)</w:t>
      </w:r>
    </w:p>
    <w:p w:rsidR="00EC3ED8" w:rsidRPr="00556F0D" w:rsidRDefault="00556F0D" w:rsidP="00556F0D">
      <w:pPr>
        <w:keepNext/>
        <w:spacing w:before="240"/>
        <w:jc w:val="both"/>
        <w:rPr>
          <w:rFonts w:cs="Arial"/>
          <w:bCs/>
          <w:szCs w:val="22"/>
        </w:rPr>
      </w:pPr>
      <w:proofErr w:type="gramStart"/>
      <w:r w:rsidRPr="00556F0D">
        <w:rPr>
          <w:rFonts w:cs="Arial"/>
          <w:b/>
          <w:bCs/>
          <w:szCs w:val="22"/>
        </w:rPr>
        <w:t>A</w:t>
      </w:r>
      <w:r w:rsidR="00CD33F1">
        <w:rPr>
          <w:rFonts w:cs="Arial"/>
          <w:b/>
          <w:bCs/>
          <w:szCs w:val="22"/>
        </w:rPr>
        <w:t>.A</w:t>
      </w:r>
      <w:r>
        <w:rPr>
          <w:rFonts w:cs="Arial"/>
          <w:bCs/>
          <w:szCs w:val="22"/>
        </w:rPr>
        <w:t>.</w:t>
      </w:r>
      <w:proofErr w:type="gramEnd"/>
      <w:r>
        <w:rPr>
          <w:rFonts w:cs="Arial"/>
          <w:bCs/>
          <w:szCs w:val="22"/>
        </w:rPr>
        <w:tab/>
      </w:r>
      <w:r w:rsidR="00EC3ED8" w:rsidRPr="00556F0D">
        <w:rPr>
          <w:rFonts w:cs="Arial"/>
          <w:bCs/>
          <w:szCs w:val="22"/>
        </w:rPr>
        <w:t>K části první čl. I – změna zákona o Státním pozemkovém úřadu</w:t>
      </w:r>
    </w:p>
    <w:p w:rsidR="00EC3ED8" w:rsidRDefault="00EC3ED8" w:rsidP="00EC3ED8">
      <w:pPr>
        <w:keepNext/>
        <w:contextualSpacing/>
        <w:jc w:val="both"/>
        <w:rPr>
          <w:rFonts w:cs="Arial"/>
          <w:bCs/>
          <w:szCs w:val="22"/>
        </w:rPr>
      </w:pPr>
    </w:p>
    <w:p w:rsidR="00EC3ED8" w:rsidRDefault="00EC3ED8" w:rsidP="00EC3ED8">
      <w:pPr>
        <w:pStyle w:val="Odstavecseseznamem"/>
        <w:keepNext/>
        <w:numPr>
          <w:ilvl w:val="0"/>
          <w:numId w:val="5"/>
        </w:numPr>
        <w:ind w:left="0" w:firstLine="0"/>
        <w:jc w:val="both"/>
        <w:rPr>
          <w:rFonts w:cs="Arial"/>
          <w:bCs/>
          <w:szCs w:val="22"/>
        </w:rPr>
      </w:pPr>
      <w:r>
        <w:rPr>
          <w:rFonts w:cs="Arial"/>
          <w:bCs/>
          <w:szCs w:val="22"/>
        </w:rPr>
        <w:t>Za dosavadní bod 1 se vkládá nový bod 2, který zní:</w:t>
      </w:r>
    </w:p>
    <w:p w:rsidR="00EC3ED8" w:rsidRDefault="00EC3ED8" w:rsidP="00EC3ED8">
      <w:pPr>
        <w:pStyle w:val="Odstavecseseznamem"/>
        <w:keepNext/>
        <w:ind w:left="0"/>
        <w:jc w:val="both"/>
        <w:rPr>
          <w:rFonts w:cs="Arial"/>
          <w:bCs/>
          <w:szCs w:val="22"/>
        </w:rPr>
      </w:pPr>
      <w:r>
        <w:rPr>
          <w:rFonts w:cs="Arial"/>
          <w:bCs/>
          <w:szCs w:val="22"/>
        </w:rPr>
        <w:t>„2. V § 1 se doplňuje odstavec 6, který zní:</w:t>
      </w:r>
    </w:p>
    <w:p w:rsidR="00EC3ED8" w:rsidRDefault="00EC3ED8" w:rsidP="00556F0D">
      <w:pPr>
        <w:autoSpaceDE w:val="0"/>
        <w:autoSpaceDN w:val="0"/>
        <w:adjustRightInd w:val="0"/>
        <w:ind w:firstLine="567"/>
        <w:jc w:val="both"/>
        <w:rPr>
          <w:rFonts w:cs="Arial"/>
        </w:rPr>
      </w:pPr>
      <w:r>
        <w:rPr>
          <w:rFonts w:cs="Arial"/>
          <w:bCs/>
        </w:rPr>
        <w:t>„(6) Státní pozemkový úřad zajišťuje činnosti související s aktualizací a vedením celostátní databáze bonitovaných půdně ekologických jednotek; správu této databáze zajišťuje ministerstvo</w:t>
      </w:r>
      <w:r>
        <w:rPr>
          <w:rFonts w:cs="Arial"/>
        </w:rPr>
        <w:t xml:space="preserve">.“.“. </w:t>
      </w:r>
    </w:p>
    <w:p w:rsidR="00EC3ED8" w:rsidRDefault="00EC3ED8" w:rsidP="00EC3ED8">
      <w:pPr>
        <w:autoSpaceDE w:val="0"/>
        <w:autoSpaceDN w:val="0"/>
        <w:adjustRightInd w:val="0"/>
        <w:jc w:val="both"/>
        <w:rPr>
          <w:rFonts w:cs="Arial"/>
          <w:bCs/>
        </w:rPr>
      </w:pPr>
      <w:r>
        <w:rPr>
          <w:rFonts w:cs="Arial"/>
          <w:bCs/>
        </w:rPr>
        <w:t>Následující body se přečíslují.</w:t>
      </w:r>
    </w:p>
    <w:p w:rsidR="00EC3ED8" w:rsidRDefault="00EC3ED8" w:rsidP="00EC3ED8">
      <w:pPr>
        <w:autoSpaceDE w:val="0"/>
        <w:autoSpaceDN w:val="0"/>
        <w:adjustRightInd w:val="0"/>
        <w:jc w:val="both"/>
        <w:rPr>
          <w:rFonts w:cs="Arial"/>
          <w:bCs/>
        </w:rPr>
      </w:pPr>
    </w:p>
    <w:p w:rsidR="00EC3ED8" w:rsidRDefault="00EC3ED8" w:rsidP="00EC3ED8">
      <w:pPr>
        <w:pStyle w:val="Odstavecseseznamem"/>
        <w:keepNext/>
        <w:numPr>
          <w:ilvl w:val="0"/>
          <w:numId w:val="5"/>
        </w:numPr>
        <w:ind w:left="0" w:firstLine="0"/>
        <w:jc w:val="both"/>
        <w:rPr>
          <w:rFonts w:cs="Arial"/>
          <w:bCs/>
          <w:szCs w:val="22"/>
        </w:rPr>
      </w:pPr>
      <w:r>
        <w:rPr>
          <w:rFonts w:cs="Arial"/>
          <w:bCs/>
          <w:szCs w:val="22"/>
        </w:rPr>
        <w:t xml:space="preserve">V dosavadním bodu 6 se v § 3a odst. 3 písm. a) za slovo „příjmení“ doplňují </w:t>
      </w:r>
      <w:proofErr w:type="gramStart"/>
      <w:r>
        <w:rPr>
          <w:rFonts w:cs="Arial"/>
          <w:bCs/>
          <w:szCs w:val="22"/>
        </w:rPr>
        <w:t>slova „ , rodné</w:t>
      </w:r>
      <w:proofErr w:type="gramEnd"/>
      <w:r>
        <w:rPr>
          <w:rFonts w:cs="Arial"/>
          <w:bCs/>
          <w:szCs w:val="22"/>
        </w:rPr>
        <w:t xml:space="preserve"> příjmení“.</w:t>
      </w:r>
    </w:p>
    <w:p w:rsidR="00EC3ED8" w:rsidRDefault="00EC3ED8" w:rsidP="00EC3ED8">
      <w:pPr>
        <w:pStyle w:val="Odstavecseseznamem"/>
        <w:keepNext/>
        <w:ind w:left="0"/>
        <w:jc w:val="both"/>
        <w:rPr>
          <w:rFonts w:cs="Arial"/>
          <w:b/>
          <w:bCs/>
          <w:szCs w:val="22"/>
        </w:rPr>
      </w:pPr>
    </w:p>
    <w:p w:rsidR="00EC3ED8" w:rsidRPr="0080530D" w:rsidRDefault="00EC3ED8" w:rsidP="00EC3ED8">
      <w:pPr>
        <w:pStyle w:val="Odstavecseseznamem"/>
        <w:keepNext/>
        <w:numPr>
          <w:ilvl w:val="0"/>
          <w:numId w:val="5"/>
        </w:numPr>
        <w:ind w:left="0" w:firstLine="0"/>
        <w:jc w:val="both"/>
        <w:rPr>
          <w:rFonts w:cs="Arial"/>
          <w:bCs/>
          <w:szCs w:val="22"/>
        </w:rPr>
      </w:pPr>
      <w:r w:rsidRPr="0080530D">
        <w:rPr>
          <w:rFonts w:cs="Arial"/>
          <w:bCs/>
          <w:szCs w:val="22"/>
        </w:rPr>
        <w:t>Za dosavadní bod 19 se vkládá nový bod, který zní:</w:t>
      </w:r>
    </w:p>
    <w:p w:rsidR="00EC3ED8" w:rsidRDefault="00EC3ED8" w:rsidP="00EC3ED8">
      <w:pPr>
        <w:keepNext/>
        <w:contextualSpacing/>
        <w:jc w:val="both"/>
        <w:rPr>
          <w:rFonts w:cs="Arial"/>
          <w:bCs/>
          <w:szCs w:val="22"/>
        </w:rPr>
      </w:pPr>
      <w:r>
        <w:rPr>
          <w:rFonts w:cs="Arial"/>
          <w:bCs/>
        </w:rPr>
        <w:t xml:space="preserve">„X. V </w:t>
      </w:r>
      <w:r>
        <w:rPr>
          <w:rFonts w:cs="Arial"/>
        </w:rPr>
        <w:t xml:space="preserve">§ 8 se doplňuje odstavec 4, který včetně poznámek pod čarou č. 36 a 37 zní: </w:t>
      </w:r>
    </w:p>
    <w:p w:rsidR="00EC3ED8" w:rsidRDefault="00EC3ED8" w:rsidP="00556F0D">
      <w:pPr>
        <w:keepNext/>
        <w:ind w:firstLine="567"/>
        <w:jc w:val="both"/>
        <w:rPr>
          <w:rFonts w:cs="Arial"/>
        </w:rPr>
      </w:pPr>
      <w:r>
        <w:rPr>
          <w:rFonts w:cs="Arial"/>
        </w:rPr>
        <w:t>„(4) V případě zrušení školy nebo školského zařízení zřízeného krajem je kraj povinen přednostně nabídnout Státnímu pozemkovému úřadu nemovité věci, které byly obci nebo kraji bezúplatně převedeny Pozemkovým fondem České republiky podle jiného právního předpisu</w:t>
      </w:r>
      <w:r>
        <w:rPr>
          <w:rFonts w:cs="Arial"/>
          <w:vertAlign w:val="superscript"/>
        </w:rPr>
        <w:t>36)</w:t>
      </w:r>
      <w:r>
        <w:rPr>
          <w:rFonts w:cs="Arial"/>
        </w:rPr>
        <w:t xml:space="preserve"> za účelem jejich potřebnosti pro činnost školy nebo školského zařízení zřízených tímto krajem a zapsaných do rejstříku škol a školských zařízení podle jiného právního předpisu</w:t>
      </w:r>
      <w:r>
        <w:rPr>
          <w:rFonts w:cs="Arial"/>
          <w:vertAlign w:val="superscript"/>
        </w:rPr>
        <w:t>37)</w:t>
      </w:r>
      <w:r>
        <w:rPr>
          <w:rFonts w:cs="Arial"/>
        </w:rPr>
        <w:t>.</w:t>
      </w:r>
    </w:p>
    <w:p w:rsidR="00EC3ED8" w:rsidRDefault="00EC3ED8" w:rsidP="00EC3ED8">
      <w:pPr>
        <w:rPr>
          <w:rFonts w:cs="Arial"/>
        </w:rPr>
      </w:pPr>
      <w:r>
        <w:rPr>
          <w:rFonts w:cs="Arial"/>
        </w:rPr>
        <w:t>_____________________</w:t>
      </w:r>
    </w:p>
    <w:p w:rsidR="00EC3ED8" w:rsidRDefault="00EC3ED8" w:rsidP="00556F0D">
      <w:pPr>
        <w:spacing w:before="120"/>
        <w:ind w:left="567" w:hanging="567"/>
        <w:jc w:val="both"/>
        <w:rPr>
          <w:rFonts w:eastAsia="Calibri" w:cs="Arial"/>
          <w:szCs w:val="22"/>
          <w:lang w:eastAsia="en-US" w:bidi="ar-SA"/>
        </w:rPr>
      </w:pPr>
      <w:r>
        <w:rPr>
          <w:rFonts w:cs="Arial"/>
          <w:vertAlign w:val="superscript"/>
        </w:rPr>
        <w:t>36)</w:t>
      </w:r>
      <w:r w:rsidR="00556F0D">
        <w:rPr>
          <w:rFonts w:cs="Arial"/>
        </w:rPr>
        <w:tab/>
      </w:r>
      <w:r>
        <w:rPr>
          <w:rFonts w:cs="Arial"/>
        </w:rPr>
        <w:t xml:space="preserve">§ 2 odst. 6 zákona č. 569/1991 Sb., o Pozemkovém fondu České republiky, ve znění pozdějších předpisů. </w:t>
      </w:r>
    </w:p>
    <w:p w:rsidR="00EC3ED8" w:rsidRDefault="00EC3ED8" w:rsidP="00556F0D">
      <w:pPr>
        <w:ind w:left="567" w:hanging="567"/>
        <w:jc w:val="both"/>
        <w:rPr>
          <w:rFonts w:cs="Arial"/>
        </w:rPr>
      </w:pPr>
      <w:r>
        <w:rPr>
          <w:rFonts w:cs="Arial"/>
          <w:vertAlign w:val="superscript"/>
        </w:rPr>
        <w:t>37)</w:t>
      </w:r>
      <w:r w:rsidR="00556F0D">
        <w:rPr>
          <w:rFonts w:cs="Arial"/>
        </w:rPr>
        <w:tab/>
      </w:r>
      <w:r>
        <w:rPr>
          <w:rFonts w:cs="Arial"/>
        </w:rPr>
        <w:t>Zákon č. 561/2004 Sb., o předškolním, základním, středním, vyšším odborném a jiném vzdělávání (školský zákon), ve znění pozdějších předpisů.“.</w:t>
      </w:r>
    </w:p>
    <w:p w:rsidR="00EC3ED8" w:rsidRDefault="00EC3ED8" w:rsidP="00556F0D">
      <w:pPr>
        <w:spacing w:before="120"/>
        <w:rPr>
          <w:rFonts w:cs="Arial"/>
        </w:rPr>
      </w:pPr>
      <w:r>
        <w:rPr>
          <w:rFonts w:cs="Arial"/>
        </w:rPr>
        <w:t>Následující body se přečíslují.</w:t>
      </w:r>
    </w:p>
    <w:p w:rsidR="00EC3ED8" w:rsidRDefault="00EC3ED8" w:rsidP="00EC3ED8">
      <w:pPr>
        <w:keepNext/>
        <w:contextualSpacing/>
        <w:jc w:val="both"/>
        <w:rPr>
          <w:rFonts w:cs="Arial"/>
          <w:b/>
          <w:bCs/>
        </w:rPr>
      </w:pPr>
    </w:p>
    <w:p w:rsidR="00EC3ED8" w:rsidRDefault="00EC3ED8" w:rsidP="00EC3ED8">
      <w:pPr>
        <w:keepNext/>
        <w:contextualSpacing/>
        <w:jc w:val="both"/>
        <w:rPr>
          <w:rFonts w:cs="Arial"/>
          <w:b/>
          <w:bCs/>
        </w:rPr>
      </w:pPr>
    </w:p>
    <w:p w:rsidR="00EC3ED8" w:rsidRPr="00556F0D" w:rsidRDefault="00CD33F1" w:rsidP="00556F0D">
      <w:pPr>
        <w:keepNext/>
        <w:jc w:val="both"/>
        <w:rPr>
          <w:rFonts w:cs="Arial"/>
          <w:bCs/>
          <w:szCs w:val="22"/>
        </w:rPr>
      </w:pPr>
      <w:proofErr w:type="gramStart"/>
      <w:r>
        <w:rPr>
          <w:rFonts w:cs="Arial"/>
          <w:b/>
          <w:bCs/>
          <w:szCs w:val="22"/>
        </w:rPr>
        <w:t>A.</w:t>
      </w:r>
      <w:r w:rsidR="00556F0D" w:rsidRPr="00556F0D">
        <w:rPr>
          <w:rFonts w:cs="Arial"/>
          <w:b/>
          <w:bCs/>
          <w:szCs w:val="22"/>
        </w:rPr>
        <w:t>B.</w:t>
      </w:r>
      <w:r w:rsidR="00556F0D">
        <w:rPr>
          <w:rFonts w:cs="Arial"/>
          <w:bCs/>
          <w:szCs w:val="22"/>
        </w:rPr>
        <w:tab/>
      </w:r>
      <w:r w:rsidR="00EC3ED8" w:rsidRPr="00556F0D">
        <w:rPr>
          <w:rFonts w:cs="Arial"/>
          <w:bCs/>
          <w:szCs w:val="22"/>
        </w:rPr>
        <w:t>K části</w:t>
      </w:r>
      <w:proofErr w:type="gramEnd"/>
      <w:r w:rsidR="00EC3ED8" w:rsidRPr="00556F0D">
        <w:rPr>
          <w:rFonts w:cs="Arial"/>
          <w:bCs/>
          <w:szCs w:val="22"/>
        </w:rPr>
        <w:t xml:space="preserve"> třetí čl. IV – změna zákona o pozemkových úpravách</w:t>
      </w:r>
    </w:p>
    <w:p w:rsidR="00EC3ED8" w:rsidRDefault="00EC3ED8" w:rsidP="00EC3ED8">
      <w:pPr>
        <w:rPr>
          <w:rFonts w:cs="Arial"/>
          <w:szCs w:val="22"/>
        </w:rPr>
      </w:pPr>
    </w:p>
    <w:p w:rsidR="00EC3ED8" w:rsidRDefault="00EC3ED8" w:rsidP="00EC3ED8">
      <w:pPr>
        <w:widowControl/>
        <w:numPr>
          <w:ilvl w:val="0"/>
          <w:numId w:val="6"/>
        </w:numPr>
        <w:suppressAutoHyphens w:val="0"/>
        <w:ind w:left="0" w:firstLine="0"/>
        <w:rPr>
          <w:rFonts w:cs="Arial"/>
          <w:highlight w:val="white"/>
        </w:rPr>
      </w:pPr>
      <w:r>
        <w:rPr>
          <w:rFonts w:cs="Arial"/>
          <w:highlight w:val="white"/>
        </w:rPr>
        <w:t>Dosavadní bod 1 zní:</w:t>
      </w:r>
    </w:p>
    <w:p w:rsidR="00EC3ED8" w:rsidRDefault="00EC3ED8" w:rsidP="00EC3ED8">
      <w:pPr>
        <w:autoSpaceDE w:val="0"/>
        <w:autoSpaceDN w:val="0"/>
        <w:jc w:val="both"/>
        <w:rPr>
          <w:rFonts w:cs="Arial"/>
          <w:highlight w:val="white"/>
        </w:rPr>
      </w:pPr>
      <w:r>
        <w:rPr>
          <w:rFonts w:cs="Arial"/>
          <w:highlight w:val="white"/>
        </w:rPr>
        <w:t xml:space="preserve">„1. V § 2 se za slovo „fondu,“ vkládají slova „lesní hospodářství a“ a za slova „povodní a“ se vkládá slovo „sucha,“. </w:t>
      </w:r>
    </w:p>
    <w:p w:rsidR="00EC3ED8" w:rsidRDefault="00EC3ED8" w:rsidP="00EC3ED8">
      <w:pPr>
        <w:autoSpaceDE w:val="0"/>
        <w:autoSpaceDN w:val="0"/>
        <w:jc w:val="both"/>
        <w:rPr>
          <w:rFonts w:cs="Arial"/>
          <w:highlight w:val="white"/>
        </w:rPr>
      </w:pPr>
    </w:p>
    <w:p w:rsidR="00EC3ED8" w:rsidRDefault="00EC3ED8" w:rsidP="00EC3ED8">
      <w:pPr>
        <w:pStyle w:val="Odstavecseseznamem"/>
        <w:widowControl w:val="0"/>
        <w:numPr>
          <w:ilvl w:val="0"/>
          <w:numId w:val="6"/>
        </w:numPr>
        <w:tabs>
          <w:tab w:val="left" w:pos="709"/>
        </w:tabs>
        <w:autoSpaceDE w:val="0"/>
        <w:autoSpaceDN w:val="0"/>
        <w:adjustRightInd w:val="0"/>
        <w:ind w:left="0" w:firstLine="0"/>
        <w:jc w:val="both"/>
        <w:rPr>
          <w:rFonts w:cs="Arial"/>
          <w:szCs w:val="22"/>
          <w:highlight w:val="white"/>
        </w:rPr>
      </w:pPr>
      <w:r>
        <w:rPr>
          <w:rFonts w:cs="Arial"/>
          <w:szCs w:val="22"/>
          <w:highlight w:val="white"/>
        </w:rPr>
        <w:t>Za dosavadní bod 4 se vkládají nové body 5 a 6, které znějí:</w:t>
      </w:r>
    </w:p>
    <w:p w:rsidR="00EC3ED8" w:rsidRDefault="00EC3ED8" w:rsidP="00EC3ED8">
      <w:pPr>
        <w:autoSpaceDE w:val="0"/>
        <w:autoSpaceDN w:val="0"/>
        <w:adjustRightInd w:val="0"/>
        <w:jc w:val="both"/>
        <w:rPr>
          <w:rFonts w:cs="Arial"/>
          <w:highlight w:val="white"/>
        </w:rPr>
      </w:pPr>
      <w:r>
        <w:rPr>
          <w:rFonts w:cs="Arial"/>
          <w:highlight w:val="white"/>
        </w:rPr>
        <w:t>„5. V § 9 odst. 12 se slova „mohou být převedeny do vlastnictví obce. Takové pozemky“ zrušují a na konci odstavce se doplňuje věta „Pokud jsou společná zařízení navržena na pozemku, který je ve vlastnictví státu</w:t>
      </w:r>
      <w:r>
        <w:rPr>
          <w:rFonts w:cs="Arial"/>
          <w:highlight w:val="white"/>
          <w:vertAlign w:val="superscript"/>
        </w:rPr>
        <w:t>1)</w:t>
      </w:r>
      <w:r>
        <w:rPr>
          <w:rFonts w:cs="Arial"/>
          <w:highlight w:val="white"/>
        </w:rPr>
        <w:t xml:space="preserve">, může být tento pozemek po dokončení realizace navržených společných zařízení </w:t>
      </w:r>
      <w:r>
        <w:rPr>
          <w:rFonts w:cs="Arial"/>
          <w:highlight w:val="white"/>
        </w:rPr>
        <w:lastRenderedPageBreak/>
        <w:t>bezúplatně převeden do vlastnictví obce.“.</w:t>
      </w:r>
    </w:p>
    <w:p w:rsidR="00EC3ED8" w:rsidRDefault="00EC3ED8" w:rsidP="00EC3ED8">
      <w:pPr>
        <w:autoSpaceDE w:val="0"/>
        <w:autoSpaceDN w:val="0"/>
        <w:adjustRightInd w:val="0"/>
        <w:jc w:val="both"/>
        <w:rPr>
          <w:rFonts w:cs="Arial"/>
          <w:highlight w:val="white"/>
        </w:rPr>
      </w:pPr>
    </w:p>
    <w:p w:rsidR="00EC3ED8" w:rsidRDefault="00EC3ED8" w:rsidP="00EC3ED8">
      <w:pPr>
        <w:jc w:val="both"/>
        <w:rPr>
          <w:rFonts w:eastAsia="Calibri" w:cs="Arial"/>
          <w:szCs w:val="22"/>
          <w:highlight w:val="white"/>
          <w:lang w:eastAsia="en-US" w:bidi="ar-SA"/>
        </w:rPr>
      </w:pPr>
      <w:r>
        <w:rPr>
          <w:rFonts w:cs="Arial"/>
          <w:highlight w:val="white"/>
        </w:rPr>
        <w:t xml:space="preserve">6. V § 9 odst. 13 se věty první a druhá zrušují, za slova „podle odstavce 12“ se vkládají slova „věty druhé“ a na konci odstavce se doplňují věty „Převod těchto pozemků je možný pouze na základě vydání kladného stanoviska pozemkovým úřadem. V případě bezúplatného převodu do vlastnictví obce se stanovisko nevydává.“.“.    </w:t>
      </w:r>
    </w:p>
    <w:p w:rsidR="00EC3ED8" w:rsidRDefault="00EC3ED8" w:rsidP="00EC3ED8">
      <w:pPr>
        <w:rPr>
          <w:rFonts w:cs="Arial"/>
        </w:rPr>
      </w:pPr>
      <w:r>
        <w:rPr>
          <w:rFonts w:cs="Arial"/>
        </w:rPr>
        <w:t>Následující body se přečíslují.</w:t>
      </w:r>
    </w:p>
    <w:p w:rsidR="00EC3ED8" w:rsidRDefault="00EC3ED8" w:rsidP="00EC3ED8">
      <w:pPr>
        <w:autoSpaceDE w:val="0"/>
        <w:autoSpaceDN w:val="0"/>
        <w:adjustRightInd w:val="0"/>
        <w:jc w:val="both"/>
        <w:rPr>
          <w:rFonts w:cs="Arial"/>
          <w:highlight w:val="white"/>
        </w:rPr>
      </w:pPr>
    </w:p>
    <w:p w:rsidR="00EC3ED8" w:rsidRDefault="00EC3ED8" w:rsidP="00EC3ED8">
      <w:pPr>
        <w:pStyle w:val="Odstavecseseznamem"/>
        <w:widowControl w:val="0"/>
        <w:numPr>
          <w:ilvl w:val="0"/>
          <w:numId w:val="6"/>
        </w:numPr>
        <w:tabs>
          <w:tab w:val="left" w:pos="709"/>
        </w:tabs>
        <w:autoSpaceDE w:val="0"/>
        <w:autoSpaceDN w:val="0"/>
        <w:adjustRightInd w:val="0"/>
        <w:ind w:left="0" w:firstLine="0"/>
        <w:jc w:val="both"/>
        <w:rPr>
          <w:rFonts w:cs="Arial"/>
          <w:szCs w:val="22"/>
          <w:highlight w:val="white"/>
        </w:rPr>
      </w:pPr>
      <w:r>
        <w:rPr>
          <w:rFonts w:cs="Arial"/>
          <w:szCs w:val="22"/>
          <w:highlight w:val="white"/>
        </w:rPr>
        <w:t>Za dosavadní bod 5 se vkládá nový bod, který zní:</w:t>
      </w:r>
    </w:p>
    <w:p w:rsidR="00EC3ED8" w:rsidRDefault="00EC3ED8" w:rsidP="00EC3ED8">
      <w:pPr>
        <w:pStyle w:val="Odstavecseseznamem"/>
        <w:widowControl w:val="0"/>
        <w:tabs>
          <w:tab w:val="left" w:pos="709"/>
        </w:tabs>
        <w:autoSpaceDE w:val="0"/>
        <w:autoSpaceDN w:val="0"/>
        <w:adjustRightInd w:val="0"/>
        <w:ind w:left="0"/>
        <w:jc w:val="both"/>
        <w:rPr>
          <w:rFonts w:cs="Arial"/>
          <w:szCs w:val="22"/>
        </w:rPr>
      </w:pPr>
      <w:r>
        <w:rPr>
          <w:rFonts w:cs="Arial"/>
          <w:szCs w:val="22"/>
        </w:rPr>
        <w:t>„X. V § 11 odst. 4 se slovo „3/4“ nahrazuje slovem „60 %“.“.</w:t>
      </w:r>
    </w:p>
    <w:p w:rsidR="00EC3ED8" w:rsidRDefault="00EC3ED8" w:rsidP="00556F0D">
      <w:pPr>
        <w:pStyle w:val="Odstavecseseznamem"/>
        <w:widowControl w:val="0"/>
        <w:tabs>
          <w:tab w:val="left" w:pos="709"/>
        </w:tabs>
        <w:autoSpaceDE w:val="0"/>
        <w:autoSpaceDN w:val="0"/>
        <w:adjustRightInd w:val="0"/>
        <w:spacing w:before="120"/>
        <w:ind w:left="0"/>
        <w:jc w:val="both"/>
        <w:rPr>
          <w:rFonts w:cs="Arial"/>
          <w:highlight w:val="white"/>
        </w:rPr>
      </w:pPr>
      <w:r>
        <w:rPr>
          <w:rFonts w:cs="Arial"/>
          <w:szCs w:val="22"/>
          <w:highlight w:val="white"/>
        </w:rPr>
        <w:t xml:space="preserve">Následující body se přečíslují. </w:t>
      </w:r>
    </w:p>
    <w:p w:rsidR="00EC3ED8" w:rsidRDefault="00EC3ED8" w:rsidP="00EC3ED8">
      <w:pPr>
        <w:autoSpaceDE w:val="0"/>
        <w:autoSpaceDN w:val="0"/>
        <w:jc w:val="both"/>
        <w:rPr>
          <w:rFonts w:cs="Arial"/>
          <w:b/>
          <w:highlight w:val="white"/>
        </w:rPr>
      </w:pPr>
    </w:p>
    <w:p w:rsidR="00EC3ED8" w:rsidRDefault="00EC3ED8" w:rsidP="00EC3ED8">
      <w:pPr>
        <w:autoSpaceDE w:val="0"/>
        <w:autoSpaceDN w:val="0"/>
        <w:jc w:val="both"/>
        <w:rPr>
          <w:rFonts w:cs="Arial"/>
          <w:b/>
          <w:highlight w:val="white"/>
        </w:rPr>
      </w:pPr>
    </w:p>
    <w:p w:rsidR="00EC3ED8" w:rsidRPr="00556F0D" w:rsidRDefault="00CD33F1" w:rsidP="00556F0D">
      <w:pPr>
        <w:jc w:val="both"/>
        <w:rPr>
          <w:rFonts w:cs="Arial"/>
          <w:szCs w:val="22"/>
        </w:rPr>
      </w:pPr>
      <w:proofErr w:type="gramStart"/>
      <w:r>
        <w:rPr>
          <w:rFonts w:cs="Arial"/>
          <w:b/>
          <w:szCs w:val="22"/>
        </w:rPr>
        <w:t>A.</w:t>
      </w:r>
      <w:r w:rsidR="00556F0D" w:rsidRPr="00556F0D">
        <w:rPr>
          <w:rFonts w:cs="Arial"/>
          <w:b/>
          <w:szCs w:val="22"/>
        </w:rPr>
        <w:t>C.</w:t>
      </w:r>
      <w:proofErr w:type="gramEnd"/>
      <w:r w:rsidR="00556F0D">
        <w:rPr>
          <w:rFonts w:cs="Arial"/>
          <w:szCs w:val="22"/>
        </w:rPr>
        <w:tab/>
      </w:r>
      <w:r w:rsidR="00EC3ED8" w:rsidRPr="00556F0D">
        <w:rPr>
          <w:rFonts w:cs="Arial"/>
          <w:szCs w:val="22"/>
        </w:rPr>
        <w:t>Za část čtvrtou se vkládá část pátá, která zní:</w:t>
      </w:r>
    </w:p>
    <w:p w:rsidR="00EC3ED8" w:rsidRDefault="00EC3ED8" w:rsidP="00556F0D">
      <w:pPr>
        <w:spacing w:before="120"/>
        <w:jc w:val="center"/>
        <w:rPr>
          <w:rFonts w:cs="Arial"/>
        </w:rPr>
      </w:pPr>
      <w:r>
        <w:rPr>
          <w:rFonts w:cs="Arial"/>
        </w:rPr>
        <w:t>„ČÁST PÁTÁ</w:t>
      </w:r>
    </w:p>
    <w:p w:rsidR="00EC3ED8" w:rsidRDefault="00EC3ED8" w:rsidP="00EC3ED8">
      <w:pPr>
        <w:jc w:val="center"/>
        <w:rPr>
          <w:rFonts w:cs="Arial"/>
        </w:rPr>
      </w:pPr>
      <w:r>
        <w:rPr>
          <w:rFonts w:cs="Arial"/>
        </w:rPr>
        <w:t>Změna zákona o majetku České republiky</w:t>
      </w:r>
    </w:p>
    <w:p w:rsidR="00EC3ED8" w:rsidRDefault="00EC3ED8" w:rsidP="00EC3ED8">
      <w:pPr>
        <w:jc w:val="center"/>
        <w:rPr>
          <w:rFonts w:cs="Arial"/>
        </w:rPr>
      </w:pPr>
      <w:r>
        <w:rPr>
          <w:rFonts w:cs="Arial"/>
        </w:rPr>
        <w:t>a jejím vystupování v právních vztazích</w:t>
      </w:r>
    </w:p>
    <w:p w:rsidR="00EC3ED8" w:rsidRDefault="00EC3ED8" w:rsidP="00556F0D">
      <w:pPr>
        <w:spacing w:before="120"/>
        <w:jc w:val="center"/>
        <w:rPr>
          <w:rFonts w:cs="Arial"/>
        </w:rPr>
      </w:pPr>
      <w:r>
        <w:rPr>
          <w:rFonts w:cs="Arial"/>
        </w:rPr>
        <w:t>Čl. IX</w:t>
      </w:r>
    </w:p>
    <w:p w:rsidR="00EC3ED8" w:rsidRDefault="00EC3ED8" w:rsidP="00556F0D">
      <w:pPr>
        <w:spacing w:before="240"/>
        <w:ind w:firstLine="425"/>
        <w:jc w:val="both"/>
        <w:rPr>
          <w:rFonts w:cs="Arial"/>
        </w:rPr>
      </w:pPr>
      <w:r>
        <w:rPr>
          <w:rFonts w:cs="Arial"/>
        </w:rPr>
        <w:t>Zákon č. 219/2000 Sb., o majetku České republiky a jejím vystupování v právních vztazích, ve znění zákona č. 492/2000 Sb., zákona č. 229/2001 Sb., zákona č. 3</w:t>
      </w:r>
      <w:r w:rsidR="00556F0D">
        <w:rPr>
          <w:rFonts w:cs="Arial"/>
        </w:rPr>
        <w:t>20/2001 Sb., zákona č. 501/2001 </w:t>
      </w:r>
      <w:r>
        <w:rPr>
          <w:rFonts w:cs="Arial"/>
        </w:rPr>
        <w:t>Sb., zákona č. 202/2002 Sb., zákona č. 280/2002 Sb., nálezu Ústavního soudu, vyhlášeného pod č. 476/2002 Sb., zákona č. 88/2003 Sb., zákona č. 354/2003 Sb., zákona č. 480/20</w:t>
      </w:r>
      <w:r w:rsidR="00556F0D">
        <w:rPr>
          <w:rFonts w:cs="Arial"/>
        </w:rPr>
        <w:t>03 </w:t>
      </w:r>
      <w:r>
        <w:rPr>
          <w:rFonts w:cs="Arial"/>
        </w:rPr>
        <w:t>Sb., zákona č. 41/2004 Sb., zákona č. 218/2004 Sb., zá</w:t>
      </w:r>
      <w:r w:rsidR="00556F0D">
        <w:rPr>
          <w:rFonts w:cs="Arial"/>
        </w:rPr>
        <w:t>kona č. 217/2005 Sb., zákona č. </w:t>
      </w:r>
      <w:r>
        <w:rPr>
          <w:rFonts w:cs="Arial"/>
        </w:rPr>
        <w:t>359/2005 Sb., zákona č. 22/2006 Sb., zákona č. 140/2006 Sb., zá</w:t>
      </w:r>
      <w:r w:rsidR="00556F0D">
        <w:rPr>
          <w:rFonts w:cs="Arial"/>
        </w:rPr>
        <w:t>kona č. 342/2006 Sb., zákona č. </w:t>
      </w:r>
      <w:r>
        <w:rPr>
          <w:rFonts w:cs="Arial"/>
        </w:rPr>
        <w:t xml:space="preserve">296/2007 Sb., zákona č. 139/2008 Sb., zákona č. 274/2008 Sb., zákona č. </w:t>
      </w:r>
      <w:r w:rsidR="00556F0D">
        <w:rPr>
          <w:rFonts w:cs="Arial"/>
        </w:rPr>
        <w:t>457/2008 Sb., zákona č. </w:t>
      </w:r>
      <w:r>
        <w:rPr>
          <w:rFonts w:cs="Arial"/>
        </w:rPr>
        <w:t>153/2009 Sb., zákona č. 227/2009 Sb., zákona č. 457/2011 Sb., z</w:t>
      </w:r>
      <w:r w:rsidR="00556F0D">
        <w:rPr>
          <w:rFonts w:cs="Arial"/>
        </w:rPr>
        <w:t>ákona č. 18/2012 Sb., zákona č. </w:t>
      </w:r>
      <w:r>
        <w:rPr>
          <w:rFonts w:cs="Arial"/>
        </w:rPr>
        <w:t>239/2012 Sb., zákona č. 407/2012 Sb., zákona č. 503/2012 Sb., zákona č. 311/2013 Sb. a zákona č. 86/2015 Sb., se mění takto:</w:t>
      </w:r>
    </w:p>
    <w:p w:rsidR="00EC3ED8" w:rsidRDefault="00EC3ED8" w:rsidP="00EC3ED8">
      <w:pPr>
        <w:jc w:val="both"/>
        <w:rPr>
          <w:rFonts w:cs="Arial"/>
        </w:rPr>
      </w:pPr>
    </w:p>
    <w:p w:rsidR="00EC3ED8" w:rsidRDefault="00EC3ED8" w:rsidP="00EC3ED8">
      <w:pPr>
        <w:widowControl/>
        <w:numPr>
          <w:ilvl w:val="0"/>
          <w:numId w:val="7"/>
        </w:numPr>
        <w:suppressAutoHyphens w:val="0"/>
        <w:ind w:left="0" w:firstLine="0"/>
        <w:jc w:val="both"/>
        <w:rPr>
          <w:rFonts w:cs="Arial"/>
        </w:rPr>
      </w:pPr>
      <w:r>
        <w:rPr>
          <w:rFonts w:cs="Arial"/>
        </w:rPr>
        <w:t>V § 15 odst. 3 se slova „</w:t>
      </w:r>
      <w:r w:rsidR="0080530D">
        <w:rPr>
          <w:rFonts w:cs="Arial"/>
        </w:rPr>
        <w:t xml:space="preserve"> </w:t>
      </w:r>
      <w:r>
        <w:rPr>
          <w:rFonts w:cs="Arial"/>
        </w:rPr>
        <w:t xml:space="preserve">, a dále pozemků tvořících součást dědictví, které stát </w:t>
      </w:r>
      <w:proofErr w:type="gramStart"/>
      <w:r>
        <w:rPr>
          <w:rFonts w:cs="Arial"/>
        </w:rPr>
        <w:t>nabyl nebo</w:t>
      </w:r>
      <w:proofErr w:type="gramEnd"/>
      <w:r>
        <w:rPr>
          <w:rFonts w:cs="Arial"/>
        </w:rPr>
        <w:t xml:space="preserve"> mu připadlo a v souvislosti s tím mu vznikla povinnost uhradit dluh“ zrušují.</w:t>
      </w:r>
    </w:p>
    <w:p w:rsidR="00EC3ED8" w:rsidRDefault="00EC3ED8" w:rsidP="00EC3ED8">
      <w:pPr>
        <w:jc w:val="both"/>
        <w:rPr>
          <w:rFonts w:cs="Arial"/>
        </w:rPr>
      </w:pPr>
    </w:p>
    <w:p w:rsidR="00EC3ED8" w:rsidRDefault="00EC3ED8" w:rsidP="00EC3ED8">
      <w:pPr>
        <w:widowControl/>
        <w:numPr>
          <w:ilvl w:val="0"/>
          <w:numId w:val="7"/>
        </w:numPr>
        <w:suppressAutoHyphens w:val="0"/>
        <w:ind w:left="0" w:firstLine="0"/>
        <w:jc w:val="both"/>
        <w:rPr>
          <w:rFonts w:cs="Arial"/>
        </w:rPr>
      </w:pPr>
      <w:r>
        <w:rPr>
          <w:rFonts w:cs="Arial"/>
        </w:rPr>
        <w:t xml:space="preserve">Za § 19 se vkládají nové </w:t>
      </w:r>
      <w:r w:rsidR="0080530D">
        <w:rPr>
          <w:rFonts w:cs="Arial"/>
        </w:rPr>
        <w:t>§</w:t>
      </w:r>
      <w:r>
        <w:rPr>
          <w:rFonts w:cs="Arial"/>
        </w:rPr>
        <w:t xml:space="preserve"> 19a až 19c, které znějí:</w:t>
      </w:r>
    </w:p>
    <w:p w:rsidR="00EC3ED8" w:rsidRDefault="00EC3ED8" w:rsidP="0080530D">
      <w:pPr>
        <w:spacing w:before="120"/>
        <w:jc w:val="center"/>
        <w:rPr>
          <w:rFonts w:cs="Arial"/>
        </w:rPr>
      </w:pPr>
      <w:r>
        <w:rPr>
          <w:rFonts w:cs="Arial"/>
        </w:rPr>
        <w:t>„§ 19a</w:t>
      </w:r>
    </w:p>
    <w:p w:rsidR="00EC3ED8" w:rsidRDefault="00EC3ED8" w:rsidP="00556F0D">
      <w:pPr>
        <w:spacing w:before="240"/>
        <w:ind w:firstLine="709"/>
        <w:jc w:val="both"/>
        <w:rPr>
          <w:rFonts w:cs="Arial"/>
        </w:rPr>
      </w:pPr>
      <w:r>
        <w:rPr>
          <w:rFonts w:cs="Arial"/>
        </w:rPr>
        <w:t>Organizační složka příslušná hospodařit s majetkem, který se eviduje v centrálním registru administrativních budov a je potřebný pro zabezpečení výkonu její působnosti nebo její činnosti, se může dohodnout s Úřadem na převzetí tohoto majetku s tím, že jí tento majetek bude přenechán k užívání nebo požívání za podmínek ustanovení § 19 odst. 1. S tímto majetkem je Úřad příslušný hospodařit v souladu s ustanovením § 9. Při dalším hospodaření s</w:t>
      </w:r>
      <w:r w:rsidR="00556F0D">
        <w:rPr>
          <w:rFonts w:cs="Arial"/>
        </w:rPr>
        <w:t> tímto majetkem se ustanovení § </w:t>
      </w:r>
      <w:r>
        <w:rPr>
          <w:rFonts w:cs="Arial"/>
        </w:rPr>
        <w:t xml:space="preserve">14a odst. 4 a § 19b odst. 2 věta první a druhá použijí obdobně. </w:t>
      </w:r>
    </w:p>
    <w:p w:rsidR="00EC3ED8" w:rsidRDefault="00EC3ED8" w:rsidP="00EC3ED8">
      <w:pPr>
        <w:ind w:firstLine="708"/>
        <w:jc w:val="both"/>
        <w:rPr>
          <w:rFonts w:cs="Arial"/>
        </w:rPr>
      </w:pPr>
    </w:p>
    <w:p w:rsidR="00EC3ED8" w:rsidRDefault="00EC3ED8" w:rsidP="00EC3ED8">
      <w:pPr>
        <w:jc w:val="center"/>
        <w:rPr>
          <w:rFonts w:cs="Arial"/>
        </w:rPr>
      </w:pPr>
    </w:p>
    <w:p w:rsidR="00EC3ED8" w:rsidRDefault="00EC3ED8" w:rsidP="00EC3ED8">
      <w:pPr>
        <w:jc w:val="center"/>
        <w:rPr>
          <w:rFonts w:cs="Arial"/>
        </w:rPr>
      </w:pPr>
      <w:r>
        <w:rPr>
          <w:rFonts w:cs="Arial"/>
        </w:rPr>
        <w:t>§ 19b</w:t>
      </w:r>
    </w:p>
    <w:p w:rsidR="00EC3ED8" w:rsidRDefault="00EC3ED8" w:rsidP="00556F0D">
      <w:pPr>
        <w:spacing w:before="240"/>
        <w:ind w:firstLine="709"/>
        <w:jc w:val="both"/>
        <w:rPr>
          <w:rFonts w:eastAsia="Calibri" w:cs="Arial"/>
          <w:szCs w:val="22"/>
          <w:lang w:eastAsia="en-US" w:bidi="ar-SA"/>
        </w:rPr>
      </w:pPr>
      <w:r>
        <w:rPr>
          <w:rFonts w:cs="Arial"/>
        </w:rPr>
        <w:t xml:space="preserve">(1) Jestliže bylo v rámci příslušné organizační složky (§ 9) rozhodnuto podle ustanovení § 14 odst. 7 o trvalé nepotřebnosti hmotné nemovité věci včetně případného příslušenství nacházející se na území státu anebo o trvalé nepotřebnosti práva stavby a tento majetek nebude převzat prokazatelně z důvodu potřebnosti nebo veřejného zájmu jinou organizační složkou v působnosti téhož zřizovatele nebo ústředního správního úřadu, popřípadě tímto zřizovatelem nebo ústředním správním úřadem, </w:t>
      </w:r>
      <w:r>
        <w:rPr>
          <w:rFonts w:cs="Arial"/>
        </w:rPr>
        <w:lastRenderedPageBreak/>
        <w:t>převezme neprodleně tento majetek bezúplatně Úřad s výjimkou případů, kdy jde o majetek, který se neeviduje v centrálním registru administrativních budov a jehož směnou by příslušná organizační složka měla nabýt pro stát majetek v souladu s ustanovením § 12 odst. 3, anebo o majetek, na nějž byl uplatněn postup podle ustanovení § 14b. Takto Úřad postupuje, i když majetek k plnění úkolů v rámci stanoveného předmětu činnosti nepotřebuje. S tímto majetkem je Úřad příslušný hospodařit v souladu s ustanovením § 9.</w:t>
      </w:r>
    </w:p>
    <w:p w:rsidR="00EC3ED8" w:rsidRDefault="00EC3ED8" w:rsidP="00EC3ED8">
      <w:pPr>
        <w:ind w:firstLine="708"/>
        <w:jc w:val="both"/>
        <w:rPr>
          <w:rFonts w:cs="Arial"/>
        </w:rPr>
      </w:pPr>
    </w:p>
    <w:p w:rsidR="00EC3ED8" w:rsidRDefault="00EC3ED8" w:rsidP="00EC3ED8">
      <w:pPr>
        <w:ind w:firstLine="708"/>
        <w:jc w:val="both"/>
        <w:rPr>
          <w:rFonts w:cs="Arial"/>
        </w:rPr>
      </w:pPr>
      <w:r>
        <w:rPr>
          <w:rFonts w:cs="Arial"/>
        </w:rPr>
        <w:t>(2) Úřad zajišťuje u majetku převzatého podle odstavce 1, který se eviduje v centrálním registru administrativních budov, jeho účelné a efektivní využívání pro potřeby ostatních organizačních složek a na základě rozhodnutí vlády nebo jí pověřeného orgánu jim tento majetek nebo jeho části přenechává za podmínek ustanovení § 19 odst. 1 k užívání nebo požívání. Přestane-li být tento majetek trvale využitelný pro soudní, zákonodárné, správní a související činnosti v rámci plnění funkcí státu, nebude jinak potřebný pro činnost Úřadu a Úřad si jej neponechá ani ve veřejném zájmu, naloží s ním Úřad na základě rozhodnutí vlády nebo jí pověřeného orgánu podle jeho povahy a stavu a půjde-li o majetek způsobilý k dalšímu využití, naloží s ním ve prospěch právnických nebo fyzických osob. S ostatním majetkem převzatým podle odstavce 1, který Úřad sám nepotřebuje anebo si jej neponechá ve veřejném zájmu, naloží podle jeho povahy a stavu a je-li majetek způsobilý k dalšímu využití, naloží s ním ve prospěch těch organizačních složek, které jej potřebují pro zabezpečení výkonu své působnosti nebo činnosti anebo které jej převezmou ve veřejném zájmu. Při tom přihlíží k povaze důvodů zájmu organizačních složek o převzetí tohoto majetku, k naléhavosti jejich potřeb a k účelnosti a efektivitě takového převzetí; sporné případy se předkládají k rozhodnutí vládě.</w:t>
      </w:r>
    </w:p>
    <w:p w:rsidR="00EC3ED8" w:rsidRDefault="00EC3ED8" w:rsidP="00EC3ED8">
      <w:pPr>
        <w:ind w:firstLine="708"/>
        <w:jc w:val="both"/>
        <w:rPr>
          <w:rFonts w:cs="Arial"/>
        </w:rPr>
      </w:pPr>
    </w:p>
    <w:p w:rsidR="00EC3ED8" w:rsidRDefault="00EC3ED8" w:rsidP="00EC3ED8">
      <w:pPr>
        <w:ind w:firstLine="708"/>
        <w:jc w:val="both"/>
        <w:rPr>
          <w:rFonts w:cs="Arial"/>
        </w:rPr>
      </w:pPr>
      <w:r>
        <w:rPr>
          <w:rFonts w:cs="Arial"/>
        </w:rPr>
        <w:t xml:space="preserve">(3) Jestliže bylo v rámci příslušné organizační složky (§ 9) rozhodnuto o trvalé nepotřebnosti jiného majetku, než který </w:t>
      </w:r>
      <w:r>
        <w:t>podle odstavce 1 přebírá Úřad anebo pro který z odstavce 1 vyplývá konkrétní způsob naložení</w:t>
      </w:r>
      <w:r>
        <w:rPr>
          <w:rFonts w:cs="Arial"/>
        </w:rPr>
        <w:t>, lze tento majetek přednostně nabídnout a převzít mezi organizačními složkami v působnosti téhož zřizovatele nebo ústředního správního úřadu anebo je-li jedna organizační složka vůči druhé zřizovatelem nebo ústředním správním úřadem, a to i když přejímající organizační složka tento majetek nepotřebuje k plnění úkolů v rámci své působnosti nebo stanoveného předmětu činnosti, pokud takový postup povede k hospodárnějšímu naložení s tímto majetkem. S tímto majetkem je přejímající organizační složka příslušná hospodařit v souladu s ustanovením § 9.</w:t>
      </w:r>
    </w:p>
    <w:p w:rsidR="00EC3ED8" w:rsidRDefault="00EC3ED8" w:rsidP="00EC3ED8">
      <w:pPr>
        <w:jc w:val="both"/>
        <w:rPr>
          <w:rFonts w:eastAsia="Calibri" w:cs="Arial"/>
          <w:szCs w:val="22"/>
          <w:lang w:eastAsia="en-US" w:bidi="ar-SA"/>
        </w:rPr>
      </w:pPr>
    </w:p>
    <w:p w:rsidR="00EC3ED8" w:rsidRDefault="00EC3ED8" w:rsidP="00EC3ED8">
      <w:pPr>
        <w:ind w:firstLine="708"/>
        <w:jc w:val="both"/>
        <w:rPr>
          <w:rFonts w:cs="Arial"/>
        </w:rPr>
      </w:pPr>
      <w:r>
        <w:rPr>
          <w:rFonts w:cs="Arial"/>
        </w:rPr>
        <w:t>(4) Pokud příslušná organizační složka (§ 9) nevyužila postup podle odstavce 3, naloží s trvale nepotřebným majetkem podle jeho povahy a stavu a je-li majetek způsobilý k dalšímu využití a dále není stanoveno jinak, naloží s ním ve prospěch jiné organizační složky, která jej potřebuje pro zabezpečení výkonu své působnosti nebo činnosti anebo která jej převezme ve veřejném zájmu. Obdobně postupuje organizační složka, která převzala majetek podle odstavce 3.</w:t>
      </w:r>
    </w:p>
    <w:p w:rsidR="00EC3ED8" w:rsidRDefault="00EC3ED8" w:rsidP="00EC3ED8">
      <w:pPr>
        <w:jc w:val="both"/>
        <w:rPr>
          <w:rFonts w:cs="Arial"/>
        </w:rPr>
      </w:pPr>
    </w:p>
    <w:p w:rsidR="00EC3ED8" w:rsidRDefault="00EC3ED8" w:rsidP="00EC3ED8">
      <w:pPr>
        <w:ind w:firstLine="708"/>
        <w:jc w:val="both"/>
        <w:rPr>
          <w:rFonts w:cs="Arial"/>
        </w:rPr>
      </w:pPr>
      <w:r>
        <w:rPr>
          <w:rFonts w:cs="Arial"/>
        </w:rPr>
        <w:t>(5) Jestliže bylo v rámci příslušné organizační složky (§ 9) rozhodnuto podle ustanovení § 14 odst. 7 o dočasné nepotřebnosti majetku nebo jeho části, anebo bude-li tak dosaženo jejich účelnějšího nebo hospodárnějšího využití při zachování hlavního účelu, ke kterému organizační složce slouží, popřípadě je-li to účelné před konečným naložením s majetkem, u kterého bylo v rámci příslušné organizační složky rozhodnuto o trvalé nepotřebnosti, přenechá příslušná organizační složka takový majetek nebo jeho část, odpovídá-li to povaze tohoto majetku nebo jeho části a dále není stanoveno jinak, za podmínek ustanovení § 19 odst. 1 k užívání nebo požívání pro potřeby ostatních organizačních složek.</w:t>
      </w:r>
    </w:p>
    <w:p w:rsidR="00EC3ED8" w:rsidRDefault="00EC3ED8" w:rsidP="00556F0D">
      <w:pPr>
        <w:jc w:val="center"/>
        <w:rPr>
          <w:rFonts w:cs="Arial"/>
        </w:rPr>
      </w:pPr>
    </w:p>
    <w:p w:rsidR="0080530D" w:rsidRDefault="0080530D">
      <w:pPr>
        <w:widowControl/>
        <w:suppressAutoHyphens w:val="0"/>
        <w:rPr>
          <w:rFonts w:cs="Arial"/>
        </w:rPr>
      </w:pPr>
      <w:r>
        <w:rPr>
          <w:rFonts w:cs="Arial"/>
        </w:rPr>
        <w:br w:type="page"/>
      </w:r>
    </w:p>
    <w:p w:rsidR="00556F0D" w:rsidRDefault="00556F0D" w:rsidP="00556F0D">
      <w:pPr>
        <w:jc w:val="center"/>
        <w:rPr>
          <w:rFonts w:cs="Arial"/>
        </w:rPr>
      </w:pPr>
    </w:p>
    <w:p w:rsidR="00EC3ED8" w:rsidRDefault="00EC3ED8" w:rsidP="00EC3ED8">
      <w:pPr>
        <w:jc w:val="center"/>
        <w:rPr>
          <w:rFonts w:eastAsia="Calibri" w:cs="Arial"/>
          <w:szCs w:val="22"/>
          <w:lang w:eastAsia="en-US" w:bidi="ar-SA"/>
        </w:rPr>
      </w:pPr>
      <w:r>
        <w:rPr>
          <w:rFonts w:cs="Arial"/>
        </w:rPr>
        <w:t>§ 19c</w:t>
      </w:r>
    </w:p>
    <w:p w:rsidR="00EC3ED8" w:rsidRDefault="00EC3ED8" w:rsidP="00556F0D">
      <w:pPr>
        <w:spacing w:before="240"/>
        <w:ind w:firstLine="709"/>
        <w:jc w:val="both"/>
        <w:rPr>
          <w:rFonts w:cs="Arial"/>
        </w:rPr>
      </w:pPr>
      <w:r>
        <w:rPr>
          <w:rFonts w:cs="Arial"/>
        </w:rPr>
        <w:t>(1) Nabídka užívání nebo požívání majetku, který se eviduje v centrálním registru administrativních budov, jiným organizačním složkám se provádí prostřednictvím tohoto registru. Nabídka užívání, požívání nebo převzetí ostatního majetku jiným organizačním složkám se provádí na internetových stránkách Úřadu. Je-li to účelné, lze nabídku jiným organizačním složkám uskutečnit souběžně i jiným vhodným způsobem. Je-li u majetku, na který byl uplatněn postup podle ustanovení § 14b, anebo u jiného majetku nezbytné provést nabídku z důvodů spočívajících v zajištění bezpečnosti nebo obrany státu pouze jiným vhodným způsobem, použije se tento jiný vhodný způsob.</w:t>
      </w:r>
    </w:p>
    <w:p w:rsidR="00EC3ED8" w:rsidRDefault="00EC3ED8" w:rsidP="00EC3ED8">
      <w:pPr>
        <w:jc w:val="both"/>
        <w:rPr>
          <w:rFonts w:cs="Arial"/>
        </w:rPr>
      </w:pPr>
    </w:p>
    <w:p w:rsidR="00EC3ED8" w:rsidRDefault="00EC3ED8" w:rsidP="00EC3ED8">
      <w:pPr>
        <w:ind w:firstLine="708"/>
        <w:jc w:val="both"/>
        <w:rPr>
          <w:rFonts w:cs="Arial"/>
        </w:rPr>
      </w:pPr>
      <w:r>
        <w:rPr>
          <w:rFonts w:cs="Arial"/>
        </w:rPr>
        <w:t>(2) V případě majetku určeného ke směně a majetku v zahraničí se nabídka podle odstavce 1 neprovádí. Je-li určen ke směně majetek, který se eviduje v centrálním registru administrativních budov a byl převzat Úřadem podle ustanovení § 19a nebo § 19b odst. 1, zajišťuje Úřad jeho směnu i nabytí majetku pro stát směnou. Pokud má takto nabytý majetek charakter majetku, který se eviduje v centrálním registru administrativních budov, zajišťuje Úřad jeho využívání a nakládání s ním v souladu s ustanovením § 19b odst. 2 větou první a druhou. Pokud takto nabytý majetek uvedený charakter nemá, naloží s ním Úřad v souladu s ustanovením § 19b odst. 2 větou třetí a čtvrtou.</w:t>
      </w:r>
    </w:p>
    <w:p w:rsidR="00EC3ED8" w:rsidRDefault="00EC3ED8" w:rsidP="00EC3ED8">
      <w:pPr>
        <w:jc w:val="both"/>
        <w:rPr>
          <w:rFonts w:eastAsia="Calibri" w:cs="Arial"/>
          <w:szCs w:val="22"/>
          <w:lang w:eastAsia="en-US" w:bidi="ar-SA"/>
        </w:rPr>
      </w:pPr>
    </w:p>
    <w:p w:rsidR="00EC3ED8" w:rsidRDefault="00EC3ED8" w:rsidP="00EC3ED8">
      <w:pPr>
        <w:ind w:firstLine="708"/>
        <w:jc w:val="both"/>
        <w:rPr>
          <w:rFonts w:cs="Arial"/>
        </w:rPr>
      </w:pPr>
      <w:r>
        <w:rPr>
          <w:rFonts w:cs="Arial"/>
        </w:rPr>
        <w:t>(3) Naložit s majetkem ve prospěch právnických nebo fyzických osob je přípustné teprve poté, neprojeví-li o majetek zájem jiná organizační složka, anebo jde-li o majetek určený ke směně, popřípadě o majetek v zahraničí, a nebrání-li tomu ani veřejný zájem; tím není dotčen postup Úřadu podle ustanovení § 19b odst. 2 věty druhé. Postup při nakládání s majetkem, o který neprojevily zájem jiné organizační složky ani právnické nebo fyzické osoby, upraví prováděcí právní předpis.“.</w:t>
      </w:r>
    </w:p>
    <w:p w:rsidR="00EC3ED8" w:rsidRDefault="00EC3ED8" w:rsidP="00556F0D">
      <w:pPr>
        <w:spacing w:before="240"/>
        <w:jc w:val="both"/>
        <w:rPr>
          <w:rFonts w:cs="Arial"/>
        </w:rPr>
      </w:pPr>
      <w:r>
        <w:rPr>
          <w:rFonts w:cs="Arial"/>
        </w:rPr>
        <w:t>Dosavadní část pátá se označuje jako část šestá a článek IX se označuje jako článek X.</w:t>
      </w:r>
    </w:p>
    <w:p w:rsidR="00EC3ED8" w:rsidRPr="00C47D8A" w:rsidRDefault="00EC3ED8" w:rsidP="00C47D8A">
      <w:pPr>
        <w:autoSpaceDE w:val="0"/>
        <w:autoSpaceDN w:val="0"/>
        <w:jc w:val="both"/>
        <w:rPr>
          <w:rFonts w:cs="Times New Roman"/>
          <w:highlight w:val="white"/>
        </w:rPr>
      </w:pPr>
    </w:p>
    <w:p w:rsidR="00EC3ED8" w:rsidRPr="00C47D8A" w:rsidRDefault="00EC3ED8" w:rsidP="00C47D8A">
      <w:pPr>
        <w:pStyle w:val="Nadpis4"/>
        <w:jc w:val="both"/>
      </w:pPr>
    </w:p>
    <w:p w:rsidR="00EC3ED8" w:rsidRPr="00E36B68" w:rsidRDefault="00EC3ED8" w:rsidP="00EC3ED8">
      <w:pPr>
        <w:pStyle w:val="Nadpis4"/>
        <w:jc w:val="center"/>
        <w:rPr>
          <w:b/>
        </w:rPr>
      </w:pPr>
      <w:r w:rsidRPr="00E36B68">
        <w:rPr>
          <w:b/>
        </w:rPr>
        <w:t>Pozměňovací návrhy přednesené v</w:t>
      </w:r>
      <w:r>
        <w:rPr>
          <w:b/>
        </w:rPr>
        <w:t>e</w:t>
      </w:r>
      <w:r w:rsidRPr="00E36B68">
        <w:rPr>
          <w:b/>
        </w:rPr>
        <w:t xml:space="preserve"> druhém čtení dne </w:t>
      </w:r>
      <w:r w:rsidR="00C47D8A">
        <w:rPr>
          <w:b/>
        </w:rPr>
        <w:t>1. března</w:t>
      </w:r>
      <w:r w:rsidRPr="00E36B68">
        <w:rPr>
          <w:b/>
        </w:rPr>
        <w:t xml:space="preserve"> 201</w:t>
      </w:r>
      <w:r>
        <w:rPr>
          <w:b/>
        </w:rPr>
        <w:t>6</w:t>
      </w:r>
    </w:p>
    <w:p w:rsidR="00EC3ED8" w:rsidRPr="00E36B68" w:rsidRDefault="00EC3ED8" w:rsidP="00EC3ED8">
      <w:pPr>
        <w:rPr>
          <w:i/>
        </w:rPr>
      </w:pPr>
    </w:p>
    <w:p w:rsidR="00EC3ED8" w:rsidRPr="00E36B68" w:rsidRDefault="00EC3ED8" w:rsidP="00EC3ED8">
      <w:pPr>
        <w:rPr>
          <w:i/>
        </w:rPr>
      </w:pPr>
    </w:p>
    <w:p w:rsidR="00EC3ED8" w:rsidRPr="002A290F" w:rsidRDefault="00EC3ED8" w:rsidP="00EC3ED8">
      <w:pPr>
        <w:pStyle w:val="Oznaenpozmn"/>
      </w:pPr>
      <w:r w:rsidRPr="002A290F">
        <w:t xml:space="preserve">Poslanec </w:t>
      </w:r>
      <w:r>
        <w:t xml:space="preserve">Josef </w:t>
      </w:r>
      <w:proofErr w:type="spellStart"/>
      <w:r>
        <w:t>Šenfeld</w:t>
      </w:r>
      <w:proofErr w:type="spellEnd"/>
      <w:r>
        <w:t>:</w:t>
      </w:r>
    </w:p>
    <w:p w:rsidR="00EC3ED8" w:rsidRDefault="00C47D8A" w:rsidP="00EC3ED8">
      <w:pPr>
        <w:rPr>
          <w:b/>
        </w:rPr>
      </w:pPr>
      <w:r>
        <w:rPr>
          <w:b/>
        </w:rPr>
        <w:t xml:space="preserve">SD </w:t>
      </w:r>
      <w:r w:rsidR="00EC3ED8">
        <w:rPr>
          <w:b/>
        </w:rPr>
        <w:t>3526</w:t>
      </w:r>
    </w:p>
    <w:p w:rsidR="00EC3ED8" w:rsidRPr="002A290F" w:rsidRDefault="00EC3ED8" w:rsidP="00EC3ED8">
      <w:pPr>
        <w:rPr>
          <w:b/>
        </w:rPr>
      </w:pPr>
      <w:r w:rsidRPr="002A290F">
        <w:rPr>
          <w:b/>
        </w:rPr>
        <w:t xml:space="preserve">Novelizační bod 22. se zrušuje </w:t>
      </w:r>
    </w:p>
    <w:p w:rsidR="00EC3ED8" w:rsidRPr="002A290F" w:rsidRDefault="00EC3ED8" w:rsidP="00EC3ED8">
      <w:r w:rsidRPr="002A290F">
        <w:t>(původní bod 22. § 11 se včetně nadpisu zrušuje.)</w:t>
      </w:r>
    </w:p>
    <w:p w:rsidR="00EC3ED8" w:rsidRPr="002A290F" w:rsidRDefault="00EC3ED8" w:rsidP="00EC3ED8">
      <w:pPr>
        <w:jc w:val="both"/>
        <w:rPr>
          <w:b/>
        </w:rPr>
      </w:pPr>
    </w:p>
    <w:p w:rsidR="00EC3ED8" w:rsidRPr="00E36B68" w:rsidRDefault="00EC3ED8" w:rsidP="00EC3ED8">
      <w:pPr>
        <w:rPr>
          <w:i/>
        </w:rPr>
      </w:pPr>
    </w:p>
    <w:p w:rsidR="00EC3ED8" w:rsidRPr="00EC3ED8" w:rsidRDefault="00EC3ED8" w:rsidP="00EC3ED8">
      <w:pPr>
        <w:pStyle w:val="Oznaenpozmn"/>
      </w:pPr>
      <w:r w:rsidRPr="00EC3ED8">
        <w:t>Poslanec Petr Kudela:</w:t>
      </w:r>
    </w:p>
    <w:p w:rsidR="00EC3ED8" w:rsidRPr="00EC3ED8" w:rsidRDefault="00CD33F1" w:rsidP="00EC3ED8">
      <w:pPr>
        <w:rPr>
          <w:b/>
        </w:rPr>
      </w:pPr>
      <w:r>
        <w:rPr>
          <w:b/>
        </w:rPr>
        <w:t>C1</w:t>
      </w:r>
      <w:r>
        <w:rPr>
          <w:b/>
        </w:rPr>
        <w:tab/>
      </w:r>
      <w:r w:rsidR="00C47D8A">
        <w:rPr>
          <w:b/>
        </w:rPr>
        <w:t xml:space="preserve">SD </w:t>
      </w:r>
      <w:r w:rsidR="00EC3ED8" w:rsidRPr="00EC3ED8">
        <w:rPr>
          <w:b/>
        </w:rPr>
        <w:t>3530</w:t>
      </w:r>
    </w:p>
    <w:p w:rsidR="00EC3ED8" w:rsidRPr="00EC3ED8" w:rsidRDefault="00EC3ED8" w:rsidP="00EC3ED8">
      <w:pPr>
        <w:rPr>
          <w:lang w:eastAsia="cs-CZ" w:bidi="ar-SA"/>
        </w:rPr>
      </w:pPr>
      <w:r w:rsidRPr="00EC3ED8">
        <w:rPr>
          <w:lang w:eastAsia="cs-CZ" w:bidi="ar-SA"/>
        </w:rPr>
        <w:t>K části první čl. I – změna zákona o Státním pozemkovém úřadu</w:t>
      </w:r>
    </w:p>
    <w:p w:rsidR="00EC3ED8" w:rsidRPr="00EC3ED8" w:rsidRDefault="00EC3ED8" w:rsidP="00EC3ED8">
      <w:pPr>
        <w:rPr>
          <w:lang w:eastAsia="cs-CZ" w:bidi="ar-SA"/>
        </w:rPr>
      </w:pPr>
      <w:r w:rsidRPr="00EC3ED8">
        <w:rPr>
          <w:lang w:eastAsia="cs-CZ" w:bidi="ar-SA"/>
        </w:rPr>
        <w:t>V dosavadním bodu 20 § 10b a § 10c znějí:</w:t>
      </w:r>
    </w:p>
    <w:p w:rsidR="00EC3ED8" w:rsidRPr="00EC3ED8" w:rsidRDefault="00EC3ED8" w:rsidP="00EC3ED8">
      <w:pPr>
        <w:rPr>
          <w:lang w:eastAsia="cs-CZ" w:bidi="ar-SA"/>
        </w:rPr>
      </w:pPr>
    </w:p>
    <w:p w:rsidR="00EC3ED8" w:rsidRPr="00EC3ED8" w:rsidRDefault="00EC3ED8" w:rsidP="00EC3ED8">
      <w:pPr>
        <w:jc w:val="center"/>
        <w:rPr>
          <w:lang w:eastAsia="cs-CZ" w:bidi="ar-SA"/>
        </w:rPr>
      </w:pPr>
      <w:r w:rsidRPr="00EC3ED8">
        <w:rPr>
          <w:lang w:eastAsia="cs-CZ" w:bidi="ar-SA"/>
        </w:rPr>
        <w:t>„§ 10b</w:t>
      </w:r>
    </w:p>
    <w:p w:rsidR="00EC3ED8" w:rsidRPr="00EC3ED8" w:rsidRDefault="00EC3ED8" w:rsidP="00EC3ED8">
      <w:pPr>
        <w:jc w:val="center"/>
        <w:rPr>
          <w:b/>
          <w:lang w:eastAsia="cs-CZ" w:bidi="ar-SA"/>
        </w:rPr>
      </w:pPr>
      <w:r w:rsidRPr="00EC3ED8">
        <w:rPr>
          <w:b/>
          <w:lang w:eastAsia="cs-CZ" w:bidi="ar-SA"/>
        </w:rPr>
        <w:t>Převod zemědělských pozemků v zahrádkových a chatových osadách</w:t>
      </w:r>
    </w:p>
    <w:p w:rsidR="00EC3ED8" w:rsidRPr="00EC3ED8" w:rsidRDefault="00EC3ED8" w:rsidP="00EC3ED8">
      <w:pPr>
        <w:rPr>
          <w:lang w:eastAsia="cs-CZ" w:bidi="ar-SA"/>
        </w:rPr>
      </w:pPr>
    </w:p>
    <w:p w:rsidR="00EC3ED8" w:rsidRPr="00EC3ED8" w:rsidRDefault="00EC3ED8" w:rsidP="00EC3ED8">
      <w:pPr>
        <w:ind w:firstLine="720"/>
        <w:jc w:val="both"/>
        <w:rPr>
          <w:lang w:eastAsia="cs-CZ" w:bidi="ar-SA"/>
        </w:rPr>
      </w:pPr>
      <w:r w:rsidRPr="00EC3ED8">
        <w:rPr>
          <w:lang w:eastAsia="cs-CZ" w:bidi="ar-SA"/>
        </w:rPr>
        <w:t>(1) Na základě písemné žádosti oprávněného uživatele pozemku v zahrádkových nebo chatových osadách zřízených na základě územního rozhodnutí nebo existujících již před 1. říjnem 1976 nebo zřízených na základě územního rozhodnutí převede Státní pozemkový úřad tento pozemek do vlastnictví, popřípadě spoluvlastnictví této osobě. Do vlastnictví nabyvatele se současně s pozemkem převádějí bezúplatně všechny součásti a příslušenství tohoto pozemku.</w:t>
      </w:r>
    </w:p>
    <w:p w:rsidR="00EC3ED8" w:rsidRPr="00EC3ED8" w:rsidRDefault="00EC3ED8" w:rsidP="00EC3ED8">
      <w:pPr>
        <w:jc w:val="both"/>
        <w:rPr>
          <w:lang w:eastAsia="cs-CZ" w:bidi="ar-SA"/>
        </w:rPr>
      </w:pPr>
    </w:p>
    <w:p w:rsidR="00EC3ED8" w:rsidRPr="00EC3ED8" w:rsidRDefault="00EC3ED8" w:rsidP="00EC3ED8">
      <w:pPr>
        <w:ind w:firstLine="720"/>
        <w:jc w:val="both"/>
        <w:rPr>
          <w:lang w:eastAsia="cs-CZ" w:bidi="ar-SA"/>
        </w:rPr>
      </w:pPr>
      <w:r w:rsidRPr="00EC3ED8">
        <w:rPr>
          <w:lang w:eastAsia="cs-CZ" w:bidi="ar-SA"/>
        </w:rPr>
        <w:t xml:space="preserve">(2) Uživatel pozemku v zahrádkových nebo chatových osadách je oprávněn podat žádost podle odstavce 1 nejpozději do 31. prosince 2018. </w:t>
      </w:r>
    </w:p>
    <w:p w:rsidR="00EC3ED8" w:rsidRDefault="00EC3ED8" w:rsidP="00EC3ED8">
      <w:pPr>
        <w:rPr>
          <w:lang w:eastAsia="cs-CZ" w:bidi="ar-SA"/>
        </w:rPr>
      </w:pPr>
    </w:p>
    <w:p w:rsidR="00EC3ED8" w:rsidRPr="00EC3ED8" w:rsidRDefault="00EC3ED8" w:rsidP="00EC3ED8">
      <w:pPr>
        <w:jc w:val="center"/>
        <w:rPr>
          <w:lang w:eastAsia="cs-CZ" w:bidi="ar-SA"/>
        </w:rPr>
      </w:pPr>
      <w:r w:rsidRPr="00EC3ED8">
        <w:rPr>
          <w:lang w:eastAsia="cs-CZ" w:bidi="ar-SA"/>
        </w:rPr>
        <w:t>§ 10c</w:t>
      </w:r>
    </w:p>
    <w:p w:rsidR="00EC3ED8" w:rsidRPr="00EC3ED8" w:rsidRDefault="00EC3ED8" w:rsidP="00EC3ED8">
      <w:pPr>
        <w:jc w:val="center"/>
        <w:rPr>
          <w:b/>
          <w:lang w:eastAsia="cs-CZ" w:bidi="ar-SA"/>
        </w:rPr>
      </w:pPr>
      <w:r w:rsidRPr="00EC3ED8">
        <w:rPr>
          <w:b/>
          <w:lang w:eastAsia="cs-CZ" w:bidi="ar-SA"/>
        </w:rPr>
        <w:t>Převod zemědělských pozemků při souběhu žádostí</w:t>
      </w:r>
    </w:p>
    <w:p w:rsidR="00EC3ED8" w:rsidRPr="00EC3ED8" w:rsidRDefault="00EC3ED8" w:rsidP="00EC3ED8">
      <w:pPr>
        <w:rPr>
          <w:lang w:eastAsia="cs-CZ" w:bidi="ar-SA"/>
        </w:rPr>
      </w:pPr>
    </w:p>
    <w:p w:rsidR="00EC3ED8" w:rsidRPr="00EC3ED8" w:rsidRDefault="00EC3ED8" w:rsidP="00EC3ED8">
      <w:pPr>
        <w:ind w:firstLine="720"/>
        <w:jc w:val="both"/>
        <w:rPr>
          <w:lang w:eastAsia="cs-CZ" w:bidi="ar-SA"/>
        </w:rPr>
      </w:pPr>
      <w:r w:rsidRPr="00EC3ED8">
        <w:rPr>
          <w:lang w:eastAsia="cs-CZ" w:bidi="ar-SA"/>
        </w:rPr>
        <w:t>Pokud o převod zemědělského pozemku požádají současně osoby uvedené v § 10 odst. 1 až 5, v § 10a nebo v § 10b, uspokojí se nejprve žadatel podle § 10b a poté postupně žadatel § 10 odst. 3 a 4, žadatel podle § 10 odst. 5, žadatel podle § 10a a nakonec obec nebo kraj.“.</w:t>
      </w:r>
    </w:p>
    <w:p w:rsidR="00EC3ED8" w:rsidRDefault="00EC3ED8" w:rsidP="00EC3ED8">
      <w:pPr>
        <w:rPr>
          <w:lang w:eastAsia="cs-CZ" w:bidi="ar-SA"/>
        </w:rPr>
      </w:pPr>
    </w:p>
    <w:p w:rsidR="00EC3ED8" w:rsidRPr="00EC3ED8" w:rsidRDefault="00EC3ED8" w:rsidP="00EC3ED8">
      <w:pPr>
        <w:rPr>
          <w:lang w:eastAsia="cs-CZ" w:bidi="ar-SA"/>
        </w:rPr>
      </w:pPr>
    </w:p>
    <w:p w:rsidR="00EC3ED8" w:rsidRPr="00EC3ED8" w:rsidRDefault="00CD33F1" w:rsidP="00EC3ED8">
      <w:pPr>
        <w:rPr>
          <w:b/>
          <w:lang w:eastAsia="cs-CZ" w:bidi="ar-SA"/>
        </w:rPr>
      </w:pPr>
      <w:r>
        <w:rPr>
          <w:b/>
          <w:lang w:eastAsia="cs-CZ" w:bidi="ar-SA"/>
        </w:rPr>
        <w:t>C2</w:t>
      </w:r>
      <w:r>
        <w:rPr>
          <w:b/>
          <w:lang w:eastAsia="cs-CZ" w:bidi="ar-SA"/>
        </w:rPr>
        <w:tab/>
      </w:r>
      <w:r w:rsidR="00C47D8A">
        <w:rPr>
          <w:b/>
          <w:lang w:eastAsia="cs-CZ" w:bidi="ar-SA"/>
        </w:rPr>
        <w:t xml:space="preserve">SD </w:t>
      </w:r>
      <w:r w:rsidR="00EC3ED8" w:rsidRPr="00EC3ED8">
        <w:rPr>
          <w:b/>
          <w:lang w:eastAsia="cs-CZ" w:bidi="ar-SA"/>
        </w:rPr>
        <w:t>3588</w:t>
      </w:r>
    </w:p>
    <w:p w:rsidR="00EC3ED8" w:rsidRPr="00EC3ED8" w:rsidRDefault="00EC3ED8" w:rsidP="00EC3ED8">
      <w:pPr>
        <w:rPr>
          <w:color w:val="00000A"/>
          <w:lang w:eastAsia="cs-CZ" w:bidi="ar-SA"/>
        </w:rPr>
      </w:pPr>
      <w:r w:rsidRPr="00EC3ED8">
        <w:rPr>
          <w:color w:val="00000A"/>
          <w:lang w:eastAsia="cs-CZ" w:bidi="ar-SA"/>
        </w:rPr>
        <w:t>Za část čtvrtou se vkládá nová část pátá, která včetně nadpisu zní:</w:t>
      </w:r>
    </w:p>
    <w:p w:rsidR="00EC3ED8" w:rsidRPr="00EC3ED8" w:rsidRDefault="00EC3ED8" w:rsidP="00EC3ED8">
      <w:pPr>
        <w:jc w:val="center"/>
        <w:rPr>
          <w:color w:val="00000A"/>
          <w:lang w:eastAsia="cs-CZ" w:bidi="ar-SA"/>
        </w:rPr>
      </w:pPr>
      <w:r w:rsidRPr="00EC3ED8">
        <w:rPr>
          <w:color w:val="00000A"/>
          <w:lang w:eastAsia="cs-CZ" w:bidi="ar-SA"/>
        </w:rPr>
        <w:t>„ČÁST PÁTÁ</w:t>
      </w:r>
    </w:p>
    <w:p w:rsidR="00EC3ED8" w:rsidRPr="00EC3ED8" w:rsidRDefault="00EC3ED8" w:rsidP="00EC3ED8">
      <w:pPr>
        <w:jc w:val="center"/>
        <w:rPr>
          <w:b/>
          <w:color w:val="00000A"/>
          <w:lang w:eastAsia="cs-CZ" w:bidi="ar-SA"/>
        </w:rPr>
      </w:pPr>
      <w:r w:rsidRPr="00EC3ED8">
        <w:rPr>
          <w:b/>
          <w:color w:val="00000A"/>
          <w:lang w:eastAsia="cs-CZ" w:bidi="ar-SA"/>
        </w:rPr>
        <w:t>Změna zákona o majetku České republiky a jejím vystupování v právních vztazích</w:t>
      </w:r>
    </w:p>
    <w:p w:rsidR="00EC3ED8" w:rsidRPr="00EC3ED8" w:rsidRDefault="00EC3ED8" w:rsidP="00EC3ED8">
      <w:pPr>
        <w:jc w:val="center"/>
        <w:rPr>
          <w:color w:val="00000A"/>
          <w:lang w:eastAsia="cs-CZ" w:bidi="ar-SA"/>
        </w:rPr>
      </w:pPr>
      <w:r w:rsidRPr="00EC3ED8">
        <w:rPr>
          <w:color w:val="00000A"/>
          <w:lang w:eastAsia="cs-CZ" w:bidi="ar-SA"/>
        </w:rPr>
        <w:t>Čl. IX</w:t>
      </w:r>
    </w:p>
    <w:p w:rsidR="00EC3ED8" w:rsidRPr="00EC3ED8" w:rsidRDefault="00EC3ED8" w:rsidP="00EC3ED8">
      <w:pPr>
        <w:rPr>
          <w:color w:val="00000A"/>
          <w:lang w:eastAsia="cs-CZ" w:bidi="ar-SA"/>
        </w:rPr>
      </w:pPr>
    </w:p>
    <w:p w:rsidR="00EC3ED8" w:rsidRPr="00EC3ED8" w:rsidRDefault="00EC3ED8" w:rsidP="00EC3ED8">
      <w:pPr>
        <w:ind w:firstLine="720"/>
        <w:jc w:val="both"/>
        <w:rPr>
          <w:color w:val="00000A"/>
          <w:lang w:eastAsia="cs-CZ" w:bidi="ar-SA"/>
        </w:rPr>
      </w:pPr>
      <w:r w:rsidRPr="00EC3ED8">
        <w:rPr>
          <w:color w:val="00000A"/>
          <w:lang w:eastAsia="cs-CZ" w:bidi="ar-SA"/>
        </w:rPr>
        <w:t>V § 19b zákona č. 219/2000 Sb., o majetku České republiky a jejím vystupování v právních vztazích, odstavec 6 zní:</w:t>
      </w:r>
    </w:p>
    <w:p w:rsidR="00EC3ED8" w:rsidRPr="00EC3ED8" w:rsidRDefault="00EC3ED8" w:rsidP="00EC3ED8">
      <w:pPr>
        <w:rPr>
          <w:color w:val="00000A"/>
          <w:lang w:eastAsia="cs-CZ" w:bidi="ar-SA"/>
        </w:rPr>
      </w:pPr>
    </w:p>
    <w:p w:rsidR="00EC3ED8" w:rsidRPr="00EC3ED8" w:rsidRDefault="00EC3ED8" w:rsidP="00EC3ED8">
      <w:pPr>
        <w:ind w:firstLine="720"/>
        <w:jc w:val="both"/>
        <w:rPr>
          <w:color w:val="00000A"/>
          <w:lang w:eastAsia="cs-CZ" w:bidi="ar-SA"/>
        </w:rPr>
      </w:pPr>
      <w:r w:rsidRPr="00EC3ED8">
        <w:rPr>
          <w:color w:val="00000A"/>
          <w:lang w:eastAsia="cs-CZ" w:bidi="ar-SA"/>
        </w:rPr>
        <w:t xml:space="preserve">„(6) Odstavec 1 se nevztahuje na nakládání s majetkem v příslušnosti hospodaření pro Státní pozemkový úřad s výjimkou nakládání s majetkem evidovaným v centrálním registru administrativních budov.“.“. </w:t>
      </w:r>
    </w:p>
    <w:p w:rsidR="00EC3ED8" w:rsidRPr="00EC3ED8" w:rsidRDefault="00EC3ED8" w:rsidP="00EC3ED8">
      <w:pPr>
        <w:spacing w:before="120"/>
        <w:rPr>
          <w:color w:val="00000A"/>
          <w:lang w:eastAsia="cs-CZ" w:bidi="ar-SA"/>
        </w:rPr>
      </w:pPr>
      <w:r w:rsidRPr="00EC3ED8">
        <w:rPr>
          <w:color w:val="00000A"/>
          <w:lang w:eastAsia="cs-CZ" w:bidi="ar-SA"/>
        </w:rPr>
        <w:t>Dosavadní část pátá se označuje jako část šestá a článek IX se označuje jako článek X.</w:t>
      </w:r>
    </w:p>
    <w:p w:rsidR="00EC3ED8" w:rsidRDefault="00EC3ED8" w:rsidP="00EC3ED8">
      <w:pPr>
        <w:rPr>
          <w:color w:val="00000A"/>
          <w:lang w:eastAsia="cs-CZ" w:bidi="ar-SA"/>
        </w:rPr>
      </w:pPr>
    </w:p>
    <w:p w:rsidR="00C47D8A" w:rsidRPr="00C47D8A" w:rsidRDefault="00C47D8A" w:rsidP="00EC3ED8">
      <w:pPr>
        <w:rPr>
          <w:color w:val="000000"/>
          <w:lang w:eastAsia="cs-CZ" w:bidi="ar-SA"/>
        </w:rPr>
      </w:pPr>
    </w:p>
    <w:p w:rsidR="00556F0D" w:rsidRPr="00C47D8A" w:rsidRDefault="00CD33F1" w:rsidP="00EC3ED8">
      <w:pPr>
        <w:rPr>
          <w:b/>
          <w:color w:val="000000"/>
          <w:lang w:eastAsia="cs-CZ" w:bidi="ar-SA"/>
        </w:rPr>
      </w:pPr>
      <w:r>
        <w:rPr>
          <w:b/>
          <w:color w:val="000000"/>
          <w:lang w:eastAsia="cs-CZ" w:bidi="ar-SA"/>
        </w:rPr>
        <w:t>C3</w:t>
      </w:r>
      <w:r>
        <w:rPr>
          <w:b/>
          <w:color w:val="000000"/>
          <w:lang w:eastAsia="cs-CZ" w:bidi="ar-SA"/>
        </w:rPr>
        <w:tab/>
      </w:r>
      <w:r w:rsidR="00C47D8A" w:rsidRPr="00C47D8A">
        <w:rPr>
          <w:b/>
          <w:color w:val="000000"/>
          <w:lang w:eastAsia="cs-CZ" w:bidi="ar-SA"/>
        </w:rPr>
        <w:t>SD 3825</w:t>
      </w:r>
    </w:p>
    <w:p w:rsidR="00C47D8A" w:rsidRDefault="00C47D8A" w:rsidP="00C47D8A">
      <w:pPr>
        <w:rPr>
          <w:u w:val="single"/>
        </w:rPr>
      </w:pPr>
      <w:r>
        <w:t>Za část pátou se vkládá nová část šestá, která včetně nadpisu zní:</w:t>
      </w:r>
    </w:p>
    <w:p w:rsidR="00C47D8A" w:rsidRDefault="00C47D8A" w:rsidP="00C47D8A">
      <w:pPr>
        <w:jc w:val="center"/>
      </w:pPr>
      <w:r>
        <w:rPr>
          <w:rFonts w:eastAsia="Arial"/>
        </w:rPr>
        <w:t>„</w:t>
      </w:r>
      <w:r>
        <w:t>ČÁST ŠESTÁ</w:t>
      </w:r>
    </w:p>
    <w:p w:rsidR="00C47D8A" w:rsidRPr="00C47D8A" w:rsidRDefault="00C47D8A" w:rsidP="00C47D8A">
      <w:pPr>
        <w:jc w:val="center"/>
        <w:rPr>
          <w:b/>
        </w:rPr>
      </w:pPr>
      <w:r w:rsidRPr="00C47D8A">
        <w:rPr>
          <w:b/>
        </w:rPr>
        <w:t>Změna vodního zákona</w:t>
      </w:r>
    </w:p>
    <w:p w:rsidR="00C47D8A" w:rsidRDefault="00C47D8A" w:rsidP="00C47D8A">
      <w:pPr>
        <w:jc w:val="center"/>
        <w:rPr>
          <w:u w:val="single"/>
        </w:rPr>
      </w:pPr>
      <w:r>
        <w:t>Čl. X</w:t>
      </w:r>
    </w:p>
    <w:p w:rsidR="00C47D8A" w:rsidRDefault="00C47D8A" w:rsidP="00C47D8A">
      <w:pPr>
        <w:rPr>
          <w:u w:val="single"/>
        </w:rPr>
      </w:pPr>
    </w:p>
    <w:p w:rsidR="00C47D8A" w:rsidRDefault="00C47D8A" w:rsidP="00C47D8A">
      <w:pPr>
        <w:ind w:firstLine="708"/>
        <w:jc w:val="both"/>
        <w:rPr>
          <w:u w:val="single"/>
        </w:rPr>
      </w:pPr>
      <w:r>
        <w:t>Zákon č. 254/2001 Sb., o vodách a o změně některých zákonů (vodní zákon), ve znění zákona č. 76/2002 Sb., zákona č. 320/2002 Sb., zákona č. 274/2003 Sb., zákona č. 20/2004 Sb., zákona č. 413/2005 Sb., zákona č. 444/2005 Sb., zákona č. 186/2006 Sb., zákona č. 222/2006 Sb., zákona č. 342/2006 Sb., zákona č. 25/2008 Sb., zákona č. 167/2008 Sb., zákona č. 181/2008 Sb., zákona č. 157/2009 Sb., zákona č. 227/2009 Sb., zákona č. 281/2009 Sb., zákona č. 150/2010 Sb., zákona č. 77/2011 Sb., zákona č. 151/2011 Sb., zákona č. 85/2012 Sb., zákona č. 350/2012 Sb., zákona č. 501/2012 Sb., zákona č. 275/2013 Sb., zákona č. 303/2013 Sb., zákona č. 61/2014 Sb., zákona č. 64/2014 Sb., zákona č. 187/2014 Sb. a zákona č. 39/2015 Sb., se mění takto:</w:t>
      </w:r>
    </w:p>
    <w:p w:rsidR="00C47D8A" w:rsidRDefault="00C47D8A" w:rsidP="00C47D8A">
      <w:pPr>
        <w:rPr>
          <w:u w:val="single"/>
        </w:rPr>
      </w:pPr>
    </w:p>
    <w:p w:rsidR="00C47D8A" w:rsidRPr="00C47D8A" w:rsidRDefault="00C47D8A" w:rsidP="008420C0">
      <w:pPr>
        <w:tabs>
          <w:tab w:val="left" w:pos="567"/>
        </w:tabs>
        <w:ind w:left="567" w:hanging="567"/>
        <w:jc w:val="both"/>
        <w:rPr>
          <w:rFonts w:cs="Arial"/>
        </w:rPr>
      </w:pPr>
      <w:r w:rsidRPr="00C47D8A">
        <w:rPr>
          <w:rFonts w:cs="Arial"/>
        </w:rPr>
        <w:t xml:space="preserve">1. </w:t>
      </w:r>
      <w:r w:rsidRPr="00C47D8A">
        <w:rPr>
          <w:rFonts w:cs="Arial"/>
        </w:rPr>
        <w:tab/>
        <w:t xml:space="preserve">V § 50 písm. c) se </w:t>
      </w:r>
      <w:proofErr w:type="gramStart"/>
      <w:r w:rsidRPr="00C47D8A">
        <w:rPr>
          <w:rFonts w:cs="Arial"/>
        </w:rPr>
        <w:t>slova „</w:t>
      </w:r>
      <w:r>
        <w:rPr>
          <w:rFonts w:cs="Arial"/>
        </w:rPr>
        <w:t xml:space="preserve"> </w:t>
      </w:r>
      <w:r w:rsidRPr="00C47D8A">
        <w:rPr>
          <w:rFonts w:cs="Arial"/>
        </w:rPr>
        <w:t>, vybudovaná</w:t>
      </w:r>
      <w:proofErr w:type="gramEnd"/>
      <w:r w:rsidRPr="00C47D8A">
        <w:rPr>
          <w:rFonts w:cs="Arial"/>
        </w:rPr>
        <w:t xml:space="preserve"> před účinností tohoto zákona,“ nahrazují slovy „podle ustanovení § 59a,“.</w:t>
      </w:r>
    </w:p>
    <w:p w:rsidR="00C47D8A" w:rsidRPr="00C47D8A" w:rsidRDefault="00C47D8A" w:rsidP="00C47D8A">
      <w:pPr>
        <w:rPr>
          <w:rFonts w:cs="Arial"/>
        </w:rPr>
      </w:pPr>
    </w:p>
    <w:p w:rsidR="00C47D8A" w:rsidRPr="00C47D8A" w:rsidRDefault="00C47D8A" w:rsidP="00C47D8A">
      <w:pPr>
        <w:tabs>
          <w:tab w:val="left" w:pos="567"/>
        </w:tabs>
        <w:jc w:val="both"/>
        <w:rPr>
          <w:rFonts w:cs="Arial"/>
        </w:rPr>
      </w:pPr>
      <w:r w:rsidRPr="00C47D8A">
        <w:rPr>
          <w:rFonts w:cs="Arial"/>
        </w:rPr>
        <w:t xml:space="preserve">2. </w:t>
      </w:r>
      <w:r w:rsidRPr="00C47D8A">
        <w:rPr>
          <w:rFonts w:cs="Arial"/>
        </w:rPr>
        <w:tab/>
        <w:t>V § 55 se za odstavec 1 vkládá nový odstavec 2, který zní:</w:t>
      </w:r>
    </w:p>
    <w:p w:rsidR="00C47D8A" w:rsidRPr="00C47D8A" w:rsidRDefault="00C47D8A" w:rsidP="00C47D8A">
      <w:pPr>
        <w:ind w:left="567"/>
        <w:jc w:val="both"/>
        <w:rPr>
          <w:rFonts w:cs="Arial"/>
        </w:rPr>
      </w:pPr>
      <w:r w:rsidRPr="00C47D8A">
        <w:rPr>
          <w:rFonts w:cs="Arial"/>
        </w:rPr>
        <w:t>„(2) Vodní dílo není součástí pozemku, na němž se toto vodní dílo nachází.“.</w:t>
      </w:r>
    </w:p>
    <w:p w:rsidR="00C47D8A" w:rsidRPr="00C47D8A" w:rsidRDefault="00C47D8A" w:rsidP="00C47D8A">
      <w:pPr>
        <w:spacing w:before="120"/>
        <w:jc w:val="both"/>
        <w:rPr>
          <w:rFonts w:cs="Arial"/>
        </w:rPr>
      </w:pPr>
      <w:r w:rsidRPr="00C47D8A">
        <w:rPr>
          <w:rFonts w:cs="Arial"/>
        </w:rPr>
        <w:t>Dosavadní odstavce 2 až 4 se označují jako odstavce 3 až 5.</w:t>
      </w:r>
    </w:p>
    <w:p w:rsidR="00C47D8A" w:rsidRDefault="00C47D8A" w:rsidP="00C47D8A">
      <w:pPr>
        <w:rPr>
          <w:rFonts w:cs="Arial"/>
        </w:rPr>
      </w:pPr>
    </w:p>
    <w:p w:rsidR="0080530D" w:rsidRDefault="0080530D" w:rsidP="00C47D8A">
      <w:pPr>
        <w:rPr>
          <w:rFonts w:cs="Arial"/>
        </w:rPr>
      </w:pPr>
    </w:p>
    <w:p w:rsidR="0080530D" w:rsidRPr="00C47D8A" w:rsidRDefault="0080530D" w:rsidP="00C47D8A">
      <w:pPr>
        <w:rPr>
          <w:rFonts w:cs="Arial"/>
        </w:rPr>
      </w:pPr>
    </w:p>
    <w:p w:rsidR="00C47D8A" w:rsidRPr="00C47D8A" w:rsidRDefault="00C47D8A" w:rsidP="00C47D8A">
      <w:pPr>
        <w:tabs>
          <w:tab w:val="left" w:pos="567"/>
        </w:tabs>
        <w:rPr>
          <w:rFonts w:cs="Arial"/>
        </w:rPr>
      </w:pPr>
      <w:r w:rsidRPr="00C47D8A">
        <w:rPr>
          <w:rFonts w:cs="Arial"/>
        </w:rPr>
        <w:lastRenderedPageBreak/>
        <w:t xml:space="preserve">3. </w:t>
      </w:r>
      <w:r w:rsidRPr="00C47D8A">
        <w:rPr>
          <w:rFonts w:cs="Arial"/>
        </w:rPr>
        <w:tab/>
        <w:t>§ 59a zní:</w:t>
      </w:r>
    </w:p>
    <w:p w:rsidR="00C47D8A" w:rsidRPr="00C47D8A" w:rsidRDefault="00C47D8A" w:rsidP="00C47D8A">
      <w:pPr>
        <w:jc w:val="center"/>
        <w:rPr>
          <w:rFonts w:cs="Arial"/>
        </w:rPr>
      </w:pPr>
      <w:r w:rsidRPr="00C47D8A">
        <w:rPr>
          <w:rFonts w:cs="Arial"/>
        </w:rPr>
        <w:t>„§ 59a</w:t>
      </w:r>
    </w:p>
    <w:p w:rsidR="00C47D8A" w:rsidRPr="00C47D8A" w:rsidRDefault="00C47D8A" w:rsidP="00C47D8A">
      <w:pPr>
        <w:jc w:val="center"/>
        <w:rPr>
          <w:rFonts w:cs="Arial"/>
          <w:b/>
        </w:rPr>
      </w:pPr>
      <w:r w:rsidRPr="00C47D8A">
        <w:rPr>
          <w:rFonts w:cs="Arial"/>
          <w:b/>
        </w:rPr>
        <w:t>Povinnost vlastníků pozemků, na nichž se nachází vodní díla</w:t>
      </w:r>
    </w:p>
    <w:p w:rsidR="00C47D8A" w:rsidRPr="00C47D8A" w:rsidRDefault="00C47D8A" w:rsidP="00C47D8A">
      <w:pPr>
        <w:rPr>
          <w:rFonts w:cs="Arial"/>
        </w:rPr>
      </w:pPr>
    </w:p>
    <w:p w:rsidR="00C47D8A" w:rsidRPr="00C47D8A" w:rsidRDefault="00C47D8A" w:rsidP="00C47D8A">
      <w:pPr>
        <w:jc w:val="both"/>
        <w:rPr>
          <w:rFonts w:cs="Arial"/>
        </w:rPr>
      </w:pPr>
      <w:r w:rsidRPr="00C47D8A">
        <w:rPr>
          <w:rFonts w:cs="Arial"/>
        </w:rPr>
        <w:tab/>
        <w:t xml:space="preserve">(1) Vlastník pozemku je povinen strpět na svém pozemku vodní dílo vybudované před 1. lednem 2002 a jeho užívání. </w:t>
      </w:r>
    </w:p>
    <w:p w:rsidR="00C47D8A" w:rsidRPr="00C47D8A" w:rsidRDefault="00C47D8A" w:rsidP="00C47D8A">
      <w:pPr>
        <w:spacing w:before="120"/>
        <w:jc w:val="both"/>
        <w:rPr>
          <w:rFonts w:cs="Arial"/>
        </w:rPr>
      </w:pPr>
      <w:r w:rsidRPr="00C47D8A">
        <w:rPr>
          <w:rFonts w:cs="Arial"/>
        </w:rPr>
        <w:tab/>
        <w:t>(2) Vlastníku pozemku náleží za strpění vodního díla podle odstavce 1 náhrada, která se, nedohodnou-li se strany jinak, v případě vodních děl užívaných pro chov ryb za účelem podnikání nebo k využití energetického potenciálu vod stanoví ve výši obvyklého nájemného. V ostatních případech náleží vlastníku pozemku jednorázová náhrada ve výši náhrady za zřízení věcného břemene stanovené zvláštním právním předpisem se zohledněním míry omezení. Při stanovení výše náhrady se vychází z obvyklého nájemného za zemědělskou půdu.</w:t>
      </w:r>
    </w:p>
    <w:p w:rsidR="00C47D8A" w:rsidRPr="00C47D8A" w:rsidRDefault="00C47D8A" w:rsidP="00C47D8A">
      <w:pPr>
        <w:spacing w:before="120"/>
        <w:jc w:val="both"/>
        <w:rPr>
          <w:rFonts w:cs="Arial"/>
        </w:rPr>
      </w:pPr>
      <w:r w:rsidRPr="00C47D8A">
        <w:rPr>
          <w:rFonts w:cs="Arial"/>
        </w:rPr>
        <w:tab/>
        <w:t>(3) Náhradu podle odstavce 2 vyplácí vlastník vodního díla.</w:t>
      </w:r>
    </w:p>
    <w:p w:rsidR="00C47D8A" w:rsidRPr="00C47D8A" w:rsidRDefault="00C47D8A" w:rsidP="00C47D8A">
      <w:pPr>
        <w:spacing w:before="120"/>
        <w:rPr>
          <w:rFonts w:cs="Arial"/>
        </w:rPr>
      </w:pPr>
      <w:r w:rsidRPr="00C47D8A">
        <w:rPr>
          <w:rFonts w:cs="Arial"/>
        </w:rPr>
        <w:tab/>
        <w:t>(4) Vyplacení náhrady se zapíše do veřejného seznamu vedeného podle zvláštního právního předpisu.“</w:t>
      </w:r>
      <w:r w:rsidR="0080530D">
        <w:rPr>
          <w:rFonts w:cs="Arial"/>
        </w:rPr>
        <w:t>.</w:t>
      </w:r>
    </w:p>
    <w:p w:rsidR="00C47D8A" w:rsidRDefault="00C47D8A" w:rsidP="00C47D8A">
      <w:pPr>
        <w:jc w:val="center"/>
        <w:rPr>
          <w:rFonts w:cs="Arial"/>
        </w:rPr>
      </w:pPr>
    </w:p>
    <w:p w:rsidR="00C47D8A" w:rsidRDefault="00C47D8A" w:rsidP="00C47D8A">
      <w:pPr>
        <w:rPr>
          <w:rFonts w:cs="Arial"/>
        </w:rPr>
      </w:pPr>
      <w:r>
        <w:t>Dosavadní část šestá se označí jako část sedmá a dosavadní čl. X. se označí jako čl. XI.“.</w:t>
      </w:r>
    </w:p>
    <w:p w:rsidR="00556F0D" w:rsidRDefault="00556F0D" w:rsidP="00EC3ED8">
      <w:pPr>
        <w:rPr>
          <w:color w:val="000000"/>
          <w:lang w:eastAsia="cs-CZ" w:bidi="ar-SA"/>
        </w:rPr>
      </w:pPr>
    </w:p>
    <w:p w:rsidR="00E16767" w:rsidRDefault="00E16767" w:rsidP="00EC3ED8">
      <w:pPr>
        <w:rPr>
          <w:color w:val="000000"/>
          <w:lang w:eastAsia="cs-CZ" w:bidi="ar-SA"/>
        </w:rPr>
      </w:pPr>
    </w:p>
    <w:p w:rsidR="001C64CA" w:rsidRDefault="001C64CA" w:rsidP="00EC3ED8">
      <w:pPr>
        <w:rPr>
          <w:color w:val="000000"/>
          <w:lang w:eastAsia="cs-CZ" w:bidi="ar-SA"/>
        </w:rPr>
      </w:pPr>
    </w:p>
    <w:p w:rsidR="001C64CA" w:rsidRDefault="001C64CA" w:rsidP="00EC3ED8">
      <w:pPr>
        <w:rPr>
          <w:color w:val="000000"/>
          <w:lang w:eastAsia="cs-CZ" w:bidi="ar-SA"/>
        </w:rPr>
      </w:pPr>
    </w:p>
    <w:p w:rsidR="001C64CA" w:rsidRPr="00EC3ED8" w:rsidRDefault="001C64CA" w:rsidP="00EC3ED8">
      <w:pPr>
        <w:rPr>
          <w:color w:val="000000"/>
          <w:lang w:eastAsia="cs-CZ" w:bidi="ar-SA"/>
        </w:rPr>
      </w:pPr>
    </w:p>
    <w:p w:rsidR="00EC3ED8" w:rsidRPr="0018354E" w:rsidRDefault="00EC3ED8" w:rsidP="00EC3ED8">
      <w:pPr>
        <w:jc w:val="center"/>
      </w:pPr>
      <w:r w:rsidRPr="0018354E">
        <w:t xml:space="preserve">V Praze </w:t>
      </w:r>
      <w:r w:rsidR="0080530D">
        <w:t>2.</w:t>
      </w:r>
      <w:r w:rsidRPr="0018354E">
        <w:t xml:space="preserve"> </w:t>
      </w:r>
      <w:r w:rsidR="00C47D8A">
        <w:t>března</w:t>
      </w:r>
      <w:r w:rsidRPr="0018354E">
        <w:t xml:space="preserve"> 201</w:t>
      </w:r>
      <w:r>
        <w:t>6</w:t>
      </w:r>
    </w:p>
    <w:p w:rsidR="00EC3ED8" w:rsidRPr="00E36B68" w:rsidRDefault="00EC3ED8" w:rsidP="00EC3ED8">
      <w:pPr>
        <w:jc w:val="center"/>
        <w:rPr>
          <w:i/>
        </w:rPr>
      </w:pPr>
    </w:p>
    <w:p w:rsidR="00EC3ED8" w:rsidRPr="0018354E" w:rsidRDefault="00EC3ED8" w:rsidP="00EC3ED8">
      <w:pPr>
        <w:pStyle w:val="western"/>
        <w:jc w:val="center"/>
        <w:rPr>
          <w:b w:val="0"/>
        </w:rPr>
      </w:pPr>
      <w:r w:rsidRPr="0018354E">
        <w:rPr>
          <w:b w:val="0"/>
        </w:rPr>
        <w:t>Ing. Petr</w:t>
      </w:r>
      <w:r>
        <w:rPr>
          <w:b w:val="0"/>
        </w:rPr>
        <w:t xml:space="preserve"> </w:t>
      </w:r>
      <w:r w:rsidRPr="0018354E">
        <w:rPr>
          <w:b w:val="0"/>
        </w:rPr>
        <w:t xml:space="preserve"> </w:t>
      </w:r>
      <w:r w:rsidRPr="00EC3ED8">
        <w:t>K u d e l a</w:t>
      </w:r>
      <w:r w:rsidR="005E6E19" w:rsidRPr="005E6E19">
        <w:rPr>
          <w:b w:val="0"/>
        </w:rPr>
        <w:t xml:space="preserve">, </w:t>
      </w:r>
      <w:proofErr w:type="gramStart"/>
      <w:r w:rsidR="005E6E19" w:rsidRPr="005E6E19">
        <w:rPr>
          <w:b w:val="0"/>
        </w:rPr>
        <w:t>v.r.</w:t>
      </w:r>
      <w:proofErr w:type="gramEnd"/>
      <w:r>
        <w:rPr>
          <w:b w:val="0"/>
        </w:rPr>
        <w:t xml:space="preserve"> </w:t>
      </w:r>
    </w:p>
    <w:p w:rsidR="00D80FB3" w:rsidRDefault="00EC3ED8" w:rsidP="00C47D8A">
      <w:pPr>
        <w:jc w:val="center"/>
      </w:pPr>
      <w:r w:rsidRPr="0018354E">
        <w:t xml:space="preserve">zpravodaj garančního zemědělského výboru </w:t>
      </w:r>
      <w:bookmarkStart w:id="0" w:name="_GoBack"/>
      <w:bookmarkEnd w:id="0"/>
    </w:p>
    <w:sectPr w:rsidR="00D80FB3" w:rsidSect="00EC3ED8">
      <w:headerReference w:type="default" r:id="rId8"/>
      <w:pgSz w:w="11906" w:h="16838"/>
      <w:pgMar w:top="1134" w:right="1134" w:bottom="1134" w:left="1134" w:header="397" w:footer="283"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ED8" w:rsidRDefault="00EC3ED8" w:rsidP="00EC3ED8">
      <w:r>
        <w:separator/>
      </w:r>
    </w:p>
  </w:endnote>
  <w:endnote w:type="continuationSeparator" w:id="0">
    <w:p w:rsidR="00EC3ED8" w:rsidRDefault="00EC3ED8" w:rsidP="00EC3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ED8" w:rsidRDefault="00EC3ED8" w:rsidP="00EC3ED8">
      <w:r>
        <w:separator/>
      </w:r>
    </w:p>
  </w:footnote>
  <w:footnote w:type="continuationSeparator" w:id="0">
    <w:p w:rsidR="00EC3ED8" w:rsidRDefault="00EC3ED8" w:rsidP="00EC3E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4346564"/>
      <w:docPartObj>
        <w:docPartGallery w:val="Page Numbers (Top of Page)"/>
        <w:docPartUnique/>
      </w:docPartObj>
    </w:sdtPr>
    <w:sdtEndPr/>
    <w:sdtContent>
      <w:p w:rsidR="00EC3ED8" w:rsidRDefault="00EC3ED8">
        <w:pPr>
          <w:pStyle w:val="Zhlav"/>
          <w:jc w:val="center"/>
        </w:pPr>
        <w:r>
          <w:fldChar w:fldCharType="begin"/>
        </w:r>
        <w:r>
          <w:instrText>PAGE   \* MERGEFORMAT</w:instrText>
        </w:r>
        <w:r>
          <w:fldChar w:fldCharType="separate"/>
        </w:r>
        <w:r w:rsidR="005E6E19">
          <w:rPr>
            <w:noProof/>
          </w:rPr>
          <w:t>5</w:t>
        </w:r>
        <w:r>
          <w:fldChar w:fldCharType="end"/>
        </w:r>
      </w:p>
    </w:sdtContent>
  </w:sdt>
  <w:p w:rsidR="00EC3ED8" w:rsidRDefault="00EC3ED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2">
    <w:nsid w:val="182A3F6C"/>
    <w:multiLevelType w:val="hybridMultilevel"/>
    <w:tmpl w:val="6EDEC3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215A3EDC"/>
    <w:multiLevelType w:val="hybridMultilevel"/>
    <w:tmpl w:val="D896987A"/>
    <w:lvl w:ilvl="0" w:tplc="0C3A792C">
      <w:start w:val="1"/>
      <w:numFmt w:val="upperLetter"/>
      <w:lvlText w:val="%1."/>
      <w:lvlJc w:val="left"/>
      <w:pPr>
        <w:ind w:left="720" w:hanging="360"/>
      </w:pPr>
      <w:rPr>
        <w:rFonts w:ascii="Arial" w:hAnsi="Arial" w:cs="Arial"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53C620DA"/>
    <w:multiLevelType w:val="hybridMultilevel"/>
    <w:tmpl w:val="8D14C532"/>
    <w:lvl w:ilvl="0" w:tplc="96469B54">
      <w:start w:val="1"/>
      <w:numFmt w:val="decimal"/>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nsid w:val="53D265E2"/>
    <w:multiLevelType w:val="multilevel"/>
    <w:tmpl w:val="CD2CA4FC"/>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5A4484"/>
    <w:multiLevelType w:val="multilevel"/>
    <w:tmpl w:val="61E65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97F7B0C"/>
    <w:multiLevelType w:val="multilevel"/>
    <w:tmpl w:val="AD0639EE"/>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7F1353DA"/>
    <w:multiLevelType w:val="hybridMultilevel"/>
    <w:tmpl w:val="9CB69FE4"/>
    <w:lvl w:ilvl="0" w:tplc="7ADE0534">
      <w:start w:val="1"/>
      <w:numFmt w:val="decimal"/>
      <w:lvlText w:val="%1."/>
      <w:lvlJc w:val="left"/>
      <w:pPr>
        <w:ind w:left="786" w:hanging="360"/>
      </w:pPr>
      <w:rPr>
        <w:b/>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abstractNumId w:val="7"/>
  </w:num>
  <w:num w:numId="2">
    <w:abstractNumId w:val="5"/>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FB3"/>
    <w:rsid w:val="001C64CA"/>
    <w:rsid w:val="00556F0D"/>
    <w:rsid w:val="005E6E19"/>
    <w:rsid w:val="0080530D"/>
    <w:rsid w:val="008420C0"/>
    <w:rsid w:val="0089338E"/>
    <w:rsid w:val="00A07A03"/>
    <w:rsid w:val="00C1627C"/>
    <w:rsid w:val="00C47D8A"/>
    <w:rsid w:val="00CD33F1"/>
    <w:rsid w:val="00D80FB3"/>
    <w:rsid w:val="00E16767"/>
    <w:rsid w:val="00EC3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BB2AA862-B398-4425-BC45-079E81784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style>
  <w:style w:type="paragraph" w:styleId="Nadpis1">
    <w:name w:val="heading 1"/>
    <w:basedOn w:val="Nadpis"/>
    <w:next w:val="Tlotextu"/>
    <w:pPr>
      <w:numPr>
        <w:numId w:val="1"/>
      </w:numPr>
      <w:outlineLvl w:val="0"/>
    </w:pPr>
    <w:rPr>
      <w:b/>
      <w:bCs/>
      <w:sz w:val="36"/>
      <w:szCs w:val="36"/>
    </w:rPr>
  </w:style>
  <w:style w:type="paragraph" w:styleId="Nadpis2">
    <w:name w:val="heading 2"/>
    <w:basedOn w:val="Nadpis"/>
    <w:next w:val="Tlotextu"/>
    <w:pPr>
      <w:numPr>
        <w:ilvl w:val="1"/>
        <w:numId w:val="1"/>
      </w:numPr>
      <w:spacing w:before="200"/>
      <w:outlineLvl w:val="1"/>
    </w:pPr>
    <w:rPr>
      <w:b/>
      <w:bCs/>
      <w:sz w:val="32"/>
      <w:szCs w:val="32"/>
    </w:rPr>
  </w:style>
  <w:style w:type="paragraph" w:styleId="Nadpis3">
    <w:name w:val="heading 3"/>
    <w:basedOn w:val="Nadpis"/>
    <w:next w:val="Tlotextu"/>
    <w:pPr>
      <w:numPr>
        <w:ilvl w:val="2"/>
        <w:numId w:val="1"/>
      </w:numPr>
      <w:spacing w:before="140"/>
      <w:outlineLvl w:val="2"/>
    </w:pPr>
    <w:rPr>
      <w:b/>
      <w:bCs/>
      <w:color w:val="808080"/>
    </w:rPr>
  </w:style>
  <w:style w:type="paragraph" w:styleId="Nadpis4">
    <w:name w:val="heading 4"/>
    <w:basedOn w:val="Normln"/>
    <w:next w:val="Normln"/>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Tlotextu"/>
    <w:pPr>
      <w:jc w:val="center"/>
    </w:pPr>
    <w:rPr>
      <w:b/>
      <w:bCs/>
      <w:sz w:val="56"/>
      <w:szCs w:val="56"/>
    </w:rPr>
  </w:style>
  <w:style w:type="paragraph" w:styleId="Podtitul">
    <w:name w:val="Subtitle"/>
    <w:basedOn w:val="Nadpis"/>
    <w:next w:val="Tlotextu"/>
    <w:pPr>
      <w:spacing w:before="60"/>
      <w:jc w:val="center"/>
    </w:pPr>
    <w:rPr>
      <w:sz w:val="36"/>
      <w:szCs w:val="36"/>
    </w:rPr>
  </w:style>
  <w:style w:type="paragraph" w:customStyle="1" w:styleId="Oznaenpozmn">
    <w:name w:val="Označení pozm.n."/>
    <w:basedOn w:val="Normln"/>
    <w:next w:val="Normln"/>
    <w:pPr>
      <w:numPr>
        <w:numId w:val="2"/>
      </w:numPr>
      <w:spacing w:after="120"/>
    </w:pPr>
    <w:rPr>
      <w:b/>
    </w:rPr>
  </w:style>
  <w:style w:type="paragraph" w:customStyle="1" w:styleId="Default">
    <w:name w:val="Default"/>
    <w:pPr>
      <w:widowControl w:val="0"/>
      <w:suppressAutoHyphens/>
    </w:pPr>
  </w:style>
  <w:style w:type="numbering" w:customStyle="1" w:styleId="WW8Num5">
    <w:name w:val="WW8Num5"/>
  </w:style>
  <w:style w:type="paragraph" w:styleId="Zkladntext">
    <w:name w:val="Body Text"/>
    <w:basedOn w:val="Normln"/>
    <w:link w:val="ZkladntextChar"/>
    <w:rsid w:val="00EC3ED8"/>
    <w:pPr>
      <w:spacing w:after="140" w:line="288" w:lineRule="auto"/>
    </w:pPr>
    <w:rPr>
      <w:kern w:val="1"/>
    </w:rPr>
  </w:style>
  <w:style w:type="character" w:customStyle="1" w:styleId="ZkladntextChar">
    <w:name w:val="Základní text Char"/>
    <w:basedOn w:val="Standardnpsmoodstavce"/>
    <w:link w:val="Zkladntext"/>
    <w:rsid w:val="00EC3ED8"/>
    <w:rPr>
      <w:kern w:val="1"/>
    </w:rPr>
  </w:style>
  <w:style w:type="paragraph" w:customStyle="1" w:styleId="PNposlanec">
    <w:name w:val="PN poslanec"/>
    <w:basedOn w:val="Oznaenpozmn"/>
    <w:link w:val="PNposlanecChar"/>
    <w:qFormat/>
    <w:rsid w:val="00EC3ED8"/>
    <w:rPr>
      <w:kern w:val="1"/>
    </w:rPr>
  </w:style>
  <w:style w:type="character" w:customStyle="1" w:styleId="PNposlanecChar">
    <w:name w:val="PN poslanec Char"/>
    <w:link w:val="PNposlanec"/>
    <w:rsid w:val="00EC3ED8"/>
    <w:rPr>
      <w:b/>
      <w:kern w:val="1"/>
    </w:rPr>
  </w:style>
  <w:style w:type="paragraph" w:customStyle="1" w:styleId="western">
    <w:name w:val="western"/>
    <w:basedOn w:val="Normln"/>
    <w:rsid w:val="00EC3ED8"/>
    <w:pPr>
      <w:widowControl/>
      <w:suppressAutoHyphens w:val="0"/>
      <w:spacing w:before="100" w:beforeAutospacing="1"/>
      <w:jc w:val="both"/>
    </w:pPr>
    <w:rPr>
      <w:rFonts w:eastAsia="Times New Roman" w:cs="Times New Roman"/>
      <w:b/>
      <w:bCs/>
      <w:color w:val="000000"/>
      <w:lang w:eastAsia="cs-CZ" w:bidi="ar-SA"/>
    </w:rPr>
  </w:style>
  <w:style w:type="paragraph" w:customStyle="1" w:styleId="PShlavika1">
    <w:name w:val="PS hlavička 1"/>
    <w:basedOn w:val="Normln"/>
    <w:rsid w:val="00EC3ED8"/>
    <w:pPr>
      <w:widowControl/>
      <w:suppressAutoHyphens w:val="0"/>
      <w:jc w:val="center"/>
    </w:pPr>
    <w:rPr>
      <w:rFonts w:eastAsia="Times New Roman" w:cs="Times New Roman"/>
      <w:b/>
      <w:i/>
      <w:lang w:eastAsia="cs-CZ" w:bidi="ar-SA"/>
    </w:rPr>
  </w:style>
  <w:style w:type="paragraph" w:styleId="Odstavecseseznamem">
    <w:name w:val="List Paragraph"/>
    <w:basedOn w:val="Normln"/>
    <w:uiPriority w:val="34"/>
    <w:qFormat/>
    <w:rsid w:val="00EC3ED8"/>
    <w:pPr>
      <w:widowControl/>
      <w:suppressAutoHyphens w:val="0"/>
      <w:ind w:left="720"/>
      <w:contextualSpacing/>
    </w:pPr>
    <w:rPr>
      <w:rFonts w:eastAsia="Times New Roman" w:cs="Times New Roman"/>
      <w:lang w:eastAsia="cs-CZ" w:bidi="ar-SA"/>
    </w:rPr>
  </w:style>
  <w:style w:type="paragraph" w:styleId="Zhlav">
    <w:name w:val="header"/>
    <w:basedOn w:val="Normln"/>
    <w:link w:val="ZhlavChar"/>
    <w:uiPriority w:val="99"/>
    <w:unhideWhenUsed/>
    <w:rsid w:val="00EC3ED8"/>
    <w:pPr>
      <w:tabs>
        <w:tab w:val="center" w:pos="4536"/>
        <w:tab w:val="right" w:pos="9072"/>
      </w:tabs>
    </w:pPr>
    <w:rPr>
      <w:szCs w:val="21"/>
    </w:rPr>
  </w:style>
  <w:style w:type="character" w:customStyle="1" w:styleId="ZhlavChar">
    <w:name w:val="Záhlaví Char"/>
    <w:basedOn w:val="Standardnpsmoodstavce"/>
    <w:link w:val="Zhlav"/>
    <w:uiPriority w:val="99"/>
    <w:rsid w:val="00EC3ED8"/>
    <w:rPr>
      <w:szCs w:val="21"/>
    </w:rPr>
  </w:style>
  <w:style w:type="paragraph" w:styleId="Zpat">
    <w:name w:val="footer"/>
    <w:basedOn w:val="Normln"/>
    <w:link w:val="ZpatChar"/>
    <w:uiPriority w:val="99"/>
    <w:unhideWhenUsed/>
    <w:rsid w:val="00EC3ED8"/>
    <w:pPr>
      <w:tabs>
        <w:tab w:val="center" w:pos="4536"/>
        <w:tab w:val="right" w:pos="9072"/>
      </w:tabs>
    </w:pPr>
    <w:rPr>
      <w:szCs w:val="21"/>
    </w:rPr>
  </w:style>
  <w:style w:type="character" w:customStyle="1" w:styleId="ZpatChar">
    <w:name w:val="Zápatí Char"/>
    <w:basedOn w:val="Standardnpsmoodstavce"/>
    <w:link w:val="Zpat"/>
    <w:uiPriority w:val="99"/>
    <w:rsid w:val="00EC3ED8"/>
    <w:rPr>
      <w:szCs w:val="21"/>
    </w:rPr>
  </w:style>
  <w:style w:type="paragraph" w:styleId="Normlnweb">
    <w:name w:val="Normal (Web)"/>
    <w:basedOn w:val="Normln"/>
    <w:uiPriority w:val="99"/>
    <w:semiHidden/>
    <w:unhideWhenUsed/>
    <w:rsid w:val="00EC3ED8"/>
    <w:pPr>
      <w:widowControl/>
      <w:suppressAutoHyphens w:val="0"/>
      <w:spacing w:before="100" w:beforeAutospacing="1" w:after="119"/>
    </w:pPr>
    <w:rPr>
      <w:rFonts w:eastAsia="Times New Roman" w:cs="Times New Roman"/>
      <w:lang w:eastAsia="cs-CZ" w:bidi="ar-SA"/>
    </w:rPr>
  </w:style>
  <w:style w:type="paragraph" w:customStyle="1" w:styleId="Odstavecseseznamem1">
    <w:name w:val="Odstavec se seznamem1"/>
    <w:basedOn w:val="Normln"/>
    <w:rsid w:val="00E16767"/>
    <w:pPr>
      <w:widowControl/>
      <w:spacing w:after="200" w:line="276" w:lineRule="auto"/>
      <w:ind w:left="720"/>
      <w:contextualSpacing/>
    </w:pPr>
    <w:rPr>
      <w:rFonts w:ascii="Calibri" w:hAnsi="Calibri" w:cs="Calibri"/>
      <w:kern w:val="1"/>
      <w:sz w:val="22"/>
      <w:szCs w:val="22"/>
      <w:lang w:eastAsia="en-US" w:bidi="ar-SA"/>
    </w:rPr>
  </w:style>
  <w:style w:type="paragraph" w:styleId="Textbubliny">
    <w:name w:val="Balloon Text"/>
    <w:basedOn w:val="Normln"/>
    <w:link w:val="TextbublinyChar"/>
    <w:uiPriority w:val="99"/>
    <w:semiHidden/>
    <w:unhideWhenUsed/>
    <w:rsid w:val="001C64CA"/>
    <w:rPr>
      <w:rFonts w:ascii="Segoe UI" w:hAnsi="Segoe UI"/>
      <w:sz w:val="18"/>
      <w:szCs w:val="16"/>
    </w:rPr>
  </w:style>
  <w:style w:type="character" w:customStyle="1" w:styleId="TextbublinyChar">
    <w:name w:val="Text bubliny Char"/>
    <w:basedOn w:val="Standardnpsmoodstavce"/>
    <w:link w:val="Textbubliny"/>
    <w:uiPriority w:val="99"/>
    <w:semiHidden/>
    <w:rsid w:val="001C64CA"/>
    <w:rPr>
      <w:rFonts w:ascii="Segoe UI"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126131">
      <w:bodyDiv w:val="1"/>
      <w:marLeft w:val="0"/>
      <w:marRight w:val="0"/>
      <w:marTop w:val="0"/>
      <w:marBottom w:val="0"/>
      <w:divBdr>
        <w:top w:val="none" w:sz="0" w:space="0" w:color="auto"/>
        <w:left w:val="none" w:sz="0" w:space="0" w:color="auto"/>
        <w:bottom w:val="none" w:sz="0" w:space="0" w:color="auto"/>
        <w:right w:val="none" w:sz="0" w:space="0" w:color="auto"/>
      </w:divBdr>
    </w:div>
    <w:div w:id="1177424968">
      <w:bodyDiv w:val="1"/>
      <w:marLeft w:val="0"/>
      <w:marRight w:val="0"/>
      <w:marTop w:val="0"/>
      <w:marBottom w:val="0"/>
      <w:divBdr>
        <w:top w:val="none" w:sz="0" w:space="0" w:color="auto"/>
        <w:left w:val="none" w:sz="0" w:space="0" w:color="auto"/>
        <w:bottom w:val="none" w:sz="0" w:space="0" w:color="auto"/>
        <w:right w:val="none" w:sz="0" w:space="0" w:color="auto"/>
      </w:divBdr>
    </w:div>
    <w:div w:id="1834448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B29E9-C638-4930-BBA6-9271A8E8A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2182</Words>
  <Characters>12879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PARLAMENT ČESKÉ REPUBLIKY</vt:lpstr>
    </vt:vector>
  </TitlesOfParts>
  <Company>Parlament CR</Company>
  <LinksUpToDate>false</LinksUpToDate>
  <CharactersWithSpaces>15031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Bartosova Marta</dc:creator>
  <cp:lastModifiedBy>Kvetonova Hana</cp:lastModifiedBy>
  <cp:revision>3</cp:revision>
  <cp:lastPrinted>2016-03-02T07:41:00Z</cp:lastPrinted>
  <dcterms:created xsi:type="dcterms:W3CDTF">2016-03-02T07:41:00Z</dcterms:created>
  <dcterms:modified xsi:type="dcterms:W3CDTF">2016-03-02T08:19:00Z</dcterms:modified>
  <dc:language>cs-CZ</dc:language>
</cp:coreProperties>
</file>