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F91" w:rsidRPr="000979C5" w:rsidRDefault="00C47F91" w:rsidP="00C47F91">
      <w:pPr>
        <w:pStyle w:val="ZKON"/>
        <w:rPr>
          <w:szCs w:val="24"/>
        </w:rPr>
      </w:pPr>
      <w:r w:rsidRPr="000979C5">
        <w:rPr>
          <w:szCs w:val="24"/>
        </w:rPr>
        <w:t>ZÁKON</w:t>
      </w:r>
    </w:p>
    <w:p w:rsidR="00C47F91" w:rsidRPr="000979C5" w:rsidRDefault="00C47F91" w:rsidP="00C47F91">
      <w:pPr>
        <w:pStyle w:val="nadpiszkona"/>
        <w:rPr>
          <w:b w:val="0"/>
          <w:szCs w:val="24"/>
        </w:rPr>
      </w:pPr>
      <w:r w:rsidRPr="000979C5">
        <w:rPr>
          <w:b w:val="0"/>
          <w:szCs w:val="24"/>
        </w:rPr>
        <w:t xml:space="preserve">ze dne </w:t>
      </w:r>
      <w:r w:rsidRPr="000979C5">
        <w:rPr>
          <w:b w:val="0"/>
          <w:bCs/>
          <w:szCs w:val="24"/>
        </w:rPr>
        <w:t>…………201</w:t>
      </w:r>
      <w:r w:rsidR="00466630">
        <w:rPr>
          <w:b w:val="0"/>
          <w:bCs/>
          <w:szCs w:val="24"/>
        </w:rPr>
        <w:t>6</w:t>
      </w:r>
      <w:r w:rsidRPr="000979C5">
        <w:rPr>
          <w:b w:val="0"/>
          <w:szCs w:val="24"/>
        </w:rPr>
        <w:t>,</w:t>
      </w:r>
    </w:p>
    <w:p w:rsidR="00C47F91" w:rsidRPr="000979C5" w:rsidRDefault="00C47F91" w:rsidP="00C47F91">
      <w:pPr>
        <w:pStyle w:val="nadpiszkona"/>
        <w:rPr>
          <w:szCs w:val="24"/>
        </w:rPr>
      </w:pPr>
      <w:r w:rsidRPr="000979C5">
        <w:rPr>
          <w:szCs w:val="24"/>
        </w:rPr>
        <w:t>kterým se mění zákon č. 22/1997 Sb., o technických požadavcích na výrobky a o změně a doplnění některých zákonů, ve znění pozdějších předpisů, a některé další zákony</w:t>
      </w:r>
    </w:p>
    <w:p w:rsidR="00C47F91" w:rsidRPr="000979C5" w:rsidRDefault="00C47F91" w:rsidP="00C47F91">
      <w:pPr>
        <w:pStyle w:val="ST"/>
        <w:rPr>
          <w:szCs w:val="24"/>
        </w:rPr>
      </w:pPr>
      <w:r w:rsidRPr="000979C5">
        <w:rPr>
          <w:szCs w:val="24"/>
        </w:rPr>
        <w:t>ČÁST PRVNÍ</w:t>
      </w:r>
    </w:p>
    <w:p w:rsidR="00C47F91" w:rsidRPr="000979C5" w:rsidRDefault="00C47F91" w:rsidP="00C47F91">
      <w:pPr>
        <w:pStyle w:val="NADPISSTI"/>
        <w:rPr>
          <w:szCs w:val="24"/>
        </w:rPr>
      </w:pPr>
      <w:r w:rsidRPr="000979C5">
        <w:rPr>
          <w:szCs w:val="24"/>
        </w:rPr>
        <w:t>Změna zákona o technických požadavcích na výrobky</w:t>
      </w:r>
    </w:p>
    <w:p w:rsidR="00C47F91" w:rsidRPr="000979C5" w:rsidRDefault="00C47F91" w:rsidP="00C47F91">
      <w:pPr>
        <w:pStyle w:val="lnek"/>
        <w:rPr>
          <w:szCs w:val="24"/>
        </w:rPr>
      </w:pPr>
      <w:r w:rsidRPr="000979C5">
        <w:rPr>
          <w:szCs w:val="24"/>
        </w:rPr>
        <w:t>Čl. I</w:t>
      </w:r>
    </w:p>
    <w:p w:rsidR="00C47F91" w:rsidRPr="000979C5" w:rsidRDefault="00C47F91" w:rsidP="00C47F91">
      <w:pPr>
        <w:pStyle w:val="Textlnku"/>
        <w:rPr>
          <w:szCs w:val="24"/>
        </w:rPr>
      </w:pPr>
      <w:r w:rsidRPr="000979C5">
        <w:rPr>
          <w:szCs w:val="24"/>
        </w:rPr>
        <w:t>Zákon č. 22/1997 Sb., o technických požadavcích na výrobky a o změně a doplnění některých zákonů, ve znění zákona č. 71/2000 Sb., zákona č. 102/2001 Sb., zákona č. 205/2002</w:t>
      </w:r>
      <w:r w:rsidR="00466630">
        <w:rPr>
          <w:szCs w:val="24"/>
        </w:rPr>
        <w:t> </w:t>
      </w:r>
      <w:r w:rsidRPr="000979C5">
        <w:rPr>
          <w:szCs w:val="24"/>
        </w:rPr>
        <w:t>Sb., zákona č. 226/2003 Sb., zákona č. 277/2003 Sb., zákona č. 186/2006 Sb., zákona č. 229/2006 Sb., zákona č. 481/2008 Sb., zákona č. 281/2009 Sb., zákona č. 490/2009</w:t>
      </w:r>
      <w:r w:rsidR="00466630">
        <w:rPr>
          <w:szCs w:val="24"/>
        </w:rPr>
        <w:t> </w:t>
      </w:r>
      <w:r w:rsidRPr="000979C5">
        <w:rPr>
          <w:szCs w:val="24"/>
        </w:rPr>
        <w:t>Sb., zákona č. 155/2010 Sb., zákona č. 34/2011 Sb.</w:t>
      </w:r>
      <w:r w:rsidR="004C7DAF">
        <w:rPr>
          <w:szCs w:val="24"/>
        </w:rPr>
        <w:t xml:space="preserve">, </w:t>
      </w:r>
      <w:r w:rsidRPr="000979C5">
        <w:rPr>
          <w:szCs w:val="24"/>
        </w:rPr>
        <w:t>zákona č. 100/2013 Sb. a zákona č. 64/2014 Sb., se mění takto: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V § 4 se za odstavec 1 vkládá nový odstavec 2, který zní:</w:t>
      </w:r>
    </w:p>
    <w:p w:rsidR="00C47F91" w:rsidRPr="000979C5" w:rsidRDefault="00C47F91" w:rsidP="00C47F91">
      <w:pPr>
        <w:pStyle w:val="Textlnku"/>
        <w:rPr>
          <w:szCs w:val="24"/>
        </w:rPr>
      </w:pPr>
      <w:r w:rsidRPr="000979C5">
        <w:rPr>
          <w:szCs w:val="24"/>
        </w:rPr>
        <w:t xml:space="preserve">„(2) Soustavu českých technických norem tvoří </w:t>
      </w:r>
    </w:p>
    <w:p w:rsidR="00C47F91" w:rsidRPr="000979C5" w:rsidRDefault="00C47F91" w:rsidP="00982382">
      <w:pPr>
        <w:pStyle w:val="Textpsmene"/>
      </w:pPr>
      <w:r w:rsidRPr="000979C5">
        <w:t>původní české technické normy,</w:t>
      </w:r>
    </w:p>
    <w:p w:rsidR="00C47F91" w:rsidRPr="000979C5" w:rsidRDefault="00C47F91" w:rsidP="00C47F91">
      <w:pPr>
        <w:pStyle w:val="Textpsmene"/>
        <w:rPr>
          <w:szCs w:val="24"/>
        </w:rPr>
      </w:pPr>
      <w:r w:rsidRPr="000979C5">
        <w:rPr>
          <w:szCs w:val="24"/>
        </w:rPr>
        <w:t>evropské či mezinárodní normy přejaté překladem a</w:t>
      </w:r>
    </w:p>
    <w:p w:rsidR="00C47F91" w:rsidRPr="000979C5" w:rsidRDefault="00C47F91" w:rsidP="00C47F91">
      <w:pPr>
        <w:pStyle w:val="Textpsmene"/>
        <w:rPr>
          <w:szCs w:val="24"/>
        </w:rPr>
      </w:pPr>
      <w:r w:rsidRPr="000979C5">
        <w:rPr>
          <w:szCs w:val="24"/>
        </w:rPr>
        <w:t>evropské či mezinárodní normy přejaté v původním jazyce nebo přejaté schválením k přímému používání.“.</w:t>
      </w:r>
    </w:p>
    <w:p w:rsidR="00C47F91" w:rsidRPr="000979C5" w:rsidRDefault="00C47F91" w:rsidP="00C47F91">
      <w:pPr>
        <w:spacing w:before="120" w:after="120" w:line="288" w:lineRule="auto"/>
        <w:rPr>
          <w:szCs w:val="24"/>
        </w:rPr>
      </w:pPr>
      <w:r w:rsidRPr="000979C5">
        <w:rPr>
          <w:szCs w:val="24"/>
        </w:rPr>
        <w:t>Dosavadní odstavce 2 a 3 se označují jako odstavce 3 a 4.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V § 7 odst. 7 se na konci písmene b) čárka nahrazuje tečkou a písmena c) až e) včetně poznámky pod čarou č. 11 se zrušují.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V § 11 se odstavec 7 zrušuje.</w:t>
      </w:r>
    </w:p>
    <w:p w:rsidR="00C47F91" w:rsidRPr="000979C5" w:rsidRDefault="00C47F91" w:rsidP="00C47F91">
      <w:pPr>
        <w:spacing w:before="120"/>
        <w:rPr>
          <w:szCs w:val="24"/>
        </w:rPr>
      </w:pPr>
      <w:r w:rsidRPr="000979C5">
        <w:rPr>
          <w:szCs w:val="24"/>
        </w:rPr>
        <w:t>Dosavadní odstavce 8 až 10 se označují jako odstavce 7 až 9.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V § 11 se doplňuje odstavec 10, který včetně poznámky pod čarou č. 17 zní:</w:t>
      </w:r>
    </w:p>
    <w:p w:rsidR="00C47F91" w:rsidRPr="000979C5" w:rsidRDefault="00C47F91" w:rsidP="00C47F91">
      <w:pPr>
        <w:pStyle w:val="Textlnku"/>
        <w:rPr>
          <w:rFonts w:eastAsia="Calibri"/>
          <w:szCs w:val="24"/>
          <w:lang w:eastAsia="en-US"/>
        </w:rPr>
      </w:pPr>
      <w:r w:rsidRPr="000979C5">
        <w:rPr>
          <w:rFonts w:eastAsia="Calibri"/>
          <w:szCs w:val="24"/>
          <w:lang w:eastAsia="en-US"/>
        </w:rPr>
        <w:t>„(10) Vztahuje-li se autorizace k činnostem podle přímo použitelného předpisu Evropské unie v oblasti zdravotnických prostředků</w:t>
      </w:r>
      <w:r w:rsidRPr="000979C5">
        <w:rPr>
          <w:rFonts w:eastAsia="Calibri"/>
          <w:szCs w:val="24"/>
          <w:vertAlign w:val="superscript"/>
          <w:lang w:eastAsia="en-US"/>
        </w:rPr>
        <w:t>17)</w:t>
      </w:r>
      <w:r w:rsidRPr="000979C5">
        <w:rPr>
          <w:rFonts w:eastAsia="Calibri"/>
          <w:szCs w:val="24"/>
          <w:lang w:eastAsia="en-US"/>
        </w:rPr>
        <w:t>, ustanovení odstavců 1 až 9 se použije, pokud tento přímo použitelný předpis nestanoví jinak.</w:t>
      </w:r>
    </w:p>
    <w:p w:rsidR="00C47F91" w:rsidRPr="00976CF5" w:rsidRDefault="00C47F91" w:rsidP="00C47F91">
      <w:pPr>
        <w:spacing w:before="120"/>
        <w:rPr>
          <w:rFonts w:eastAsia="Calibri"/>
          <w:szCs w:val="24"/>
          <w:lang w:eastAsia="en-US"/>
        </w:rPr>
      </w:pPr>
      <w:r w:rsidRPr="00976CF5">
        <w:rPr>
          <w:rFonts w:eastAsia="Calibri"/>
          <w:szCs w:val="24"/>
          <w:lang w:eastAsia="en-US"/>
        </w:rPr>
        <w:t>______________</w:t>
      </w:r>
    </w:p>
    <w:p w:rsidR="00C47F91" w:rsidRPr="000979C5" w:rsidRDefault="00C47F91" w:rsidP="00976CF5">
      <w:pPr>
        <w:ind w:left="709" w:hanging="709"/>
        <w:rPr>
          <w:szCs w:val="24"/>
        </w:rPr>
      </w:pPr>
      <w:r w:rsidRPr="000979C5">
        <w:rPr>
          <w:rFonts w:eastAsia="Calibri"/>
          <w:szCs w:val="24"/>
          <w:vertAlign w:val="superscript"/>
          <w:lang w:eastAsia="en-US"/>
        </w:rPr>
        <w:t>17)</w:t>
      </w:r>
      <w:r w:rsidR="00976CF5">
        <w:rPr>
          <w:rFonts w:eastAsia="Calibri"/>
          <w:szCs w:val="24"/>
          <w:vertAlign w:val="superscript"/>
          <w:lang w:eastAsia="en-US"/>
        </w:rPr>
        <w:tab/>
      </w:r>
      <w:r w:rsidRPr="000979C5">
        <w:rPr>
          <w:rFonts w:eastAsia="Calibri"/>
          <w:szCs w:val="24"/>
          <w:lang w:eastAsia="en-US"/>
        </w:rPr>
        <w:t xml:space="preserve">Nařízení Komise č. 920/2013 o jmenování oznámených subjektů podle směrnice Rady 90/385/EHS o aktivních </w:t>
      </w:r>
      <w:proofErr w:type="spellStart"/>
      <w:r w:rsidRPr="000979C5">
        <w:rPr>
          <w:rFonts w:eastAsia="Calibri"/>
          <w:szCs w:val="24"/>
          <w:lang w:eastAsia="en-US"/>
        </w:rPr>
        <w:t>implantabilních</w:t>
      </w:r>
      <w:proofErr w:type="spellEnd"/>
      <w:r w:rsidRPr="000979C5">
        <w:rPr>
          <w:rFonts w:eastAsia="Calibri"/>
          <w:szCs w:val="24"/>
          <w:lang w:eastAsia="en-US"/>
        </w:rPr>
        <w:t xml:space="preserve"> zdravotnických prostředcích a směrnice Rady 93/42/EHS o zdravotnických prostředcích a dozoru nad těmito subjekty.“.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lastRenderedPageBreak/>
        <w:t>§ 11b zní:</w:t>
      </w:r>
    </w:p>
    <w:p w:rsidR="00C47F91" w:rsidRPr="000979C5" w:rsidRDefault="00C47F91" w:rsidP="00C47F91">
      <w:pPr>
        <w:pStyle w:val="Paragraf"/>
        <w:rPr>
          <w:bCs/>
          <w:color w:val="000000"/>
          <w:szCs w:val="24"/>
        </w:rPr>
      </w:pPr>
      <w:r w:rsidRPr="000979C5">
        <w:rPr>
          <w:bCs/>
          <w:color w:val="000000"/>
          <w:szCs w:val="24"/>
        </w:rPr>
        <w:t>„</w:t>
      </w:r>
      <w:r w:rsidRPr="000979C5">
        <w:rPr>
          <w:szCs w:val="24"/>
        </w:rPr>
        <w:t>§</w:t>
      </w:r>
      <w:r w:rsidRPr="000979C5">
        <w:rPr>
          <w:bCs/>
          <w:color w:val="000000"/>
          <w:szCs w:val="24"/>
        </w:rPr>
        <w:t xml:space="preserve"> 11b</w:t>
      </w:r>
    </w:p>
    <w:p w:rsidR="00C47F91" w:rsidRPr="000979C5" w:rsidRDefault="00C47F91" w:rsidP="00CA66B7">
      <w:pPr>
        <w:pStyle w:val="Textodstavce"/>
        <w:numPr>
          <w:ilvl w:val="6"/>
          <w:numId w:val="24"/>
        </w:numPr>
      </w:pPr>
      <w:r w:rsidRPr="000979C5">
        <w:t>Právnická osoba, které bylo pravomocným rozhodnutím Úřadu zrušeno rozhodnutí o</w:t>
      </w:r>
      <w:r w:rsidR="00CA66B7">
        <w:t> </w:t>
      </w:r>
      <w:r w:rsidRPr="000979C5">
        <w:t>autorizaci nebo pozastavena jeho účinnost, je povinna</w:t>
      </w:r>
    </w:p>
    <w:p w:rsidR="00C47F91" w:rsidRPr="000979C5" w:rsidRDefault="00C47F91" w:rsidP="00C47F91">
      <w:pPr>
        <w:pStyle w:val="Textpsmene"/>
        <w:rPr>
          <w:szCs w:val="24"/>
        </w:rPr>
      </w:pPr>
      <w:r w:rsidRPr="000979C5">
        <w:rPr>
          <w:szCs w:val="24"/>
        </w:rPr>
        <w:t xml:space="preserve">o tomto rozhodnutí Úřadu bez zbytečného odkladu informovat všechny dotčené hospodářské subjekty,  </w:t>
      </w:r>
    </w:p>
    <w:p w:rsidR="00C47F91" w:rsidRPr="000979C5" w:rsidRDefault="00C47F91" w:rsidP="00C47F91">
      <w:pPr>
        <w:pStyle w:val="Textpsmene"/>
        <w:rPr>
          <w:bCs/>
          <w:color w:val="000000"/>
          <w:szCs w:val="24"/>
        </w:rPr>
      </w:pPr>
      <w:r w:rsidRPr="000979C5">
        <w:rPr>
          <w:szCs w:val="24"/>
        </w:rPr>
        <w:t>na požádání hospodářského subjektu, kterého se dotýkají důsledky tohoto rozhodnutí, převést práva a povinnost</w:t>
      </w:r>
      <w:r w:rsidR="00676AC0">
        <w:rPr>
          <w:szCs w:val="24"/>
        </w:rPr>
        <w:t>i</w:t>
      </w:r>
      <w:r w:rsidRPr="000979C5">
        <w:rPr>
          <w:szCs w:val="24"/>
        </w:rPr>
        <w:t xml:space="preserve"> související s posuzováním shody, včetně následného ověřování plnění předpokladů, za nichž byl vydán certifikát nebo jiný dokument, na autorizovanou osobu určenou hospodářským subjektem, předat mu související dokumentaci, a informovat</w:t>
      </w:r>
      <w:r w:rsidRPr="000979C5">
        <w:rPr>
          <w:bCs/>
          <w:color w:val="000000"/>
          <w:szCs w:val="24"/>
        </w:rPr>
        <w:t xml:space="preserve"> Úřad o převedení práv a povinností včetně předání dokumentace, </w:t>
      </w:r>
    </w:p>
    <w:p w:rsidR="00C47F91" w:rsidRPr="000979C5" w:rsidRDefault="00C47F91" w:rsidP="00C47F91">
      <w:pPr>
        <w:pStyle w:val="Textpsmene"/>
        <w:rPr>
          <w:szCs w:val="24"/>
        </w:rPr>
      </w:pPr>
      <w:r w:rsidRPr="000979C5">
        <w:rPr>
          <w:szCs w:val="24"/>
        </w:rPr>
        <w:t xml:space="preserve">zajistit, aby byla příslušná dokumentace týkající se činnosti autorizované osoby na vyžádání k dispozici Úřadu nebo orgánu dozoru, a to po dobu, kterou mu k tomu v tomto rozhodnutí Úřad stanovil. </w:t>
      </w:r>
    </w:p>
    <w:p w:rsidR="00C47F91" w:rsidRPr="000979C5" w:rsidRDefault="00C47F91" w:rsidP="00CA66B7">
      <w:pPr>
        <w:pStyle w:val="Textodstavce"/>
      </w:pPr>
      <w:r w:rsidRPr="000979C5">
        <w:rPr>
          <w:bCs/>
          <w:color w:val="000000"/>
        </w:rPr>
        <w:t>Certifikáty nebo jiné </w:t>
      </w:r>
      <w:r w:rsidRPr="000979C5">
        <w:t>dokumenty vztahující se k posuzování shody, chybně vydané autorizovanou osobou před zrušením rozhodnutí o autorizaci nebo pozastavením jeho účinnosti, a jí nezrušené, je oprávněna zrušit autorizovaná osoba, která převzala práva a povinnosti podle odstavce 1 písm. b), nebo orgán dozoru, zjistí-li se jejich chybné vydání při dozoru nad trhem.</w:t>
      </w:r>
    </w:p>
    <w:p w:rsidR="00C47F91" w:rsidRPr="000979C5" w:rsidRDefault="00C47F91" w:rsidP="00CA66B7">
      <w:pPr>
        <w:pStyle w:val="Textodstavce"/>
      </w:pPr>
      <w:r w:rsidRPr="000979C5">
        <w:t xml:space="preserve">Autorizovaná osoba, která převzala práva a povinnosti podle odstavce 1 písm. b), je oprávněna využít podklady od předávající autorizované osoby k dokončení rozpracovaných případů posuzování shody, nebo k následnému ověřování plnění předpokladů, za nichž byl vydán certifikát nebo jiný dokument. </w:t>
      </w:r>
    </w:p>
    <w:p w:rsidR="00C47F91" w:rsidRPr="000979C5" w:rsidRDefault="00C47F91" w:rsidP="00CA66B7">
      <w:pPr>
        <w:pStyle w:val="Textodstavce"/>
        <w:rPr>
          <w:bCs/>
          <w:color w:val="000000"/>
        </w:rPr>
      </w:pPr>
      <w:r w:rsidRPr="000979C5">
        <w:t xml:space="preserve">V případě, že autorizovaná osoba hodlá ukončit nebo omezit svou činnost, je povinna před </w:t>
      </w:r>
      <w:r w:rsidRPr="000979C5">
        <w:rPr>
          <w:bCs/>
          <w:color w:val="000000"/>
        </w:rPr>
        <w:t xml:space="preserve">zrušením rozhodnutí o autorizaci nebo pozastavením jeho účinnosti </w:t>
      </w:r>
      <w:r w:rsidRPr="000979C5">
        <w:t xml:space="preserve">převést práva a povinností na jinou autorizovanou osobu; odstavec 1 písm. b) platí obdobně. </w:t>
      </w:r>
    </w:p>
    <w:p w:rsidR="00C47F91" w:rsidRPr="000979C5" w:rsidRDefault="00C47F91" w:rsidP="00CA66B7">
      <w:pPr>
        <w:pStyle w:val="Textodstavce"/>
      </w:pPr>
      <w:r w:rsidRPr="000979C5">
        <w:t>Má-li dojít k zániku právnické osoby, která je autorizovanou osobou, je tato povinna před zánikem příslušnou dokumentaci týkající se činnosti autorizované osoby předat Úřadu.“.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Poznámky pod čarou č. 12 až 14 se zrušují.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Za § 11c se vkládá nový § 11d, který zní:</w:t>
      </w:r>
    </w:p>
    <w:p w:rsidR="00C47F91" w:rsidRPr="000979C5" w:rsidRDefault="00C47F91" w:rsidP="00C47F91">
      <w:pPr>
        <w:pStyle w:val="Paragraf"/>
        <w:rPr>
          <w:color w:val="000000"/>
          <w:szCs w:val="24"/>
        </w:rPr>
      </w:pPr>
      <w:r w:rsidRPr="000979C5">
        <w:rPr>
          <w:color w:val="000000"/>
          <w:szCs w:val="24"/>
        </w:rPr>
        <w:t>„</w:t>
      </w:r>
      <w:r w:rsidRPr="000979C5">
        <w:rPr>
          <w:szCs w:val="24"/>
        </w:rPr>
        <w:t>§ 11d</w:t>
      </w:r>
    </w:p>
    <w:p w:rsidR="00C47F91" w:rsidRPr="000979C5" w:rsidRDefault="00C47F91" w:rsidP="00C47F91">
      <w:pPr>
        <w:pStyle w:val="Textlnku"/>
        <w:rPr>
          <w:szCs w:val="24"/>
        </w:rPr>
      </w:pPr>
      <w:r w:rsidRPr="000979C5">
        <w:rPr>
          <w:szCs w:val="24"/>
        </w:rPr>
        <w:t>Oznamování subjektů oprávněných provádět činnosti oznámeného subjektu při posuzování a ověřování stálosti vlastností stavebních výrobků s označením CE, práva a povinnosti těchto subjektů, jejich kontrolu a sankce za porušení jejich povinností, a postup při pozastavení, omezení nebo odvolání oznámení, včetně informačních povinností souvisejících s oznamováním, upravuje zákon o posuzování shody stanovených výrobků při jejich dodávání na trh.“.</w:t>
      </w:r>
    </w:p>
    <w:p w:rsidR="00C47F91" w:rsidRPr="000979C5" w:rsidRDefault="00C47F91" w:rsidP="00CA66B7">
      <w:pPr>
        <w:pStyle w:val="Novelizanbod"/>
        <w:keepNext w:val="0"/>
        <w:rPr>
          <w:szCs w:val="24"/>
        </w:rPr>
      </w:pPr>
      <w:r w:rsidRPr="000979C5">
        <w:rPr>
          <w:szCs w:val="24"/>
        </w:rPr>
        <w:t>V § 18a odst. 2 větě druhé se číslo „3“ nahrazuje číslem „10“.</w:t>
      </w:r>
    </w:p>
    <w:p w:rsidR="00C47F91" w:rsidRPr="000979C5" w:rsidRDefault="00C47F91" w:rsidP="00CA66B7">
      <w:pPr>
        <w:pStyle w:val="Novelizanbod"/>
        <w:keepNext w:val="0"/>
        <w:rPr>
          <w:szCs w:val="24"/>
        </w:rPr>
      </w:pPr>
      <w:r w:rsidRPr="000979C5">
        <w:rPr>
          <w:szCs w:val="24"/>
        </w:rPr>
        <w:t>V § 18a odst. 4 se slovo „distribuce“ nahrazuje slovem „oběhu“.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V § 19a se odstavec 6 zrušuje.</w:t>
      </w:r>
    </w:p>
    <w:p w:rsidR="00C47F91" w:rsidRPr="000979C5" w:rsidRDefault="00C47F91" w:rsidP="00C47F91">
      <w:pPr>
        <w:spacing w:before="120" w:after="120" w:line="288" w:lineRule="auto"/>
        <w:rPr>
          <w:szCs w:val="24"/>
        </w:rPr>
      </w:pPr>
      <w:r w:rsidRPr="000979C5">
        <w:rPr>
          <w:szCs w:val="24"/>
        </w:rPr>
        <w:t>Dosavadní odstavec 7 se označuje jako odstavec 6.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V § 19a odst. 6 písm. b) se slova „nebo odstavce 6 písm. a)“ zrušují.</w:t>
      </w:r>
    </w:p>
    <w:p w:rsidR="00C47F91" w:rsidRPr="000979C5" w:rsidRDefault="00C47F91" w:rsidP="00C47F91">
      <w:pPr>
        <w:pStyle w:val="Novelizanbod"/>
        <w:rPr>
          <w:szCs w:val="24"/>
        </w:rPr>
      </w:pPr>
      <w:r w:rsidRPr="000979C5">
        <w:rPr>
          <w:szCs w:val="24"/>
        </w:rPr>
        <w:t>V § 19a odst. 6 písm. c) se slova „nebo odstavce 6 písm. b), c) nebo d)“ zrušují.</w:t>
      </w:r>
    </w:p>
    <w:p w:rsidR="00C47F91" w:rsidRPr="000979C5" w:rsidRDefault="00C47F91" w:rsidP="00C47F91">
      <w:pPr>
        <w:pStyle w:val="lnek"/>
        <w:rPr>
          <w:szCs w:val="24"/>
        </w:rPr>
      </w:pPr>
      <w:r w:rsidRPr="000979C5">
        <w:rPr>
          <w:szCs w:val="24"/>
        </w:rPr>
        <w:t>Čl. II</w:t>
      </w:r>
    </w:p>
    <w:p w:rsidR="00C47F91" w:rsidRPr="000979C5" w:rsidRDefault="00C47F91" w:rsidP="00C47F91">
      <w:pPr>
        <w:pStyle w:val="Nadpislnku"/>
        <w:rPr>
          <w:szCs w:val="24"/>
        </w:rPr>
      </w:pPr>
      <w:r w:rsidRPr="000979C5">
        <w:rPr>
          <w:szCs w:val="24"/>
        </w:rPr>
        <w:t>Přechodné ustanovení</w:t>
      </w:r>
    </w:p>
    <w:p w:rsidR="00C47F91" w:rsidRPr="000979C5" w:rsidRDefault="00C47F91" w:rsidP="00C47F91">
      <w:pPr>
        <w:pStyle w:val="Textlnku"/>
        <w:rPr>
          <w:b/>
          <w:szCs w:val="24"/>
        </w:rPr>
      </w:pPr>
      <w:r w:rsidRPr="000979C5">
        <w:rPr>
          <w:szCs w:val="24"/>
        </w:rPr>
        <w:t>Řízení zahájená přede dnem nabytí účinnosti tohoto zákona a do tohoto dne neskončená se dokončí a práva a povinnosti s nimi související se posuzují podle zákona č. 22/1997 Sb., ve znění účinném přede dnem nabytí účinnosti tohoto zákona.</w:t>
      </w:r>
    </w:p>
    <w:p w:rsidR="00C47F91" w:rsidRPr="000979C5" w:rsidRDefault="00C47F91" w:rsidP="00C47F91">
      <w:pPr>
        <w:pStyle w:val="ST"/>
        <w:rPr>
          <w:szCs w:val="24"/>
        </w:rPr>
      </w:pPr>
      <w:r w:rsidRPr="000979C5">
        <w:rPr>
          <w:szCs w:val="24"/>
        </w:rPr>
        <w:t>ČÁST DRUHÁ</w:t>
      </w:r>
    </w:p>
    <w:p w:rsidR="00C47F91" w:rsidRPr="000979C5" w:rsidRDefault="00C47F91" w:rsidP="00C47F91">
      <w:pPr>
        <w:pStyle w:val="NADPISSTI"/>
        <w:rPr>
          <w:szCs w:val="24"/>
        </w:rPr>
      </w:pPr>
      <w:r w:rsidRPr="000979C5">
        <w:rPr>
          <w:szCs w:val="24"/>
        </w:rPr>
        <w:t>Změna živnostenského zákona</w:t>
      </w:r>
    </w:p>
    <w:p w:rsidR="00C47F91" w:rsidRPr="000979C5" w:rsidRDefault="00C47F91" w:rsidP="00C47F91">
      <w:pPr>
        <w:pStyle w:val="lnek"/>
        <w:rPr>
          <w:szCs w:val="24"/>
        </w:rPr>
      </w:pPr>
      <w:r w:rsidRPr="000979C5">
        <w:rPr>
          <w:szCs w:val="24"/>
        </w:rPr>
        <w:t>Čl. III</w:t>
      </w:r>
    </w:p>
    <w:p w:rsidR="00C47F91" w:rsidRPr="000979C5" w:rsidRDefault="00C47F91" w:rsidP="00C47F91">
      <w:pPr>
        <w:pStyle w:val="Textlnku"/>
        <w:rPr>
          <w:szCs w:val="24"/>
        </w:rPr>
      </w:pPr>
      <w:r w:rsidRPr="000979C5">
        <w:rPr>
          <w:szCs w:val="24"/>
        </w:rPr>
        <w:t>V § 3 odst. 3 zákona č. 455/1991 Sb., o živnostenském podnikání (živnostenský zákon), ve znění zákona č. 356/1999 Sb., písmeno l) včetně poznámek pod čarou č. 22 a 22c zní:</w:t>
      </w:r>
    </w:p>
    <w:p w:rsidR="00C47F91" w:rsidRPr="000979C5" w:rsidRDefault="00C47F91" w:rsidP="00CA66B7">
      <w:pPr>
        <w:pStyle w:val="Psmeno"/>
        <w:spacing w:before="120"/>
      </w:pPr>
      <w:r w:rsidRPr="000979C5">
        <w:t>„l)</w:t>
      </w:r>
      <w:r w:rsidR="00976CF5">
        <w:tab/>
      </w:r>
      <w:r w:rsidRPr="000979C5">
        <w:t>činnost autorizovaných nebo akreditovaných osob</w:t>
      </w:r>
      <w:r w:rsidRPr="000979C5">
        <w:rPr>
          <w:vertAlign w:val="superscript"/>
        </w:rPr>
        <w:t>22)</w:t>
      </w:r>
      <w:r w:rsidR="00814441">
        <w:rPr>
          <w:vertAlign w:val="superscript"/>
        </w:rPr>
        <w:t xml:space="preserve"> </w:t>
      </w:r>
      <w:bookmarkStart w:id="0" w:name="_GoBack"/>
      <w:bookmarkEnd w:id="0"/>
      <w:r w:rsidRPr="000979C5">
        <w:t>a oznámených subjektů</w:t>
      </w:r>
      <w:r w:rsidRPr="000979C5">
        <w:rPr>
          <w:vertAlign w:val="superscript"/>
        </w:rPr>
        <w:t xml:space="preserve">22c) </w:t>
      </w:r>
      <w:r w:rsidRPr="000979C5">
        <w:t>v oblasti státního zkušebnictví,</w:t>
      </w:r>
    </w:p>
    <w:p w:rsidR="00C47F91" w:rsidRPr="00976CF5" w:rsidRDefault="00C47F91" w:rsidP="00976CF5">
      <w:pPr>
        <w:rPr>
          <w:szCs w:val="24"/>
        </w:rPr>
      </w:pPr>
      <w:r w:rsidRPr="00976CF5">
        <w:rPr>
          <w:szCs w:val="24"/>
        </w:rPr>
        <w:t>_____________________</w:t>
      </w:r>
    </w:p>
    <w:p w:rsidR="00C47F91" w:rsidRPr="000979C5" w:rsidRDefault="00C47F91" w:rsidP="00976CF5">
      <w:pPr>
        <w:ind w:left="709" w:hanging="709"/>
        <w:rPr>
          <w:szCs w:val="24"/>
          <w:vertAlign w:val="superscript"/>
        </w:rPr>
      </w:pPr>
      <w:r w:rsidRPr="000979C5">
        <w:rPr>
          <w:szCs w:val="24"/>
          <w:vertAlign w:val="superscript"/>
        </w:rPr>
        <w:t>22)</w:t>
      </w:r>
      <w:r w:rsidR="00976CF5">
        <w:rPr>
          <w:szCs w:val="24"/>
          <w:vertAlign w:val="superscript"/>
        </w:rPr>
        <w:tab/>
      </w:r>
      <w:r w:rsidRPr="000979C5">
        <w:rPr>
          <w:szCs w:val="24"/>
        </w:rPr>
        <w:t>Zákon č. 22/1997 Sb., o technických požadavcích na výrobky a o změně a doplnění některých zákonů, ve znění pozdějších předpisů.</w:t>
      </w:r>
      <w:r w:rsidRPr="000979C5">
        <w:rPr>
          <w:szCs w:val="24"/>
          <w:vertAlign w:val="superscript"/>
        </w:rPr>
        <w:t xml:space="preserve"> </w:t>
      </w:r>
    </w:p>
    <w:p w:rsidR="00C47F91" w:rsidRPr="000979C5" w:rsidRDefault="00C47F91" w:rsidP="00976CF5">
      <w:pPr>
        <w:ind w:left="709" w:hanging="709"/>
        <w:rPr>
          <w:szCs w:val="24"/>
        </w:rPr>
      </w:pPr>
      <w:r w:rsidRPr="000979C5">
        <w:rPr>
          <w:szCs w:val="24"/>
          <w:vertAlign w:val="superscript"/>
        </w:rPr>
        <w:t>22c)</w:t>
      </w:r>
      <w:r w:rsidR="00976CF5">
        <w:rPr>
          <w:szCs w:val="24"/>
          <w:vertAlign w:val="superscript"/>
        </w:rPr>
        <w:tab/>
      </w:r>
      <w:r w:rsidRPr="000979C5">
        <w:rPr>
          <w:szCs w:val="24"/>
        </w:rPr>
        <w:t>Zákon č. …/201</w:t>
      </w:r>
      <w:r w:rsidR="00CA66B7">
        <w:rPr>
          <w:szCs w:val="24"/>
        </w:rPr>
        <w:t>6</w:t>
      </w:r>
      <w:r w:rsidRPr="000979C5">
        <w:rPr>
          <w:szCs w:val="24"/>
        </w:rPr>
        <w:t xml:space="preserve"> Sb., o posuzování shody stanovených výrobků při jejich dodávání na trh.“.</w:t>
      </w:r>
    </w:p>
    <w:p w:rsidR="00C47F91" w:rsidRPr="000979C5" w:rsidRDefault="00C47F91" w:rsidP="00C47F91">
      <w:pPr>
        <w:pStyle w:val="ST"/>
        <w:rPr>
          <w:szCs w:val="24"/>
        </w:rPr>
      </w:pPr>
      <w:r w:rsidRPr="000979C5">
        <w:rPr>
          <w:szCs w:val="24"/>
        </w:rPr>
        <w:t>ČÁST TŘETÍ</w:t>
      </w:r>
    </w:p>
    <w:p w:rsidR="00C47F91" w:rsidRPr="000979C5" w:rsidRDefault="00C47F91" w:rsidP="00C47F91">
      <w:pPr>
        <w:pStyle w:val="NADPISSTI"/>
        <w:rPr>
          <w:szCs w:val="24"/>
        </w:rPr>
      </w:pPr>
      <w:r w:rsidRPr="000979C5">
        <w:rPr>
          <w:szCs w:val="24"/>
        </w:rPr>
        <w:t>Změna zákona o hornické činnosti, výbušninách a o státní báňské správě</w:t>
      </w:r>
    </w:p>
    <w:p w:rsidR="00C47F91" w:rsidRPr="000979C5" w:rsidRDefault="00C47F91" w:rsidP="00C47F91">
      <w:pPr>
        <w:pStyle w:val="lnek"/>
        <w:rPr>
          <w:szCs w:val="24"/>
        </w:rPr>
      </w:pPr>
      <w:r w:rsidRPr="000979C5">
        <w:rPr>
          <w:szCs w:val="24"/>
        </w:rPr>
        <w:t>Čl. IV</w:t>
      </w:r>
    </w:p>
    <w:p w:rsidR="00C47F91" w:rsidRPr="000979C5" w:rsidRDefault="00C47F91" w:rsidP="00C47F91">
      <w:pPr>
        <w:pStyle w:val="Textlnku"/>
        <w:rPr>
          <w:szCs w:val="24"/>
        </w:rPr>
      </w:pPr>
      <w:r w:rsidRPr="000979C5">
        <w:rPr>
          <w:szCs w:val="24"/>
        </w:rPr>
        <w:t>V § 40 odst. 5 zákona č. 61/1988 Sb., o hornické činnosti, výbušninách a o státní báňské správě, ve znění zákona č. 376/2007 Sb., písmeno e) včetně poznámky pod čarou č. 18f zní:</w:t>
      </w:r>
    </w:p>
    <w:p w:rsidR="00C47F91" w:rsidRPr="000979C5" w:rsidRDefault="00C47F91" w:rsidP="00CA66B7">
      <w:pPr>
        <w:pStyle w:val="Psmeno"/>
        <w:spacing w:before="120"/>
        <w:rPr>
          <w:szCs w:val="24"/>
        </w:rPr>
      </w:pPr>
      <w:r w:rsidRPr="000979C5">
        <w:rPr>
          <w:szCs w:val="24"/>
        </w:rPr>
        <w:t>„e)</w:t>
      </w:r>
      <w:r w:rsidR="00976CF5">
        <w:rPr>
          <w:szCs w:val="24"/>
        </w:rPr>
        <w:tab/>
      </w:r>
      <w:r w:rsidRPr="000979C5">
        <w:rPr>
          <w:szCs w:val="24"/>
        </w:rPr>
        <w:t>plní úkoly orgánu dozoru podle zákona o posuzování shody stanovených výrobků při jejich dodávání na trh</w:t>
      </w:r>
      <w:r w:rsidRPr="000979C5">
        <w:rPr>
          <w:szCs w:val="24"/>
          <w:vertAlign w:val="superscript"/>
        </w:rPr>
        <w:t>18f)</w:t>
      </w:r>
      <w:r w:rsidRPr="000979C5">
        <w:rPr>
          <w:szCs w:val="24"/>
        </w:rPr>
        <w:t xml:space="preserve">, jedná-li se o výbušniny pro civilní použití, </w:t>
      </w:r>
    </w:p>
    <w:p w:rsidR="00C47F91" w:rsidRPr="00976CF5" w:rsidRDefault="00976CF5" w:rsidP="00976CF5">
      <w:pPr>
        <w:tabs>
          <w:tab w:val="left" w:pos="0"/>
        </w:tabs>
        <w:rPr>
          <w:szCs w:val="24"/>
        </w:rPr>
      </w:pPr>
      <w:r>
        <w:rPr>
          <w:szCs w:val="24"/>
        </w:rPr>
        <w:t>______________</w:t>
      </w:r>
    </w:p>
    <w:p w:rsidR="00C47F91" w:rsidRPr="000979C5" w:rsidRDefault="00C47F91" w:rsidP="00466630">
      <w:pPr>
        <w:tabs>
          <w:tab w:val="left" w:pos="284"/>
        </w:tabs>
        <w:spacing w:after="120"/>
        <w:ind w:left="426" w:hanging="426"/>
        <w:rPr>
          <w:szCs w:val="24"/>
        </w:rPr>
      </w:pPr>
      <w:r w:rsidRPr="000979C5">
        <w:rPr>
          <w:szCs w:val="24"/>
          <w:vertAlign w:val="superscript"/>
        </w:rPr>
        <w:t>18f)</w:t>
      </w:r>
      <w:r w:rsidR="00976CF5">
        <w:rPr>
          <w:szCs w:val="24"/>
          <w:vertAlign w:val="superscript"/>
        </w:rPr>
        <w:tab/>
      </w:r>
      <w:r w:rsidR="00976CF5">
        <w:rPr>
          <w:szCs w:val="24"/>
          <w:vertAlign w:val="superscript"/>
        </w:rPr>
        <w:tab/>
      </w:r>
      <w:r w:rsidRPr="000979C5">
        <w:rPr>
          <w:szCs w:val="24"/>
        </w:rPr>
        <w:t xml:space="preserve">§ 49 odst. 1 zákona </w:t>
      </w:r>
      <w:proofErr w:type="gramStart"/>
      <w:r w:rsidRPr="000979C5">
        <w:rPr>
          <w:szCs w:val="24"/>
        </w:rPr>
        <w:t>č</w:t>
      </w:r>
      <w:r w:rsidR="000979C5">
        <w:rPr>
          <w:szCs w:val="24"/>
        </w:rPr>
        <w:t>.</w:t>
      </w:r>
      <w:r w:rsidR="00676AC0">
        <w:rPr>
          <w:szCs w:val="24"/>
        </w:rPr>
        <w:t xml:space="preserve"> </w:t>
      </w:r>
      <w:r w:rsidR="000979C5">
        <w:rPr>
          <w:szCs w:val="24"/>
        </w:rPr>
        <w:t xml:space="preserve">    </w:t>
      </w:r>
      <w:r w:rsidRPr="000979C5">
        <w:rPr>
          <w:szCs w:val="24"/>
        </w:rPr>
        <w:t>/201</w:t>
      </w:r>
      <w:r w:rsidR="00976CF5">
        <w:rPr>
          <w:szCs w:val="24"/>
        </w:rPr>
        <w:t>6</w:t>
      </w:r>
      <w:proofErr w:type="gramEnd"/>
      <w:r w:rsidRPr="000979C5">
        <w:rPr>
          <w:szCs w:val="24"/>
        </w:rPr>
        <w:t xml:space="preserve"> Sb., o posuzování shody stanovených výrobků při jejich dodávání na trh.“.</w:t>
      </w:r>
    </w:p>
    <w:p w:rsidR="00466630" w:rsidRDefault="00466630" w:rsidP="00466630">
      <w:pPr>
        <w:pStyle w:val="ST"/>
      </w:pPr>
      <w:r>
        <w:t>ČÁST ČTVRTÁ</w:t>
      </w:r>
    </w:p>
    <w:p w:rsidR="00466630" w:rsidRDefault="00466630" w:rsidP="00466630">
      <w:pPr>
        <w:pStyle w:val="NADPISSTI"/>
      </w:pPr>
      <w:r>
        <w:t>Změna stavebního zákona</w:t>
      </w:r>
    </w:p>
    <w:p w:rsidR="00466630" w:rsidRDefault="00466630" w:rsidP="00466630">
      <w:pPr>
        <w:pStyle w:val="lnek"/>
      </w:pPr>
      <w:r>
        <w:t>Čl. V</w:t>
      </w:r>
    </w:p>
    <w:p w:rsidR="00466630" w:rsidRDefault="00466630" w:rsidP="00466630">
      <w:pPr>
        <w:pStyle w:val="Textlnku"/>
      </w:pPr>
      <w:r>
        <w:t>V § 196 zákona č. 183/2006 Sb., o územním plánování a stavebním řádu (stavební zákon), se odstavec 2 zrušuje a zároveň se zrušuje označení odstavce 1.</w:t>
      </w:r>
    </w:p>
    <w:p w:rsidR="00C47F91" w:rsidRPr="000979C5" w:rsidRDefault="000979C5" w:rsidP="000979C5">
      <w:pPr>
        <w:pStyle w:val="ST"/>
        <w:rPr>
          <w:szCs w:val="24"/>
        </w:rPr>
      </w:pPr>
      <w:r w:rsidRPr="000979C5">
        <w:rPr>
          <w:szCs w:val="24"/>
        </w:rPr>
        <w:t xml:space="preserve">ČÁST </w:t>
      </w:r>
      <w:r w:rsidR="00466630">
        <w:rPr>
          <w:szCs w:val="24"/>
        </w:rPr>
        <w:t>PÁTÁ</w:t>
      </w:r>
    </w:p>
    <w:p w:rsidR="00C47F91" w:rsidRPr="000979C5" w:rsidRDefault="00C47F91" w:rsidP="000979C5">
      <w:pPr>
        <w:pStyle w:val="NADPISSTI"/>
        <w:rPr>
          <w:szCs w:val="24"/>
        </w:rPr>
      </w:pPr>
      <w:r w:rsidRPr="000979C5">
        <w:rPr>
          <w:szCs w:val="24"/>
        </w:rPr>
        <w:t>ÚČINNOST</w:t>
      </w:r>
    </w:p>
    <w:p w:rsidR="00C47F91" w:rsidRPr="000979C5" w:rsidRDefault="000979C5" w:rsidP="000979C5">
      <w:pPr>
        <w:pStyle w:val="lnek"/>
        <w:rPr>
          <w:szCs w:val="24"/>
        </w:rPr>
      </w:pPr>
      <w:r w:rsidRPr="000979C5">
        <w:rPr>
          <w:szCs w:val="24"/>
        </w:rPr>
        <w:t xml:space="preserve">Čl. </w:t>
      </w:r>
      <w:r w:rsidR="00C47F91" w:rsidRPr="000979C5">
        <w:rPr>
          <w:szCs w:val="24"/>
        </w:rPr>
        <w:t>V</w:t>
      </w:r>
      <w:r w:rsidR="00466630">
        <w:rPr>
          <w:szCs w:val="24"/>
        </w:rPr>
        <w:t>I</w:t>
      </w:r>
    </w:p>
    <w:p w:rsidR="00C47F91" w:rsidRPr="000979C5" w:rsidRDefault="00C47F91" w:rsidP="000979C5">
      <w:pPr>
        <w:pStyle w:val="Textlnku"/>
        <w:rPr>
          <w:szCs w:val="24"/>
        </w:rPr>
      </w:pPr>
      <w:r w:rsidRPr="000979C5">
        <w:rPr>
          <w:szCs w:val="24"/>
        </w:rPr>
        <w:t>Tento zákon nabývá účinnosti patnáctým dnem po</w:t>
      </w:r>
      <w:r w:rsidR="00CA66B7">
        <w:rPr>
          <w:szCs w:val="24"/>
        </w:rPr>
        <w:t xml:space="preserve"> dni</w:t>
      </w:r>
      <w:r w:rsidRPr="000979C5">
        <w:rPr>
          <w:szCs w:val="24"/>
        </w:rPr>
        <w:t xml:space="preserve"> jeho vyhlášení.</w:t>
      </w:r>
    </w:p>
    <w:sectPr w:rsidR="00C47F91" w:rsidRPr="000979C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F91" w:rsidRDefault="00C47F91">
      <w:r>
        <w:separator/>
      </w:r>
    </w:p>
  </w:endnote>
  <w:endnote w:type="continuationSeparator" w:id="0">
    <w:p w:rsidR="00C47F91" w:rsidRDefault="00C4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F91" w:rsidRDefault="00C47F91">
      <w:r>
        <w:separator/>
      </w:r>
    </w:p>
  </w:footnote>
  <w:footnote w:type="continuationSeparator" w:id="0">
    <w:p w:rsidR="00C47F91" w:rsidRDefault="00C47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18" w:rsidRDefault="000979C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60B18" w:rsidRDefault="00860B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18" w:rsidRDefault="000979C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4441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860B18" w:rsidRDefault="00860B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19"/>
  </w:num>
  <w:num w:numId="12">
    <w:abstractNumId w:val="10"/>
  </w:num>
  <w:num w:numId="13">
    <w:abstractNumId w:val="16"/>
  </w:num>
  <w:num w:numId="14">
    <w:abstractNumId w:val="9"/>
  </w:num>
  <w:num w:numId="15">
    <w:abstractNumId w:val="15"/>
  </w:num>
  <w:num w:numId="16">
    <w:abstractNumId w:val="4"/>
  </w:num>
  <w:num w:numId="17">
    <w:abstractNumId w:val="12"/>
  </w:num>
  <w:num w:numId="18">
    <w:abstractNumId w:val="18"/>
  </w:num>
  <w:num w:numId="19">
    <w:abstractNumId w:val="13"/>
  </w:num>
  <w:num w:numId="20">
    <w:abstractNumId w:val="11"/>
  </w:num>
  <w:num w:numId="21">
    <w:abstractNumId w:val="13"/>
    <w:lvlOverride w:ilvl="0">
      <w:startOverride w:val="1"/>
    </w:lvlOverride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47F91"/>
    <w:rsid w:val="000979C5"/>
    <w:rsid w:val="00323A24"/>
    <w:rsid w:val="00466630"/>
    <w:rsid w:val="004C7DAF"/>
    <w:rsid w:val="00676AC0"/>
    <w:rsid w:val="00814441"/>
    <w:rsid w:val="00860B18"/>
    <w:rsid w:val="00976CF5"/>
    <w:rsid w:val="00982382"/>
    <w:rsid w:val="00BE162F"/>
    <w:rsid w:val="00C47F91"/>
    <w:rsid w:val="00CA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850F8-6D33-4905-9582-72F263D5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66B7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A66B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82382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82382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82382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82382"/>
    <w:pPr>
      <w:keepNext/>
      <w:keepLines/>
      <w:tabs>
        <w:tab w:val="num" w:pos="785"/>
      </w:tabs>
      <w:spacing w:before="40"/>
      <w:ind w:firstLine="425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82382"/>
    <w:pPr>
      <w:keepNext/>
      <w:keepLines/>
      <w:tabs>
        <w:tab w:val="num" w:pos="425"/>
      </w:tabs>
      <w:spacing w:before="40"/>
      <w:ind w:left="425" w:hanging="425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82382"/>
    <w:pPr>
      <w:keepNext/>
      <w:keepLines/>
      <w:tabs>
        <w:tab w:val="num" w:pos="851"/>
      </w:tabs>
      <w:spacing w:before="40"/>
      <w:ind w:left="851" w:hanging="426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CA66B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CA66B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CA66B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CA66B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CA66B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CA66B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CA66B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CA66B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CA66B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CA66B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CA66B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CA66B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CA66B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CA66B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CA66B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CA66B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CA66B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CA66B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CA66B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CA66B7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CA66B7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CA66B7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CA66B7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CA66B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CA66B7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CA66B7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CA66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47F91"/>
    <w:pPr>
      <w:ind w:left="720"/>
      <w:contextualSpacing/>
    </w:pPr>
  </w:style>
  <w:style w:type="paragraph" w:customStyle="1" w:styleId="Textodstavce">
    <w:name w:val="Text odstavce"/>
    <w:basedOn w:val="Normln"/>
    <w:rsid w:val="00CA66B7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CA66B7"/>
    <w:pPr>
      <w:ind w:left="567" w:hanging="567"/>
    </w:pPr>
  </w:style>
  <w:style w:type="character" w:styleId="slostrnky">
    <w:name w:val="page number"/>
    <w:basedOn w:val="Standardnpsmoodstavce"/>
    <w:semiHidden/>
    <w:rsid w:val="00CA66B7"/>
  </w:style>
  <w:style w:type="paragraph" w:styleId="Zpat">
    <w:name w:val="footer"/>
    <w:basedOn w:val="Normln"/>
    <w:semiHidden/>
    <w:rsid w:val="00CA66B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CA66B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CA66B7"/>
    <w:rPr>
      <w:vertAlign w:val="superscript"/>
    </w:rPr>
  </w:style>
  <w:style w:type="paragraph" w:styleId="Titulek">
    <w:name w:val="caption"/>
    <w:basedOn w:val="Normln"/>
    <w:next w:val="Normln"/>
    <w:qFormat/>
    <w:rsid w:val="00CA66B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CA66B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CA66B7"/>
    <w:pPr>
      <w:keepNext/>
      <w:keepLines/>
      <w:spacing w:before="720"/>
      <w:jc w:val="center"/>
    </w:pPr>
  </w:style>
  <w:style w:type="paragraph" w:customStyle="1" w:styleId="norm">
    <w:name w:val="norm"/>
    <w:basedOn w:val="Normln"/>
    <w:rsid w:val="00C47F91"/>
    <w:pPr>
      <w:spacing w:before="100" w:beforeAutospacing="1" w:after="100" w:afterAutospacing="1"/>
    </w:pPr>
    <w:rPr>
      <w:szCs w:val="24"/>
    </w:rPr>
  </w:style>
  <w:style w:type="paragraph" w:customStyle="1" w:styleId="VARIANTA">
    <w:name w:val="VARIANTA"/>
    <w:basedOn w:val="Normln"/>
    <w:next w:val="Normln"/>
    <w:rsid w:val="00CA66B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CA66B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CA66B7"/>
    <w:rPr>
      <w:b/>
    </w:rPr>
  </w:style>
  <w:style w:type="paragraph" w:customStyle="1" w:styleId="Nadpislnku">
    <w:name w:val="Nadpis článku"/>
    <w:basedOn w:val="lnek"/>
    <w:next w:val="Textodstavce"/>
    <w:rsid w:val="00CA66B7"/>
    <w:rPr>
      <w:b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82382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82382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82382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982382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9823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823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66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6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15</TotalTime>
  <Pages>4</Pages>
  <Words>1009</Words>
  <Characters>5348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7</cp:revision>
  <cp:lastPrinted>2016-02-03T09:15:00Z</cp:lastPrinted>
  <dcterms:created xsi:type="dcterms:W3CDTF">2016-01-28T11:13:00Z</dcterms:created>
  <dcterms:modified xsi:type="dcterms:W3CDTF">2016-02-03T09:16:00Z</dcterms:modified>
  <cp:category/>
</cp:coreProperties>
</file>