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565" w:rsidRPr="00CA5330" w:rsidRDefault="00181565" w:rsidP="00CA5330">
      <w:pPr>
        <w:spacing w:after="240"/>
        <w:rPr>
          <w:rFonts w:ascii="Times New Roman" w:hAnsi="Times New Roman" w:cs="Times New Roman"/>
          <w:b/>
        </w:rPr>
      </w:pPr>
      <w:r w:rsidRPr="00CA5330">
        <w:rPr>
          <w:rFonts w:ascii="Times New Roman" w:hAnsi="Times New Roman" w:cs="Times New Roman"/>
          <w:b/>
        </w:rPr>
        <w:t>ROZDÍLOVÁ TABULKA NÁVRHU PRÁVNÍHO PŘEDPISU S PŘEDPISY EU</w:t>
      </w:r>
    </w:p>
    <w:tbl>
      <w:tblPr>
        <w:tblStyle w:val="Mkatabulky"/>
        <w:tblW w:w="0" w:type="auto"/>
        <w:tblLook w:val="04A0" w:firstRow="1" w:lastRow="0" w:firstColumn="1" w:lastColumn="0" w:noHBand="0" w:noVBand="1"/>
      </w:tblPr>
      <w:tblGrid>
        <w:gridCol w:w="1626"/>
        <w:gridCol w:w="3997"/>
        <w:gridCol w:w="2088"/>
        <w:gridCol w:w="1531"/>
        <w:gridCol w:w="4978"/>
      </w:tblGrid>
      <w:tr w:rsidR="00415C43" w:rsidRPr="00CA5330" w:rsidTr="00702A4D">
        <w:trPr>
          <w:tblHeader/>
        </w:trPr>
        <w:tc>
          <w:tcPr>
            <w:tcW w:w="5623" w:type="dxa"/>
            <w:gridSpan w:val="2"/>
            <w:shd w:val="clear" w:color="auto" w:fill="FFFFFF" w:themeFill="background1"/>
          </w:tcPr>
          <w:p w:rsidR="00304AE1" w:rsidRPr="00CA5330" w:rsidRDefault="00304AE1" w:rsidP="004C2583">
            <w:pPr>
              <w:tabs>
                <w:tab w:val="left" w:pos="360"/>
              </w:tabs>
              <w:spacing w:before="120" w:after="120" w:line="276" w:lineRule="auto"/>
              <w:jc w:val="center"/>
              <w:rPr>
                <w:rFonts w:ascii="Times New Roman" w:eastAsia="Times New Roman" w:hAnsi="Times New Roman" w:cs="Times New Roman"/>
                <w:lang w:eastAsia="cs-CZ"/>
              </w:rPr>
            </w:pPr>
          </w:p>
          <w:p w:rsidR="00415C43" w:rsidRPr="00CA5330" w:rsidRDefault="00415C43" w:rsidP="004C2583">
            <w:pPr>
              <w:tabs>
                <w:tab w:val="left" w:pos="360"/>
              </w:tabs>
              <w:spacing w:before="120" w:after="120" w:line="276" w:lineRule="auto"/>
              <w:jc w:val="center"/>
              <w:rPr>
                <w:rFonts w:ascii="Times New Roman" w:eastAsia="Times New Roman" w:hAnsi="Times New Roman" w:cs="Times New Roman"/>
                <w:lang w:eastAsia="cs-CZ"/>
              </w:rPr>
            </w:pPr>
            <w:r w:rsidRPr="00CA5330">
              <w:rPr>
                <w:rFonts w:ascii="Times New Roman" w:eastAsia="Times New Roman" w:hAnsi="Times New Roman" w:cs="Times New Roman"/>
                <w:lang w:eastAsia="cs-CZ"/>
              </w:rPr>
              <w:t>Navrhovaný právní předpis</w:t>
            </w:r>
          </w:p>
          <w:p w:rsidR="00304AE1" w:rsidRPr="00CA5330" w:rsidRDefault="00304AE1" w:rsidP="004C2583">
            <w:pPr>
              <w:tabs>
                <w:tab w:val="left" w:pos="360"/>
              </w:tabs>
              <w:spacing w:before="120" w:after="120" w:line="276" w:lineRule="auto"/>
              <w:jc w:val="center"/>
              <w:rPr>
                <w:rFonts w:ascii="Times New Roman" w:eastAsia="Times New Roman" w:hAnsi="Times New Roman" w:cs="Times New Roman"/>
                <w:lang w:eastAsia="cs-CZ"/>
              </w:rPr>
            </w:pPr>
          </w:p>
        </w:tc>
        <w:tc>
          <w:tcPr>
            <w:tcW w:w="8597" w:type="dxa"/>
            <w:gridSpan w:val="3"/>
            <w:shd w:val="clear" w:color="auto" w:fill="FFFFFF" w:themeFill="background1"/>
          </w:tcPr>
          <w:p w:rsidR="00304AE1" w:rsidRPr="00CA5330" w:rsidRDefault="00304AE1" w:rsidP="004C2583">
            <w:pPr>
              <w:tabs>
                <w:tab w:val="left" w:pos="360"/>
              </w:tabs>
              <w:spacing w:before="120" w:after="120" w:line="276" w:lineRule="auto"/>
              <w:jc w:val="center"/>
              <w:rPr>
                <w:rFonts w:ascii="Times New Roman" w:eastAsia="Times New Roman" w:hAnsi="Times New Roman" w:cs="Times New Roman"/>
                <w:lang w:eastAsia="cs-CZ"/>
              </w:rPr>
            </w:pPr>
          </w:p>
          <w:p w:rsidR="00415C43" w:rsidRPr="00CA5330" w:rsidRDefault="00415C43" w:rsidP="004C2583">
            <w:pPr>
              <w:tabs>
                <w:tab w:val="left" w:pos="360"/>
              </w:tabs>
              <w:spacing w:before="120" w:after="120" w:line="276" w:lineRule="auto"/>
              <w:jc w:val="center"/>
              <w:rPr>
                <w:rFonts w:ascii="Times New Roman" w:eastAsia="Times New Roman" w:hAnsi="Times New Roman" w:cs="Times New Roman"/>
                <w:lang w:eastAsia="cs-CZ"/>
              </w:rPr>
            </w:pPr>
            <w:r w:rsidRPr="00CA5330">
              <w:rPr>
                <w:rFonts w:ascii="Times New Roman" w:eastAsia="Times New Roman" w:hAnsi="Times New Roman" w:cs="Times New Roman"/>
                <w:lang w:eastAsia="cs-CZ"/>
              </w:rPr>
              <w:t>Odpovídající předpis EU</w:t>
            </w:r>
          </w:p>
        </w:tc>
      </w:tr>
      <w:tr w:rsidR="00415C43" w:rsidRPr="00CA5330" w:rsidTr="00702A4D">
        <w:trPr>
          <w:tblHeader/>
        </w:trPr>
        <w:tc>
          <w:tcPr>
            <w:tcW w:w="1626" w:type="dxa"/>
            <w:shd w:val="clear" w:color="auto" w:fill="FFFFFF" w:themeFill="background1"/>
            <w:vAlign w:val="center"/>
          </w:tcPr>
          <w:p w:rsidR="00415C43" w:rsidRPr="00CA5330" w:rsidRDefault="00415C43" w:rsidP="004C2583">
            <w:pPr>
              <w:tabs>
                <w:tab w:val="left" w:pos="360"/>
              </w:tabs>
              <w:suppressAutoHyphens/>
              <w:spacing w:before="120" w:after="120" w:line="276" w:lineRule="auto"/>
              <w:jc w:val="center"/>
              <w:rPr>
                <w:rFonts w:ascii="Times New Roman" w:eastAsia="Times New Roman" w:hAnsi="Times New Roman" w:cs="Times New Roman"/>
                <w:lang w:eastAsia="cs-CZ"/>
              </w:rPr>
            </w:pPr>
            <w:r w:rsidRPr="00CA5330">
              <w:rPr>
                <w:rFonts w:ascii="Times New Roman" w:eastAsia="Times New Roman" w:hAnsi="Times New Roman" w:cs="Times New Roman"/>
                <w:lang w:eastAsia="cs-CZ"/>
              </w:rPr>
              <w:t>Ustanovení</w:t>
            </w:r>
            <w:r w:rsidR="00760D0D" w:rsidRPr="00CA5330">
              <w:rPr>
                <w:rFonts w:ascii="Times New Roman" w:eastAsia="Times New Roman" w:hAnsi="Times New Roman" w:cs="Times New Roman"/>
                <w:lang w:eastAsia="cs-CZ"/>
              </w:rPr>
              <w:t xml:space="preserve"> (část, §, odst., písm., apod.)</w:t>
            </w:r>
          </w:p>
        </w:tc>
        <w:tc>
          <w:tcPr>
            <w:tcW w:w="3997" w:type="dxa"/>
            <w:shd w:val="clear" w:color="auto" w:fill="FFFFFF" w:themeFill="background1"/>
            <w:vAlign w:val="center"/>
          </w:tcPr>
          <w:p w:rsidR="00415C43" w:rsidRPr="00CA5330" w:rsidRDefault="00415C43" w:rsidP="004C2583">
            <w:pPr>
              <w:tabs>
                <w:tab w:val="left" w:pos="360"/>
              </w:tabs>
              <w:suppressAutoHyphens/>
              <w:spacing w:before="120" w:after="120" w:line="276" w:lineRule="auto"/>
              <w:jc w:val="center"/>
              <w:rPr>
                <w:rFonts w:ascii="Times New Roman" w:eastAsia="Times New Roman" w:hAnsi="Times New Roman" w:cs="Times New Roman"/>
                <w:lang w:eastAsia="cs-CZ"/>
              </w:rPr>
            </w:pPr>
            <w:r w:rsidRPr="00CA5330">
              <w:rPr>
                <w:rFonts w:ascii="Times New Roman" w:eastAsia="Times New Roman" w:hAnsi="Times New Roman" w:cs="Times New Roman"/>
                <w:lang w:eastAsia="cs-CZ"/>
              </w:rPr>
              <w:t>Obsah</w:t>
            </w:r>
          </w:p>
        </w:tc>
        <w:tc>
          <w:tcPr>
            <w:tcW w:w="2088" w:type="dxa"/>
            <w:shd w:val="clear" w:color="auto" w:fill="FFFFFF" w:themeFill="background1"/>
            <w:vAlign w:val="center"/>
          </w:tcPr>
          <w:p w:rsidR="00415C43" w:rsidRPr="00CA5330" w:rsidRDefault="00415C43" w:rsidP="004C2583">
            <w:pPr>
              <w:tabs>
                <w:tab w:val="left" w:pos="360"/>
              </w:tabs>
              <w:suppressAutoHyphens/>
              <w:spacing w:before="120" w:after="120" w:line="276" w:lineRule="auto"/>
              <w:jc w:val="center"/>
              <w:rPr>
                <w:rFonts w:ascii="Times New Roman" w:eastAsia="Times New Roman" w:hAnsi="Times New Roman" w:cs="Times New Roman"/>
                <w:lang w:eastAsia="cs-CZ"/>
              </w:rPr>
            </w:pPr>
            <w:proofErr w:type="spellStart"/>
            <w:r w:rsidRPr="00CA5330">
              <w:rPr>
                <w:rFonts w:ascii="Times New Roman" w:eastAsia="Times New Roman" w:hAnsi="Times New Roman" w:cs="Times New Roman"/>
                <w:lang w:eastAsia="cs-CZ"/>
              </w:rPr>
              <w:t>Celex</w:t>
            </w:r>
            <w:proofErr w:type="spellEnd"/>
            <w:r w:rsidRPr="00CA5330">
              <w:rPr>
                <w:rFonts w:ascii="Times New Roman" w:eastAsia="Times New Roman" w:hAnsi="Times New Roman" w:cs="Times New Roman"/>
                <w:lang w:eastAsia="cs-CZ"/>
              </w:rPr>
              <w:t xml:space="preserve"> č.</w:t>
            </w:r>
          </w:p>
        </w:tc>
        <w:tc>
          <w:tcPr>
            <w:tcW w:w="1531" w:type="dxa"/>
            <w:shd w:val="clear" w:color="auto" w:fill="FFFFFF" w:themeFill="background1"/>
            <w:vAlign w:val="center"/>
          </w:tcPr>
          <w:p w:rsidR="00415C43" w:rsidRPr="00CA5330" w:rsidRDefault="00415C43" w:rsidP="004C2583">
            <w:pPr>
              <w:tabs>
                <w:tab w:val="left" w:pos="360"/>
              </w:tabs>
              <w:suppressAutoHyphens/>
              <w:spacing w:before="120" w:after="120" w:line="276" w:lineRule="auto"/>
              <w:jc w:val="center"/>
              <w:rPr>
                <w:rFonts w:ascii="Times New Roman" w:eastAsia="Times New Roman" w:hAnsi="Times New Roman" w:cs="Times New Roman"/>
                <w:lang w:eastAsia="cs-CZ"/>
              </w:rPr>
            </w:pPr>
            <w:r w:rsidRPr="00CA5330">
              <w:rPr>
                <w:rFonts w:ascii="Times New Roman" w:eastAsia="Times New Roman" w:hAnsi="Times New Roman" w:cs="Times New Roman"/>
                <w:lang w:eastAsia="cs-CZ"/>
              </w:rPr>
              <w:t>Ustanovení</w:t>
            </w:r>
            <w:r w:rsidR="00304AE1" w:rsidRPr="00CA5330">
              <w:rPr>
                <w:rFonts w:ascii="Times New Roman" w:eastAsia="Times New Roman" w:hAnsi="Times New Roman" w:cs="Times New Roman"/>
                <w:lang w:eastAsia="cs-CZ"/>
              </w:rPr>
              <w:t xml:space="preserve"> </w:t>
            </w:r>
            <w:r w:rsidR="00304AE1" w:rsidRPr="00CA5330">
              <w:rPr>
                <w:rFonts w:ascii="Times New Roman" w:hAnsi="Times New Roman" w:cs="Times New Roman"/>
              </w:rPr>
              <w:t>(čl., odst., písm., bod, apod.)</w:t>
            </w:r>
          </w:p>
        </w:tc>
        <w:tc>
          <w:tcPr>
            <w:tcW w:w="4978" w:type="dxa"/>
            <w:shd w:val="clear" w:color="auto" w:fill="FFFFFF" w:themeFill="background1"/>
            <w:vAlign w:val="center"/>
          </w:tcPr>
          <w:p w:rsidR="00415C43" w:rsidRPr="00CA5330" w:rsidRDefault="00415C43" w:rsidP="004C2583">
            <w:pPr>
              <w:tabs>
                <w:tab w:val="left" w:pos="360"/>
              </w:tabs>
              <w:suppressAutoHyphens/>
              <w:spacing w:before="120" w:after="120" w:line="276" w:lineRule="auto"/>
              <w:jc w:val="center"/>
              <w:rPr>
                <w:rFonts w:ascii="Times New Roman" w:eastAsia="Times New Roman" w:hAnsi="Times New Roman" w:cs="Times New Roman"/>
                <w:lang w:eastAsia="cs-CZ"/>
              </w:rPr>
            </w:pPr>
            <w:r w:rsidRPr="00CA5330">
              <w:rPr>
                <w:rFonts w:ascii="Times New Roman" w:eastAsia="Times New Roman" w:hAnsi="Times New Roman" w:cs="Times New Roman"/>
                <w:lang w:eastAsia="cs-CZ"/>
              </w:rPr>
              <w:t>Obsah</w:t>
            </w:r>
          </w:p>
        </w:tc>
      </w:tr>
      <w:tr w:rsidR="00042645" w:rsidRPr="00CA5330" w:rsidTr="00702A4D">
        <w:tc>
          <w:tcPr>
            <w:tcW w:w="1626" w:type="dxa"/>
            <w:vMerge w:val="restart"/>
          </w:tcPr>
          <w:p w:rsidR="00042645" w:rsidRPr="00CA5330" w:rsidRDefault="003F2CCC" w:rsidP="004C2583">
            <w:pPr>
              <w:pStyle w:val="Textodstavce"/>
              <w:numPr>
                <w:ilvl w:val="0"/>
                <w:numId w:val="0"/>
              </w:numPr>
              <w:tabs>
                <w:tab w:val="num" w:pos="2627"/>
              </w:tabs>
              <w:rPr>
                <w:sz w:val="22"/>
                <w:szCs w:val="22"/>
              </w:rPr>
            </w:pPr>
            <w:r w:rsidRPr="00CA5330">
              <w:rPr>
                <w:sz w:val="22"/>
                <w:szCs w:val="22"/>
              </w:rPr>
              <w:t xml:space="preserve">§ 1 </w:t>
            </w:r>
          </w:p>
        </w:tc>
        <w:tc>
          <w:tcPr>
            <w:tcW w:w="3997" w:type="dxa"/>
            <w:vMerge w:val="restart"/>
          </w:tcPr>
          <w:p w:rsidR="00DF6778" w:rsidRPr="00CA5330" w:rsidRDefault="00DF6778" w:rsidP="004C2583">
            <w:pPr>
              <w:pStyle w:val="Textodstavce"/>
              <w:numPr>
                <w:ilvl w:val="0"/>
                <w:numId w:val="0"/>
              </w:numPr>
              <w:rPr>
                <w:b/>
                <w:sz w:val="22"/>
                <w:szCs w:val="22"/>
              </w:rPr>
            </w:pPr>
            <w:r w:rsidRPr="00CA5330">
              <w:rPr>
                <w:b/>
                <w:sz w:val="22"/>
                <w:szCs w:val="22"/>
              </w:rPr>
              <w:t>Předmět úpravy</w:t>
            </w:r>
          </w:p>
          <w:p w:rsidR="002B6EC5" w:rsidRPr="00CA5330" w:rsidRDefault="00174ED5" w:rsidP="00174ED5">
            <w:pPr>
              <w:pStyle w:val="Textodstavce"/>
              <w:numPr>
                <w:ilvl w:val="0"/>
                <w:numId w:val="0"/>
              </w:numPr>
              <w:rPr>
                <w:sz w:val="22"/>
                <w:szCs w:val="22"/>
              </w:rPr>
            </w:pPr>
            <w:r w:rsidRPr="00CA5330">
              <w:rPr>
                <w:sz w:val="22"/>
                <w:szCs w:val="22"/>
              </w:rPr>
              <w:t xml:space="preserve">(1) </w:t>
            </w:r>
            <w:r w:rsidR="002B6EC5" w:rsidRPr="00CA5330">
              <w:rPr>
                <w:sz w:val="22"/>
                <w:szCs w:val="22"/>
              </w:rPr>
              <w:t>Tento zákon upravuje v návaznosti na přímo použitelné předpisy Evropské unie</w:t>
            </w:r>
            <w:r w:rsidR="002B6EC5" w:rsidRPr="00CA5330">
              <w:rPr>
                <w:rStyle w:val="Znakapoznpodarou"/>
                <w:sz w:val="22"/>
                <w:szCs w:val="22"/>
              </w:rPr>
              <w:footnoteReference w:customMarkFollows="1" w:id="1"/>
              <w:t>1)</w:t>
            </w:r>
            <w:r w:rsidR="002B6EC5" w:rsidRPr="00CA5330">
              <w:rPr>
                <w:sz w:val="22"/>
                <w:szCs w:val="22"/>
              </w:rPr>
              <w:t xml:space="preserve"> řízení a kontrolu veřejných financí.</w:t>
            </w:r>
          </w:p>
          <w:p w:rsidR="002B6EC5" w:rsidRPr="00CA5330" w:rsidRDefault="00174ED5" w:rsidP="00174ED5">
            <w:pPr>
              <w:pStyle w:val="Textodstavce"/>
              <w:numPr>
                <w:ilvl w:val="0"/>
                <w:numId w:val="0"/>
              </w:numPr>
              <w:rPr>
                <w:sz w:val="22"/>
                <w:szCs w:val="22"/>
              </w:rPr>
            </w:pPr>
            <w:r w:rsidRPr="00CA5330">
              <w:rPr>
                <w:sz w:val="22"/>
                <w:szCs w:val="22"/>
              </w:rPr>
              <w:t xml:space="preserve">(2) </w:t>
            </w:r>
            <w:r w:rsidR="002B6EC5" w:rsidRPr="00CA5330">
              <w:rPr>
                <w:sz w:val="22"/>
                <w:szCs w:val="22"/>
              </w:rPr>
              <w:t>Řízení a kontrola veřejných financí zahrnuje</w:t>
            </w:r>
          </w:p>
          <w:p w:rsidR="002B6EC5" w:rsidRPr="00CA5330" w:rsidRDefault="00174ED5" w:rsidP="00174ED5">
            <w:pPr>
              <w:pStyle w:val="Textpsmene"/>
              <w:numPr>
                <w:ilvl w:val="0"/>
                <w:numId w:val="0"/>
              </w:numPr>
              <w:ind w:left="425" w:hanging="425"/>
              <w:rPr>
                <w:sz w:val="22"/>
                <w:szCs w:val="22"/>
              </w:rPr>
            </w:pPr>
            <w:r w:rsidRPr="00CA5330">
              <w:rPr>
                <w:sz w:val="22"/>
                <w:szCs w:val="22"/>
              </w:rPr>
              <w:t xml:space="preserve">a) </w:t>
            </w:r>
            <w:r w:rsidR="002B6EC5" w:rsidRPr="00CA5330">
              <w:rPr>
                <w:sz w:val="22"/>
                <w:szCs w:val="22"/>
              </w:rPr>
              <w:t>řídicí a kontrolní mechanismy,</w:t>
            </w:r>
          </w:p>
          <w:p w:rsidR="00174ED5" w:rsidRPr="00CA5330" w:rsidRDefault="00174ED5" w:rsidP="00174ED5">
            <w:pPr>
              <w:pStyle w:val="Textpsmene"/>
              <w:numPr>
                <w:ilvl w:val="0"/>
                <w:numId w:val="0"/>
              </w:numPr>
              <w:ind w:left="425" w:hanging="425"/>
              <w:rPr>
                <w:sz w:val="22"/>
                <w:szCs w:val="22"/>
              </w:rPr>
            </w:pPr>
            <w:r w:rsidRPr="00CA5330">
              <w:rPr>
                <w:sz w:val="22"/>
                <w:szCs w:val="22"/>
              </w:rPr>
              <w:t xml:space="preserve">b) </w:t>
            </w:r>
            <w:r w:rsidR="002B6EC5" w:rsidRPr="00CA5330">
              <w:rPr>
                <w:sz w:val="22"/>
                <w:szCs w:val="22"/>
              </w:rPr>
              <w:t>interní audit a</w:t>
            </w:r>
            <w:r w:rsidRPr="00CA5330">
              <w:rPr>
                <w:sz w:val="22"/>
                <w:szCs w:val="22"/>
              </w:rPr>
              <w:t xml:space="preserve"> </w:t>
            </w:r>
          </w:p>
          <w:p w:rsidR="00174ED5" w:rsidRPr="00CA5330" w:rsidRDefault="00174ED5" w:rsidP="00174ED5">
            <w:pPr>
              <w:pStyle w:val="Textpsmene"/>
              <w:numPr>
                <w:ilvl w:val="0"/>
                <w:numId w:val="0"/>
              </w:numPr>
              <w:ind w:left="70" w:hanging="70"/>
              <w:rPr>
                <w:sz w:val="22"/>
                <w:szCs w:val="22"/>
              </w:rPr>
            </w:pPr>
            <w:r w:rsidRPr="00CA5330">
              <w:rPr>
                <w:sz w:val="22"/>
                <w:szCs w:val="22"/>
              </w:rPr>
              <w:t xml:space="preserve">c) </w:t>
            </w:r>
            <w:r w:rsidR="002B6EC5" w:rsidRPr="00CA5330">
              <w:rPr>
                <w:sz w:val="22"/>
                <w:szCs w:val="22"/>
              </w:rPr>
              <w:t>kontrolu podle mezinárodních smluv.</w:t>
            </w:r>
          </w:p>
          <w:p w:rsidR="003F2CCC" w:rsidRPr="00CA5330" w:rsidRDefault="003F2CCC" w:rsidP="004C2583">
            <w:pPr>
              <w:pStyle w:val="Textodstavce"/>
              <w:numPr>
                <w:ilvl w:val="0"/>
                <w:numId w:val="0"/>
              </w:numPr>
              <w:tabs>
                <w:tab w:val="num" w:pos="2627"/>
              </w:tabs>
              <w:rPr>
                <w:sz w:val="22"/>
                <w:szCs w:val="22"/>
              </w:rPr>
            </w:pPr>
          </w:p>
        </w:tc>
        <w:tc>
          <w:tcPr>
            <w:tcW w:w="2088" w:type="dxa"/>
          </w:tcPr>
          <w:p w:rsidR="00042645" w:rsidRPr="00CA5330" w:rsidRDefault="00042645" w:rsidP="004C2583">
            <w:pPr>
              <w:pStyle w:val="Textodstavce"/>
              <w:numPr>
                <w:ilvl w:val="0"/>
                <w:numId w:val="0"/>
              </w:numPr>
              <w:tabs>
                <w:tab w:val="num" w:pos="2627"/>
              </w:tabs>
              <w:rPr>
                <w:sz w:val="22"/>
                <w:szCs w:val="22"/>
              </w:rPr>
            </w:pPr>
            <w:r w:rsidRPr="00CA5330">
              <w:rPr>
                <w:sz w:val="22"/>
                <w:szCs w:val="22"/>
              </w:rPr>
              <w:t>32012R0966</w:t>
            </w:r>
          </w:p>
        </w:tc>
        <w:tc>
          <w:tcPr>
            <w:tcW w:w="1531" w:type="dxa"/>
          </w:tcPr>
          <w:p w:rsidR="00042645" w:rsidRPr="00CA5330" w:rsidRDefault="00831443" w:rsidP="004C2583">
            <w:pPr>
              <w:pStyle w:val="Textodstavce"/>
              <w:numPr>
                <w:ilvl w:val="0"/>
                <w:numId w:val="0"/>
              </w:numPr>
              <w:tabs>
                <w:tab w:val="num" w:pos="2627"/>
              </w:tabs>
              <w:rPr>
                <w:sz w:val="22"/>
                <w:szCs w:val="22"/>
              </w:rPr>
            </w:pPr>
            <w:r w:rsidRPr="00CA5330">
              <w:rPr>
                <w:sz w:val="22"/>
                <w:szCs w:val="22"/>
              </w:rPr>
              <w:t>čl. 59</w:t>
            </w:r>
          </w:p>
        </w:tc>
        <w:tc>
          <w:tcPr>
            <w:tcW w:w="4978" w:type="dxa"/>
          </w:tcPr>
          <w:p w:rsidR="00831443" w:rsidRPr="00CA5330" w:rsidRDefault="00831443" w:rsidP="004C2583">
            <w:pPr>
              <w:pStyle w:val="Textodstavce"/>
              <w:numPr>
                <w:ilvl w:val="0"/>
                <w:numId w:val="0"/>
              </w:numPr>
              <w:tabs>
                <w:tab w:val="num" w:pos="2627"/>
              </w:tabs>
              <w:rPr>
                <w:b/>
                <w:sz w:val="22"/>
                <w:szCs w:val="22"/>
              </w:rPr>
            </w:pPr>
            <w:r w:rsidRPr="00CA5330">
              <w:rPr>
                <w:b/>
                <w:sz w:val="22"/>
                <w:szCs w:val="22"/>
              </w:rPr>
              <w:t>S</w:t>
            </w:r>
            <w:r w:rsidR="00E159E4" w:rsidRPr="00CA5330">
              <w:rPr>
                <w:b/>
                <w:sz w:val="22"/>
                <w:szCs w:val="22"/>
              </w:rPr>
              <w:t>dílené řízení s členskými státy</w:t>
            </w:r>
          </w:p>
          <w:p w:rsidR="00831443" w:rsidRPr="00CA5330" w:rsidRDefault="00831443" w:rsidP="004C2583">
            <w:pPr>
              <w:pStyle w:val="Textodstavce"/>
              <w:numPr>
                <w:ilvl w:val="0"/>
                <w:numId w:val="0"/>
              </w:numPr>
              <w:tabs>
                <w:tab w:val="num" w:pos="2627"/>
              </w:tabs>
              <w:rPr>
                <w:sz w:val="22"/>
                <w:szCs w:val="22"/>
              </w:rPr>
            </w:pPr>
            <w:r w:rsidRPr="00CA5330">
              <w:rPr>
                <w:sz w:val="22"/>
                <w:szCs w:val="22"/>
              </w:rPr>
              <w:t>1.</w:t>
            </w:r>
            <w:r w:rsidR="00FB73DB" w:rsidRPr="00CA5330">
              <w:rPr>
                <w:sz w:val="22"/>
                <w:szCs w:val="22"/>
              </w:rPr>
              <w:t xml:space="preserve"> </w:t>
            </w:r>
            <w:r w:rsidRPr="00CA5330">
              <w:rPr>
                <w:sz w:val="22"/>
                <w:szCs w:val="22"/>
              </w:rPr>
              <w:t>Plní-li Komise rozpočet v rámci sdíleného řízení, jsou úkoly související s plněním rozpočtu pověřeny členské státy. Komise a členské státy dodržují zásady řádného finančního řízení, transparentnosti a zákazu diskriminace a zajišťují viditelnost činnosti Unie při správě jejích finančních prostředků. Za tímto účelem Komise a členské státy plní své povinnosti spojené s kontrolou a auditem a přebírají z toho vyplývající odpovědnost stanovenou tímto nařízením. Doplňková ustanovení jsou obs</w:t>
            </w:r>
            <w:r w:rsidR="00E159E4" w:rsidRPr="00CA5330">
              <w:rPr>
                <w:sz w:val="22"/>
                <w:szCs w:val="22"/>
              </w:rPr>
              <w:t>ažena v odvětvových pravidlech.</w:t>
            </w:r>
          </w:p>
          <w:p w:rsidR="00831443" w:rsidRPr="00CA5330" w:rsidRDefault="00FB73DB" w:rsidP="004C2583">
            <w:pPr>
              <w:pStyle w:val="Textodstavce"/>
              <w:numPr>
                <w:ilvl w:val="0"/>
                <w:numId w:val="0"/>
              </w:numPr>
              <w:tabs>
                <w:tab w:val="num" w:pos="2627"/>
              </w:tabs>
              <w:rPr>
                <w:sz w:val="22"/>
                <w:szCs w:val="22"/>
              </w:rPr>
            </w:pPr>
            <w:r w:rsidRPr="00CA5330">
              <w:rPr>
                <w:sz w:val="22"/>
                <w:szCs w:val="22"/>
              </w:rPr>
              <w:t xml:space="preserve">2. </w:t>
            </w:r>
            <w:r w:rsidR="00831443" w:rsidRPr="00CA5330">
              <w:rPr>
                <w:sz w:val="22"/>
                <w:szCs w:val="22"/>
              </w:rPr>
              <w:t xml:space="preserve">Při provádění úkolů souvisejících s plněním </w:t>
            </w:r>
            <w:r w:rsidR="00831443" w:rsidRPr="00CA5330">
              <w:rPr>
                <w:sz w:val="22"/>
                <w:szCs w:val="22"/>
              </w:rPr>
              <w:lastRenderedPageBreak/>
              <w:t>rozpočtu členské státy přijmou veškerá opatření, včetně právních, regulačních a správních, která jsou nezbytná pro ochranu finančních zájmů Unie, zejména:</w:t>
            </w:r>
          </w:p>
          <w:p w:rsidR="00831443" w:rsidRPr="00CA5330" w:rsidRDefault="00831443" w:rsidP="004C2583">
            <w:pPr>
              <w:pStyle w:val="Textodstavce"/>
              <w:numPr>
                <w:ilvl w:val="0"/>
                <w:numId w:val="0"/>
              </w:numPr>
              <w:tabs>
                <w:tab w:val="num" w:pos="2627"/>
              </w:tabs>
              <w:rPr>
                <w:sz w:val="22"/>
                <w:szCs w:val="22"/>
              </w:rPr>
            </w:pPr>
            <w:r w:rsidRPr="00CA5330">
              <w:rPr>
                <w:sz w:val="22"/>
                <w:szCs w:val="22"/>
              </w:rPr>
              <w:t>a) zajistí, aby byly činnosti financované z rozpočtu prováděny správně, účinně a v souladu s platnými odvětvovými pravidly, a určí pro tento účel v souladu s odstavcem 3 subjekty odpovědné za řádnou správu a kontrolu finančních prostředků Unie a dohlížejí na ně;</w:t>
            </w:r>
          </w:p>
          <w:p w:rsidR="00831443" w:rsidRPr="00CA5330" w:rsidRDefault="00831443" w:rsidP="004C2583">
            <w:pPr>
              <w:pStyle w:val="Textodstavce"/>
              <w:numPr>
                <w:ilvl w:val="0"/>
                <w:numId w:val="0"/>
              </w:numPr>
              <w:tabs>
                <w:tab w:val="num" w:pos="2627"/>
              </w:tabs>
              <w:rPr>
                <w:sz w:val="22"/>
                <w:szCs w:val="22"/>
              </w:rPr>
            </w:pPr>
            <w:r w:rsidRPr="00CA5330">
              <w:rPr>
                <w:sz w:val="22"/>
                <w:szCs w:val="22"/>
              </w:rPr>
              <w:t>b) předcházejí nesrovnalostem a pod</w:t>
            </w:r>
            <w:r w:rsidR="00E159E4" w:rsidRPr="00CA5330">
              <w:rPr>
                <w:sz w:val="22"/>
                <w:szCs w:val="22"/>
              </w:rPr>
              <w:t>vodům, odhalují je a napravují.</w:t>
            </w:r>
          </w:p>
          <w:p w:rsidR="00831443" w:rsidRPr="00CA5330" w:rsidRDefault="00831443" w:rsidP="004C2583">
            <w:pPr>
              <w:pStyle w:val="Textodstavce"/>
              <w:numPr>
                <w:ilvl w:val="0"/>
                <w:numId w:val="0"/>
              </w:numPr>
              <w:tabs>
                <w:tab w:val="num" w:pos="2627"/>
              </w:tabs>
              <w:rPr>
                <w:sz w:val="22"/>
                <w:szCs w:val="22"/>
              </w:rPr>
            </w:pPr>
            <w:r w:rsidRPr="00CA5330">
              <w:rPr>
                <w:sz w:val="22"/>
                <w:szCs w:val="22"/>
              </w:rPr>
              <w:t>Za účelem ochrany finančních zájmů Unie členské státy při dodržení zásady proporcionality a v souladu s tímto článkem a s příslušnými odvětvovými pravidly provádějí kontroly ex ante a ex post, je-li to vhodné, včetně kontrol na místě na reprezentativním vzorku nebo na vzorku vybraném na základě rizika výskytu chyb. Kromě toho zpětně získávají neoprávněně vyplacené finanční prostředky, a je-li to za tímto účelem nezbytné, za</w:t>
            </w:r>
            <w:r w:rsidR="00E159E4" w:rsidRPr="00CA5330">
              <w:rPr>
                <w:sz w:val="22"/>
                <w:szCs w:val="22"/>
              </w:rPr>
              <w:t>hajují správní a soudní řízení.</w:t>
            </w:r>
            <w:r w:rsidR="00FB73DB" w:rsidRPr="00CA5330">
              <w:rPr>
                <w:sz w:val="22"/>
                <w:szCs w:val="22"/>
              </w:rPr>
              <w:t xml:space="preserve"> </w:t>
            </w:r>
            <w:r w:rsidRPr="00CA5330">
              <w:rPr>
                <w:sz w:val="22"/>
                <w:szCs w:val="22"/>
              </w:rPr>
              <w:t xml:space="preserve">Členské státy ukládají příjemcům finančních prostředků účinné, odrazující a </w:t>
            </w:r>
            <w:r w:rsidRPr="00CA5330">
              <w:rPr>
                <w:sz w:val="22"/>
                <w:szCs w:val="22"/>
              </w:rPr>
              <w:lastRenderedPageBreak/>
              <w:t>přiměřené sankce, pokud tak stanovují odvětvová pravidla a zvláštní ustanovení vn</w:t>
            </w:r>
            <w:r w:rsidR="00E159E4" w:rsidRPr="00CA5330">
              <w:rPr>
                <w:sz w:val="22"/>
                <w:szCs w:val="22"/>
              </w:rPr>
              <w:t>itrostátních právních předpisů.</w:t>
            </w:r>
            <w:r w:rsidR="00FB73DB" w:rsidRPr="00CA5330">
              <w:rPr>
                <w:sz w:val="22"/>
                <w:szCs w:val="22"/>
              </w:rPr>
              <w:t xml:space="preserve"> </w:t>
            </w:r>
            <w:r w:rsidRPr="00CA5330">
              <w:rPr>
                <w:sz w:val="22"/>
                <w:szCs w:val="22"/>
              </w:rPr>
              <w:t>Komise v rámci posouzení rizik a v souladu s odvětvovými pravidly sleduje systémy řízení a kontroly zavedené v členských státech. Komise při své kontrolní činnosti dodržuje zásadu proporcionality a v souladu s odvětvovými pravidly při</w:t>
            </w:r>
            <w:r w:rsidR="00E159E4" w:rsidRPr="00CA5330">
              <w:rPr>
                <w:sz w:val="22"/>
                <w:szCs w:val="22"/>
              </w:rPr>
              <w:t>hlíží k míře zjištěného rizika.</w:t>
            </w:r>
          </w:p>
          <w:p w:rsidR="00831443" w:rsidRPr="00CA5330" w:rsidRDefault="00FB73DB" w:rsidP="004C2583">
            <w:pPr>
              <w:pStyle w:val="Textodstavce"/>
              <w:numPr>
                <w:ilvl w:val="0"/>
                <w:numId w:val="0"/>
              </w:numPr>
              <w:tabs>
                <w:tab w:val="num" w:pos="2627"/>
              </w:tabs>
              <w:rPr>
                <w:sz w:val="22"/>
                <w:szCs w:val="22"/>
              </w:rPr>
            </w:pPr>
            <w:r w:rsidRPr="00CA5330">
              <w:rPr>
                <w:sz w:val="22"/>
                <w:szCs w:val="22"/>
              </w:rPr>
              <w:t xml:space="preserve">3. </w:t>
            </w:r>
            <w:r w:rsidR="00831443" w:rsidRPr="00CA5330">
              <w:rPr>
                <w:sz w:val="22"/>
                <w:szCs w:val="22"/>
              </w:rPr>
              <w:t>V souladu s kritérii a postupy stanovenými v odvětvových pravidlech určí členské státy subjekty na vhodné úrovni, které mají odpovídat za správu a kontrolu finančních prostředků Unie. Tyto subjekty mohou plnit také úkoly nesouvisející se správou finančních prostředků Unie a mohou pověřit plněním</w:t>
            </w:r>
            <w:r w:rsidR="00E159E4" w:rsidRPr="00CA5330">
              <w:rPr>
                <w:sz w:val="22"/>
                <w:szCs w:val="22"/>
              </w:rPr>
              <w:t xml:space="preserve"> některých úkolů jiné subjekty.</w:t>
            </w:r>
            <w:r w:rsidRPr="00CA5330">
              <w:rPr>
                <w:sz w:val="22"/>
                <w:szCs w:val="22"/>
              </w:rPr>
              <w:t xml:space="preserve"> </w:t>
            </w:r>
            <w:r w:rsidR="00831443" w:rsidRPr="00CA5330">
              <w:rPr>
                <w:sz w:val="22"/>
                <w:szCs w:val="22"/>
              </w:rPr>
              <w:t>Při rozhodování o určení subjektů mohou členské státy vycházet z toho, zda jsou jejich systémy řízení a kontroly v podstatě totožné s již existujícími systémy z předchoz</w:t>
            </w:r>
            <w:r w:rsidR="00E159E4" w:rsidRPr="00CA5330">
              <w:rPr>
                <w:sz w:val="22"/>
                <w:szCs w:val="22"/>
              </w:rPr>
              <w:t>ího období a zda řádně fungují.</w:t>
            </w:r>
            <w:r w:rsidRPr="00CA5330">
              <w:rPr>
                <w:sz w:val="22"/>
                <w:szCs w:val="22"/>
              </w:rPr>
              <w:t xml:space="preserve"> </w:t>
            </w:r>
            <w:r w:rsidR="00831443" w:rsidRPr="00CA5330">
              <w:rPr>
                <w:sz w:val="22"/>
                <w:szCs w:val="22"/>
              </w:rPr>
              <w:t>Pokud výsledky auditu a kontroly prokáží, že určené subjekty již nesplňují kritéria stanovená v odvětvových pravidlech, přijmou členské státy opatření nezbytná k zajištění nápravy nedostatků při plnění úkolů těmito subjekty, včetně toho, že v souladu s odvětvovým</w:t>
            </w:r>
            <w:r w:rsidR="00E159E4" w:rsidRPr="00CA5330">
              <w:rPr>
                <w:sz w:val="22"/>
                <w:szCs w:val="22"/>
              </w:rPr>
              <w:t>i pravidly jejich určení zruší.</w:t>
            </w:r>
            <w:r w:rsidRPr="00CA5330">
              <w:rPr>
                <w:sz w:val="22"/>
                <w:szCs w:val="22"/>
              </w:rPr>
              <w:t xml:space="preserve"> </w:t>
            </w:r>
            <w:r w:rsidR="00831443" w:rsidRPr="00CA5330">
              <w:rPr>
                <w:sz w:val="22"/>
                <w:szCs w:val="22"/>
              </w:rPr>
              <w:t xml:space="preserve">Odvětvová pravidla vymezí úlohu Komise při postupu stanoveném </w:t>
            </w:r>
            <w:r w:rsidR="00E159E4" w:rsidRPr="00CA5330">
              <w:rPr>
                <w:sz w:val="22"/>
                <w:szCs w:val="22"/>
              </w:rPr>
              <w:t>v tomto odstavci.</w:t>
            </w:r>
          </w:p>
          <w:p w:rsidR="00831443" w:rsidRPr="00CA5330" w:rsidRDefault="00FB73DB" w:rsidP="004C2583">
            <w:pPr>
              <w:pStyle w:val="Textodstavce"/>
              <w:numPr>
                <w:ilvl w:val="0"/>
                <w:numId w:val="0"/>
              </w:numPr>
              <w:tabs>
                <w:tab w:val="num" w:pos="2627"/>
              </w:tabs>
              <w:rPr>
                <w:sz w:val="22"/>
                <w:szCs w:val="22"/>
              </w:rPr>
            </w:pPr>
            <w:r w:rsidRPr="00CA5330">
              <w:rPr>
                <w:sz w:val="22"/>
                <w:szCs w:val="22"/>
              </w:rPr>
              <w:t xml:space="preserve">4. </w:t>
            </w:r>
            <w:r w:rsidR="00831443" w:rsidRPr="00CA5330">
              <w:rPr>
                <w:sz w:val="22"/>
                <w:szCs w:val="22"/>
              </w:rPr>
              <w:t>Su</w:t>
            </w:r>
            <w:r w:rsidR="00E159E4" w:rsidRPr="00CA5330">
              <w:rPr>
                <w:sz w:val="22"/>
                <w:szCs w:val="22"/>
              </w:rPr>
              <w:t>bjekty určené podle odstavce 3:</w:t>
            </w:r>
          </w:p>
          <w:p w:rsidR="00831443" w:rsidRPr="00CA5330" w:rsidRDefault="00831443" w:rsidP="004C2583">
            <w:pPr>
              <w:pStyle w:val="Textodstavce"/>
              <w:numPr>
                <w:ilvl w:val="0"/>
                <w:numId w:val="0"/>
              </w:numPr>
              <w:tabs>
                <w:tab w:val="num" w:pos="2627"/>
              </w:tabs>
              <w:rPr>
                <w:sz w:val="22"/>
                <w:szCs w:val="22"/>
              </w:rPr>
            </w:pPr>
            <w:r w:rsidRPr="00CA5330">
              <w:rPr>
                <w:sz w:val="22"/>
                <w:szCs w:val="22"/>
              </w:rPr>
              <w:t>a) vytvoří účinný a účelný systém vnitřní kontroly a zajistí jeho fungování;</w:t>
            </w:r>
          </w:p>
          <w:p w:rsidR="00831443" w:rsidRPr="00CA5330" w:rsidRDefault="00831443" w:rsidP="004C2583">
            <w:pPr>
              <w:pStyle w:val="Textodstavce"/>
              <w:numPr>
                <w:ilvl w:val="0"/>
                <w:numId w:val="0"/>
              </w:numPr>
              <w:tabs>
                <w:tab w:val="num" w:pos="2627"/>
              </w:tabs>
              <w:rPr>
                <w:sz w:val="22"/>
                <w:szCs w:val="22"/>
              </w:rPr>
            </w:pPr>
            <w:r w:rsidRPr="00CA5330">
              <w:rPr>
                <w:sz w:val="22"/>
                <w:szCs w:val="22"/>
              </w:rPr>
              <w:t>b) používají systém účetnictví, který včas poskytuje pře</w:t>
            </w:r>
            <w:r w:rsidR="00E159E4" w:rsidRPr="00CA5330">
              <w:rPr>
                <w:sz w:val="22"/>
                <w:szCs w:val="22"/>
              </w:rPr>
              <w:t xml:space="preserve">sné, úplné a spolehlivé údaje; </w:t>
            </w:r>
          </w:p>
          <w:p w:rsidR="00831443" w:rsidRPr="00CA5330" w:rsidRDefault="00831443" w:rsidP="004C2583">
            <w:pPr>
              <w:pStyle w:val="Textodstavce"/>
              <w:numPr>
                <w:ilvl w:val="0"/>
                <w:numId w:val="0"/>
              </w:numPr>
              <w:tabs>
                <w:tab w:val="num" w:pos="2627"/>
              </w:tabs>
              <w:rPr>
                <w:sz w:val="22"/>
                <w:szCs w:val="22"/>
              </w:rPr>
            </w:pPr>
            <w:r w:rsidRPr="00CA5330">
              <w:rPr>
                <w:sz w:val="22"/>
                <w:szCs w:val="22"/>
              </w:rPr>
              <w:t>c) poskytují informace požado</w:t>
            </w:r>
            <w:r w:rsidR="00E159E4" w:rsidRPr="00CA5330">
              <w:rPr>
                <w:sz w:val="22"/>
                <w:szCs w:val="22"/>
              </w:rPr>
              <w:t>vané podle odstavce 5;</w:t>
            </w:r>
          </w:p>
          <w:p w:rsidR="00831443" w:rsidRPr="00CA5330" w:rsidRDefault="00831443" w:rsidP="004C2583">
            <w:pPr>
              <w:pStyle w:val="Textodstavce"/>
              <w:numPr>
                <w:ilvl w:val="0"/>
                <w:numId w:val="0"/>
              </w:numPr>
              <w:tabs>
                <w:tab w:val="num" w:pos="2627"/>
              </w:tabs>
              <w:rPr>
                <w:sz w:val="22"/>
                <w:szCs w:val="22"/>
              </w:rPr>
            </w:pPr>
            <w:r w:rsidRPr="00CA5330">
              <w:rPr>
                <w:sz w:val="22"/>
                <w:szCs w:val="22"/>
              </w:rPr>
              <w:t>d) v souladu s čl. 35 odst. 2 zajišťují následné zveřejňování. Jakékoli zpracovávání osobních údajů musí být v souladu s vnitrostátními předpisy, kterým</w:t>
            </w:r>
            <w:r w:rsidR="00E159E4" w:rsidRPr="00CA5330">
              <w:rPr>
                <w:sz w:val="22"/>
                <w:szCs w:val="22"/>
              </w:rPr>
              <w:t>i se provádí směrnice 95/46/ES.</w:t>
            </w:r>
          </w:p>
          <w:p w:rsidR="00831443" w:rsidRPr="00CA5330" w:rsidRDefault="00FB73DB" w:rsidP="004C2583">
            <w:pPr>
              <w:pStyle w:val="Textodstavce"/>
              <w:numPr>
                <w:ilvl w:val="0"/>
                <w:numId w:val="0"/>
              </w:numPr>
              <w:tabs>
                <w:tab w:val="num" w:pos="2627"/>
              </w:tabs>
              <w:rPr>
                <w:sz w:val="22"/>
                <w:szCs w:val="22"/>
              </w:rPr>
            </w:pPr>
            <w:r w:rsidRPr="00CA5330">
              <w:rPr>
                <w:sz w:val="22"/>
                <w:szCs w:val="22"/>
              </w:rPr>
              <w:t>5.</w:t>
            </w:r>
            <w:r w:rsidR="00831443" w:rsidRPr="00CA5330">
              <w:rPr>
                <w:sz w:val="22"/>
                <w:szCs w:val="22"/>
              </w:rPr>
              <w:t xml:space="preserve"> Subjekty určené podle odstavce 3 poskytnou Komisi do 15. února následujícího ro</w:t>
            </w:r>
            <w:r w:rsidR="00E159E4" w:rsidRPr="00CA5330">
              <w:rPr>
                <w:sz w:val="22"/>
                <w:szCs w:val="22"/>
              </w:rPr>
              <w:t>zpočtového roku tyto dokumenty:</w:t>
            </w:r>
          </w:p>
          <w:p w:rsidR="00831443" w:rsidRPr="00CA5330" w:rsidRDefault="00831443" w:rsidP="004C2583">
            <w:pPr>
              <w:pStyle w:val="Textodstavce"/>
              <w:numPr>
                <w:ilvl w:val="0"/>
                <w:numId w:val="0"/>
              </w:numPr>
              <w:tabs>
                <w:tab w:val="num" w:pos="2627"/>
              </w:tabs>
              <w:rPr>
                <w:sz w:val="22"/>
                <w:szCs w:val="22"/>
              </w:rPr>
            </w:pPr>
            <w:r w:rsidRPr="00CA5330">
              <w:rPr>
                <w:sz w:val="22"/>
                <w:szCs w:val="22"/>
              </w:rPr>
              <w:t>a) výkaz výdajů, které byly v příslušném referenčním období vymezeném v odvětvových pravidlech vynaloženy při plnění stanovených úkolů a předloženy Komisi k úhradě. Tento výkaz zahrnuje předběžné financování i částky, u nichž probíhá nebo již proběhlo řízení o jejich zpětném získání. Přikládá se k němu prohlášení řídícího subjektu, v němž se potvrdí, že podle názoru osob pověřených</w:t>
            </w:r>
            <w:r w:rsidR="00E159E4" w:rsidRPr="00CA5330">
              <w:rPr>
                <w:sz w:val="22"/>
                <w:szCs w:val="22"/>
              </w:rPr>
              <w:t xml:space="preserve"> správou finančních prostředků:</w:t>
            </w:r>
          </w:p>
          <w:p w:rsidR="00831443" w:rsidRPr="00CA5330" w:rsidRDefault="00831443" w:rsidP="004C2583">
            <w:pPr>
              <w:pStyle w:val="Textodstavce"/>
              <w:numPr>
                <w:ilvl w:val="0"/>
                <w:numId w:val="0"/>
              </w:numPr>
              <w:tabs>
                <w:tab w:val="num" w:pos="2627"/>
              </w:tabs>
              <w:rPr>
                <w:sz w:val="22"/>
                <w:szCs w:val="22"/>
              </w:rPr>
            </w:pPr>
            <w:r w:rsidRPr="00CA5330">
              <w:rPr>
                <w:sz w:val="22"/>
                <w:szCs w:val="22"/>
              </w:rPr>
              <w:t>i) jsou tyto informace řádně pře</w:t>
            </w:r>
            <w:r w:rsidR="00E159E4" w:rsidRPr="00CA5330">
              <w:rPr>
                <w:sz w:val="22"/>
                <w:szCs w:val="22"/>
              </w:rPr>
              <w:t>dkládány a jsou úplné a přesné;</w:t>
            </w:r>
          </w:p>
          <w:p w:rsidR="00831443" w:rsidRPr="00CA5330" w:rsidRDefault="00831443" w:rsidP="004C2583">
            <w:pPr>
              <w:pStyle w:val="Textodstavce"/>
              <w:numPr>
                <w:ilvl w:val="0"/>
                <w:numId w:val="0"/>
              </w:numPr>
              <w:tabs>
                <w:tab w:val="num" w:pos="2627"/>
              </w:tabs>
              <w:rPr>
                <w:sz w:val="22"/>
                <w:szCs w:val="22"/>
              </w:rPr>
            </w:pPr>
            <w:proofErr w:type="spellStart"/>
            <w:r w:rsidRPr="00CA5330">
              <w:rPr>
                <w:sz w:val="22"/>
                <w:szCs w:val="22"/>
              </w:rPr>
              <w:t>ii</w:t>
            </w:r>
            <w:proofErr w:type="spellEnd"/>
            <w:r w:rsidRPr="00CA5330">
              <w:rPr>
                <w:sz w:val="22"/>
                <w:szCs w:val="22"/>
              </w:rPr>
              <w:t>) výdaje byly použity k zamýšlenému účelu, jak je vy</w:t>
            </w:r>
            <w:r w:rsidR="00E159E4" w:rsidRPr="00CA5330">
              <w:rPr>
                <w:sz w:val="22"/>
                <w:szCs w:val="22"/>
              </w:rPr>
              <w:t>mezen v odvětvových pravidlech;</w:t>
            </w:r>
          </w:p>
          <w:p w:rsidR="00831443" w:rsidRPr="00CA5330" w:rsidRDefault="00831443" w:rsidP="004C2583">
            <w:pPr>
              <w:pStyle w:val="Textodstavce"/>
              <w:numPr>
                <w:ilvl w:val="0"/>
                <w:numId w:val="0"/>
              </w:numPr>
              <w:tabs>
                <w:tab w:val="num" w:pos="2627"/>
              </w:tabs>
              <w:rPr>
                <w:sz w:val="22"/>
                <w:szCs w:val="22"/>
              </w:rPr>
            </w:pPr>
            <w:proofErr w:type="spellStart"/>
            <w:r w:rsidRPr="00CA5330">
              <w:rPr>
                <w:sz w:val="22"/>
                <w:szCs w:val="22"/>
              </w:rPr>
              <w:t>iii</w:t>
            </w:r>
            <w:proofErr w:type="spellEnd"/>
            <w:r w:rsidRPr="00CA5330">
              <w:rPr>
                <w:sz w:val="22"/>
                <w:szCs w:val="22"/>
              </w:rPr>
              <w:t>) zavedené kontrolní systémy poskytují nezbytné záruky legality a správnosti uskutečněných operací;</w:t>
            </w:r>
          </w:p>
          <w:p w:rsidR="00831443" w:rsidRPr="00CA5330" w:rsidRDefault="00831443" w:rsidP="004C2583">
            <w:pPr>
              <w:pStyle w:val="Textodstavce"/>
              <w:numPr>
                <w:ilvl w:val="0"/>
                <w:numId w:val="0"/>
              </w:numPr>
              <w:tabs>
                <w:tab w:val="num" w:pos="2627"/>
              </w:tabs>
              <w:rPr>
                <w:sz w:val="22"/>
                <w:szCs w:val="22"/>
              </w:rPr>
            </w:pPr>
            <w:r w:rsidRPr="00CA5330">
              <w:rPr>
                <w:sz w:val="22"/>
                <w:szCs w:val="22"/>
              </w:rPr>
              <w:t>b) každoroční souhrn závěrečných zpráv o auditu a informací o provedených kontrolách, včetně rozboru povahy a rozsahu chyb a nedostatků zjištěných v systémech a přijatých či p</w:t>
            </w:r>
            <w:r w:rsidR="00E159E4" w:rsidRPr="00CA5330">
              <w:rPr>
                <w:sz w:val="22"/>
                <w:szCs w:val="22"/>
              </w:rPr>
              <w:t>lánovaných nápravných opatření.</w:t>
            </w:r>
          </w:p>
          <w:p w:rsidR="00831443" w:rsidRPr="00CA5330" w:rsidRDefault="00831443" w:rsidP="004C2583">
            <w:pPr>
              <w:pStyle w:val="Textodstavce"/>
              <w:numPr>
                <w:ilvl w:val="0"/>
                <w:numId w:val="0"/>
              </w:numPr>
              <w:tabs>
                <w:tab w:val="num" w:pos="2627"/>
              </w:tabs>
              <w:rPr>
                <w:sz w:val="22"/>
                <w:szCs w:val="22"/>
              </w:rPr>
            </w:pPr>
            <w:r w:rsidRPr="00CA5330">
              <w:rPr>
                <w:sz w:val="22"/>
                <w:szCs w:val="22"/>
              </w:rPr>
              <w:t>K výkazu uvedenému v prvním pododstavci písm. a) a k souhrnu uvedenému v prvním pododstavci písm. b) se připojí výrok nezávislého auditora vypracovaný v souladu s mezinárodně uznávanými auditorskými standardy. Tento výrok uvede, zda výkaz podává věrný a poctivý obraz skutečnosti, zda výdaje, o jejichž úhradu byla Komise požádána, jsou legální a správné a zda zavedené kontrolní systémy fungují řádně. Tento výrok rovněž uvede, zda kontrolní činnost nezpochybňuje tvrzení obsažená v prohlášení řídícího subjektu uvedeném</w:t>
            </w:r>
            <w:r w:rsidR="00E159E4" w:rsidRPr="00CA5330">
              <w:rPr>
                <w:sz w:val="22"/>
                <w:szCs w:val="22"/>
              </w:rPr>
              <w:t xml:space="preserve"> v prvním pododstavci písm. a).</w:t>
            </w:r>
            <w:r w:rsidR="00FB73DB" w:rsidRPr="00CA5330">
              <w:rPr>
                <w:sz w:val="22"/>
                <w:szCs w:val="22"/>
              </w:rPr>
              <w:t xml:space="preserve"> </w:t>
            </w:r>
            <w:r w:rsidRPr="00CA5330">
              <w:rPr>
                <w:sz w:val="22"/>
                <w:szCs w:val="22"/>
              </w:rPr>
              <w:t>Lhůtu stanovenou na 15. únor může Komise na základě sdělení dotčeného členského státu výjime</w:t>
            </w:r>
            <w:r w:rsidR="00E159E4" w:rsidRPr="00CA5330">
              <w:rPr>
                <w:sz w:val="22"/>
                <w:szCs w:val="22"/>
              </w:rPr>
              <w:t>čně prodloužit až do 1. března.</w:t>
            </w:r>
            <w:r w:rsidR="00FB73DB" w:rsidRPr="00CA5330">
              <w:rPr>
                <w:sz w:val="22"/>
                <w:szCs w:val="22"/>
              </w:rPr>
              <w:t xml:space="preserve"> </w:t>
            </w:r>
            <w:r w:rsidRPr="00CA5330">
              <w:rPr>
                <w:sz w:val="22"/>
                <w:szCs w:val="22"/>
              </w:rPr>
              <w:t>Členské státy mohou na vhodné úrovni zveřejnit info</w:t>
            </w:r>
            <w:r w:rsidR="00E159E4" w:rsidRPr="00CA5330">
              <w:rPr>
                <w:sz w:val="22"/>
                <w:szCs w:val="22"/>
              </w:rPr>
              <w:t>rmace uvedené v tomto odstavci.</w:t>
            </w:r>
            <w:r w:rsidR="00FB73DB" w:rsidRPr="00CA5330">
              <w:rPr>
                <w:sz w:val="22"/>
                <w:szCs w:val="22"/>
              </w:rPr>
              <w:t xml:space="preserve"> </w:t>
            </w:r>
            <w:r w:rsidRPr="00CA5330">
              <w:rPr>
                <w:sz w:val="22"/>
                <w:szCs w:val="22"/>
              </w:rPr>
              <w:t>Členské státy kromě toho mohou na základě informací uvedených v tomto odstavci vydat prohlášen</w:t>
            </w:r>
            <w:r w:rsidR="00E159E4" w:rsidRPr="00CA5330">
              <w:rPr>
                <w:sz w:val="22"/>
                <w:szCs w:val="22"/>
              </w:rPr>
              <w:t>í podepsané na patřičné úrovni.</w:t>
            </w:r>
          </w:p>
          <w:p w:rsidR="00831443" w:rsidRPr="00CA5330" w:rsidRDefault="00FB73DB" w:rsidP="004C2583">
            <w:pPr>
              <w:pStyle w:val="Textodstavce"/>
              <w:numPr>
                <w:ilvl w:val="0"/>
                <w:numId w:val="0"/>
              </w:numPr>
              <w:tabs>
                <w:tab w:val="num" w:pos="2627"/>
              </w:tabs>
              <w:rPr>
                <w:sz w:val="22"/>
                <w:szCs w:val="22"/>
              </w:rPr>
            </w:pPr>
            <w:r w:rsidRPr="00CA5330">
              <w:rPr>
                <w:sz w:val="22"/>
                <w:szCs w:val="22"/>
              </w:rPr>
              <w:t xml:space="preserve">6. </w:t>
            </w:r>
            <w:r w:rsidR="00831443" w:rsidRPr="00CA5330">
              <w:rPr>
                <w:sz w:val="22"/>
                <w:szCs w:val="22"/>
              </w:rPr>
              <w:t>Aby bylo zajištěno, že finanční prostředky Unie jsou používány v soula</w:t>
            </w:r>
            <w:r w:rsidR="00E159E4" w:rsidRPr="00CA5330">
              <w:rPr>
                <w:sz w:val="22"/>
                <w:szCs w:val="22"/>
              </w:rPr>
              <w:t>du s platnými pravidly, Komise:</w:t>
            </w:r>
          </w:p>
          <w:p w:rsidR="00831443" w:rsidRPr="00CA5330" w:rsidRDefault="00831443" w:rsidP="004C2583">
            <w:pPr>
              <w:pStyle w:val="Textodstavce"/>
              <w:numPr>
                <w:ilvl w:val="0"/>
                <w:numId w:val="0"/>
              </w:numPr>
              <w:tabs>
                <w:tab w:val="num" w:pos="2627"/>
              </w:tabs>
              <w:rPr>
                <w:sz w:val="22"/>
                <w:szCs w:val="22"/>
              </w:rPr>
            </w:pPr>
            <w:r w:rsidRPr="00CA5330">
              <w:rPr>
                <w:sz w:val="22"/>
                <w:szCs w:val="22"/>
              </w:rPr>
              <w:t xml:space="preserve">a) uplatňuje postupy zaměřené na kontrolu a schválení účetní závěrky určených subjektů, aby zajistila, aby byla tato účetní závěrka úplná, přesná a </w:t>
            </w:r>
            <w:r w:rsidR="00E159E4" w:rsidRPr="00CA5330">
              <w:rPr>
                <w:sz w:val="22"/>
                <w:szCs w:val="22"/>
              </w:rPr>
              <w:t>věrná;</w:t>
            </w:r>
          </w:p>
          <w:p w:rsidR="00831443" w:rsidRPr="00CA5330" w:rsidRDefault="00831443" w:rsidP="004C2583">
            <w:pPr>
              <w:pStyle w:val="Textodstavce"/>
              <w:numPr>
                <w:ilvl w:val="0"/>
                <w:numId w:val="0"/>
              </w:numPr>
              <w:tabs>
                <w:tab w:val="num" w:pos="2627"/>
              </w:tabs>
              <w:rPr>
                <w:sz w:val="22"/>
                <w:szCs w:val="22"/>
              </w:rPr>
            </w:pPr>
            <w:r w:rsidRPr="00CA5330">
              <w:rPr>
                <w:sz w:val="22"/>
                <w:szCs w:val="22"/>
              </w:rPr>
              <w:t>b) vyloučí z financování výdajů Unií úhrady proved</w:t>
            </w:r>
            <w:r w:rsidR="00E159E4" w:rsidRPr="00CA5330">
              <w:rPr>
                <w:sz w:val="22"/>
                <w:szCs w:val="22"/>
              </w:rPr>
              <w:t>ené v rozporu s platným právem;</w:t>
            </w:r>
          </w:p>
          <w:p w:rsidR="00E159E4" w:rsidRPr="00CA5330" w:rsidRDefault="00831443" w:rsidP="004C2583">
            <w:pPr>
              <w:pStyle w:val="Textodstavce"/>
              <w:numPr>
                <w:ilvl w:val="0"/>
                <w:numId w:val="0"/>
              </w:numPr>
              <w:tabs>
                <w:tab w:val="num" w:pos="2627"/>
              </w:tabs>
              <w:rPr>
                <w:sz w:val="22"/>
                <w:szCs w:val="22"/>
              </w:rPr>
            </w:pPr>
            <w:r w:rsidRPr="00CA5330">
              <w:rPr>
                <w:sz w:val="22"/>
                <w:szCs w:val="22"/>
              </w:rPr>
              <w:t>c) přeruší běh platebních lhůt nebo pozastaví platby v případech stanov</w:t>
            </w:r>
            <w:r w:rsidR="00E159E4" w:rsidRPr="00CA5330">
              <w:rPr>
                <w:sz w:val="22"/>
                <w:szCs w:val="22"/>
              </w:rPr>
              <w:t>ených v odvětvových pravidlech.</w:t>
            </w:r>
          </w:p>
          <w:p w:rsidR="00831443" w:rsidRPr="00CA5330" w:rsidRDefault="00831443" w:rsidP="004C2583">
            <w:pPr>
              <w:pStyle w:val="Textodstavce"/>
              <w:numPr>
                <w:ilvl w:val="0"/>
                <w:numId w:val="0"/>
              </w:numPr>
              <w:tabs>
                <w:tab w:val="num" w:pos="2627"/>
              </w:tabs>
              <w:rPr>
                <w:sz w:val="22"/>
                <w:szCs w:val="22"/>
              </w:rPr>
            </w:pPr>
            <w:r w:rsidRPr="00CA5330">
              <w:rPr>
                <w:sz w:val="22"/>
                <w:szCs w:val="22"/>
              </w:rPr>
              <w:t>Komise ukončí úplné nebo částečné přerušení běhu platebních lhůt nebo pozastavení plateb poté, co členský stát předloží své připomínky, a jakmile přijme jakákoli nezbytná opatření. Výroční zpráva o činnosti uvedená v čl. 66 odst. 9 obsahuje informace o veškerých povinnostech vypl</w:t>
            </w:r>
            <w:r w:rsidR="00E159E4" w:rsidRPr="00CA5330">
              <w:rPr>
                <w:sz w:val="22"/>
                <w:szCs w:val="22"/>
              </w:rPr>
              <w:t>ývajících z tohoto pododstavce.</w:t>
            </w:r>
          </w:p>
          <w:p w:rsidR="00831443" w:rsidRPr="00CA5330" w:rsidRDefault="00FB73DB" w:rsidP="004C2583">
            <w:pPr>
              <w:pStyle w:val="Textodstavce"/>
              <w:numPr>
                <w:ilvl w:val="0"/>
                <w:numId w:val="0"/>
              </w:numPr>
              <w:tabs>
                <w:tab w:val="num" w:pos="2627"/>
              </w:tabs>
              <w:rPr>
                <w:sz w:val="22"/>
                <w:szCs w:val="22"/>
              </w:rPr>
            </w:pPr>
            <w:r w:rsidRPr="00CA5330">
              <w:rPr>
                <w:sz w:val="22"/>
                <w:szCs w:val="22"/>
              </w:rPr>
              <w:t xml:space="preserve">7. </w:t>
            </w:r>
            <w:r w:rsidR="00831443" w:rsidRPr="00CA5330">
              <w:rPr>
                <w:sz w:val="22"/>
                <w:szCs w:val="22"/>
              </w:rPr>
              <w:t xml:space="preserve">Odvětvová pravidla vezmou v úvahu potřeby programů v rámci evropské územní spolupráce, zejména pokud jde o obsah prohlášení řídícího subjektu, o postup stanovený </w:t>
            </w:r>
            <w:r w:rsidR="00E159E4" w:rsidRPr="00CA5330">
              <w:rPr>
                <w:sz w:val="22"/>
                <w:szCs w:val="22"/>
              </w:rPr>
              <w:t>v odstavci 3 a o funkci auditu.</w:t>
            </w:r>
          </w:p>
          <w:p w:rsidR="00E159E4" w:rsidRPr="00CA5330" w:rsidRDefault="00831443" w:rsidP="004C2583">
            <w:pPr>
              <w:pStyle w:val="Textodstavce"/>
              <w:numPr>
                <w:ilvl w:val="0"/>
                <w:numId w:val="0"/>
              </w:numPr>
              <w:tabs>
                <w:tab w:val="num" w:pos="2627"/>
              </w:tabs>
              <w:rPr>
                <w:sz w:val="22"/>
                <w:szCs w:val="22"/>
              </w:rPr>
            </w:pPr>
            <w:r w:rsidRPr="00CA5330">
              <w:rPr>
                <w:sz w:val="22"/>
                <w:szCs w:val="22"/>
              </w:rPr>
              <w:t>8.</w:t>
            </w:r>
            <w:r w:rsidR="00FB73DB" w:rsidRPr="00CA5330">
              <w:rPr>
                <w:sz w:val="22"/>
                <w:szCs w:val="22"/>
              </w:rPr>
              <w:t xml:space="preserve"> </w:t>
            </w:r>
            <w:r w:rsidRPr="00CA5330">
              <w:rPr>
                <w:sz w:val="22"/>
                <w:szCs w:val="22"/>
              </w:rPr>
              <w:t>Komisi je svěřena pravomoc přijímat akty v přenesené pravomoci v souladu s článkem 210, kterými stanoví podrobná pravidla týkající se sdíleného řízení s členskými státy, včetně vytvoření rejstříku subjektů odpovědných za řízení a kontrolu finančních prostředků Unie, a opatření zaměřených na podporu šíření osvědčených postupů.</w:t>
            </w:r>
          </w:p>
        </w:tc>
      </w:tr>
      <w:tr w:rsidR="00042645" w:rsidRPr="00CA5330" w:rsidTr="00702A4D">
        <w:tc>
          <w:tcPr>
            <w:tcW w:w="1626" w:type="dxa"/>
            <w:vMerge/>
          </w:tcPr>
          <w:p w:rsidR="00042645" w:rsidRPr="00CA5330" w:rsidRDefault="00042645" w:rsidP="004C2583">
            <w:pPr>
              <w:spacing w:before="120" w:after="120"/>
              <w:rPr>
                <w:rFonts w:ascii="Times New Roman" w:hAnsi="Times New Roman" w:cs="Times New Roman"/>
              </w:rPr>
            </w:pPr>
          </w:p>
        </w:tc>
        <w:tc>
          <w:tcPr>
            <w:tcW w:w="3997" w:type="dxa"/>
            <w:vMerge/>
          </w:tcPr>
          <w:p w:rsidR="00042645" w:rsidRPr="00CA5330" w:rsidRDefault="00042645" w:rsidP="004C2583">
            <w:pPr>
              <w:pStyle w:val="Textodstavce"/>
              <w:numPr>
                <w:ilvl w:val="0"/>
                <w:numId w:val="0"/>
              </w:numPr>
              <w:jc w:val="left"/>
              <w:rPr>
                <w:sz w:val="22"/>
                <w:szCs w:val="22"/>
              </w:rPr>
            </w:pPr>
          </w:p>
        </w:tc>
        <w:tc>
          <w:tcPr>
            <w:tcW w:w="2088" w:type="dxa"/>
          </w:tcPr>
          <w:p w:rsidR="00042645" w:rsidRPr="00CA5330" w:rsidRDefault="00042645" w:rsidP="004C2583">
            <w:pPr>
              <w:pStyle w:val="Textodstavce"/>
              <w:numPr>
                <w:ilvl w:val="0"/>
                <w:numId w:val="0"/>
              </w:numPr>
              <w:tabs>
                <w:tab w:val="num" w:pos="2627"/>
              </w:tabs>
              <w:rPr>
                <w:sz w:val="22"/>
                <w:szCs w:val="22"/>
              </w:rPr>
            </w:pPr>
            <w:r w:rsidRPr="00CA5330">
              <w:rPr>
                <w:sz w:val="22"/>
                <w:szCs w:val="22"/>
              </w:rPr>
              <w:t>32013R1303</w:t>
            </w:r>
          </w:p>
        </w:tc>
        <w:tc>
          <w:tcPr>
            <w:tcW w:w="1531" w:type="dxa"/>
          </w:tcPr>
          <w:p w:rsidR="00042645" w:rsidRPr="00CA5330" w:rsidRDefault="0009270D" w:rsidP="004C2583">
            <w:pPr>
              <w:pStyle w:val="Textodstavce"/>
              <w:numPr>
                <w:ilvl w:val="0"/>
                <w:numId w:val="0"/>
              </w:numPr>
              <w:tabs>
                <w:tab w:val="num" w:pos="2627"/>
              </w:tabs>
              <w:rPr>
                <w:sz w:val="22"/>
                <w:szCs w:val="22"/>
              </w:rPr>
            </w:pPr>
            <w:r w:rsidRPr="00CA5330">
              <w:rPr>
                <w:sz w:val="22"/>
                <w:szCs w:val="22"/>
              </w:rPr>
              <w:t>čl. 4</w:t>
            </w:r>
          </w:p>
        </w:tc>
        <w:tc>
          <w:tcPr>
            <w:tcW w:w="4978" w:type="dxa"/>
          </w:tcPr>
          <w:p w:rsidR="0009270D" w:rsidRPr="00CA5330" w:rsidRDefault="0009270D" w:rsidP="004C2583">
            <w:pPr>
              <w:pStyle w:val="Textodstavce"/>
              <w:numPr>
                <w:ilvl w:val="0"/>
                <w:numId w:val="0"/>
              </w:numPr>
              <w:tabs>
                <w:tab w:val="num" w:pos="2627"/>
              </w:tabs>
              <w:rPr>
                <w:b/>
                <w:sz w:val="22"/>
                <w:szCs w:val="22"/>
              </w:rPr>
            </w:pPr>
            <w:r w:rsidRPr="00CA5330">
              <w:rPr>
                <w:b/>
                <w:sz w:val="22"/>
                <w:szCs w:val="22"/>
              </w:rPr>
              <w:t>Obecné zásady</w:t>
            </w:r>
          </w:p>
          <w:p w:rsidR="0009270D" w:rsidRPr="00CA5330" w:rsidRDefault="0009270D" w:rsidP="004C2583">
            <w:pPr>
              <w:pStyle w:val="Textodstavce"/>
              <w:numPr>
                <w:ilvl w:val="0"/>
                <w:numId w:val="0"/>
              </w:numPr>
              <w:tabs>
                <w:tab w:val="num" w:pos="2627"/>
              </w:tabs>
              <w:rPr>
                <w:sz w:val="22"/>
                <w:szCs w:val="22"/>
              </w:rPr>
            </w:pPr>
            <w:r w:rsidRPr="00CA5330">
              <w:rPr>
                <w:sz w:val="22"/>
                <w:szCs w:val="22"/>
              </w:rPr>
              <w:t>1.   Fondy ESI poskytují prostřednictvím víceletých programů podporu, která doplňuje celostátní, regionální a místní zásahy, za účelem splnění strategie Unie pro inteligentní a udržitelný růst podporující začlenění a zvláštních úkolů stanovených pro jednotlivé fondy v souladu s jejich cíli vycházejícími ze Smlouvy, včetně hospodářské, sociální a územní soudržnosti, při zohlednění příslušných integrovaných hlavních směrů strategie Evropa 2020 a příslušných doporučení pro jednotlivé země přijatých podle s čl. 121 odst. 2 Smlouvy o fungování EU a příslušných doporučení Rady přijatých podle s čl. 148 odst. 4 Smlouvy o fungování EU a případně na vnitrostátní úrovni s přihlédnutím k příslušn</w:t>
            </w:r>
            <w:r w:rsidR="00E159E4" w:rsidRPr="00CA5330">
              <w:rPr>
                <w:sz w:val="22"/>
                <w:szCs w:val="22"/>
              </w:rPr>
              <w:t>ému národnímu programu reforem.</w:t>
            </w:r>
          </w:p>
          <w:p w:rsidR="0009270D" w:rsidRPr="00CA5330" w:rsidRDefault="0009270D" w:rsidP="004C2583">
            <w:pPr>
              <w:pStyle w:val="Textodstavce"/>
              <w:numPr>
                <w:ilvl w:val="0"/>
                <w:numId w:val="0"/>
              </w:numPr>
              <w:tabs>
                <w:tab w:val="num" w:pos="2627"/>
              </w:tabs>
              <w:rPr>
                <w:sz w:val="22"/>
                <w:szCs w:val="22"/>
              </w:rPr>
            </w:pPr>
            <w:r w:rsidRPr="00CA5330">
              <w:rPr>
                <w:sz w:val="22"/>
                <w:szCs w:val="22"/>
              </w:rPr>
              <w:t>2.   Komise a členské státy s přihlédnutím ke specifickým podmínkám v jednotlivých členských státech zajistí, aby byla podpora z fondů ESI v souladu s příslušnými politikami, horizontálními zásadami podle článků 5, 7 a 8 a prioritami Unie a vzájemně se dopl</w:t>
            </w:r>
            <w:r w:rsidR="00E159E4" w:rsidRPr="00CA5330">
              <w:rPr>
                <w:sz w:val="22"/>
                <w:szCs w:val="22"/>
              </w:rPr>
              <w:t>ňovala s dalšími nástroji Unie.</w:t>
            </w:r>
          </w:p>
          <w:p w:rsidR="0009270D" w:rsidRPr="00CA5330" w:rsidRDefault="0009270D" w:rsidP="004C2583">
            <w:pPr>
              <w:pStyle w:val="Textodstavce"/>
              <w:numPr>
                <w:ilvl w:val="0"/>
                <w:numId w:val="0"/>
              </w:numPr>
              <w:tabs>
                <w:tab w:val="num" w:pos="2627"/>
              </w:tabs>
              <w:rPr>
                <w:sz w:val="22"/>
                <w:szCs w:val="22"/>
              </w:rPr>
            </w:pPr>
            <w:r w:rsidRPr="00CA5330">
              <w:rPr>
                <w:sz w:val="22"/>
                <w:szCs w:val="22"/>
              </w:rPr>
              <w:t>3.   Podpora z fondů ESI se provádí v úzké spolupráci mezi Komisí a členskými státy v souladu se zásadou s</w:t>
            </w:r>
            <w:r w:rsidR="00E159E4" w:rsidRPr="00CA5330">
              <w:rPr>
                <w:sz w:val="22"/>
                <w:szCs w:val="22"/>
              </w:rPr>
              <w:t>ubsidiarity.</w:t>
            </w:r>
          </w:p>
          <w:p w:rsidR="0009270D" w:rsidRPr="00CA5330" w:rsidRDefault="0009270D" w:rsidP="004C2583">
            <w:pPr>
              <w:pStyle w:val="Textodstavce"/>
              <w:numPr>
                <w:ilvl w:val="0"/>
                <w:numId w:val="0"/>
              </w:numPr>
              <w:tabs>
                <w:tab w:val="num" w:pos="2627"/>
              </w:tabs>
              <w:rPr>
                <w:sz w:val="22"/>
                <w:szCs w:val="22"/>
              </w:rPr>
            </w:pPr>
            <w:r w:rsidRPr="00CA5330">
              <w:rPr>
                <w:sz w:val="22"/>
                <w:szCs w:val="22"/>
              </w:rPr>
              <w:t>4.   Členské státy na odpovídající územní úrovni a v souladu se svým institucionálním, právním a finančním rámcem a subjekty určené členskými státy pro tento účel zodpovídají za přípravu a provádění programů a za plnění svých úkolů v partnerství s příslušnými partnery uvedenými v článku 5 v souladu s tímto naří</w:t>
            </w:r>
            <w:r w:rsidR="002D14C1" w:rsidRPr="00CA5330">
              <w:rPr>
                <w:sz w:val="22"/>
                <w:szCs w:val="22"/>
              </w:rPr>
              <w:t>zením a pravidly pro daný fond.</w:t>
            </w:r>
          </w:p>
          <w:p w:rsidR="0009270D" w:rsidRPr="00CA5330" w:rsidRDefault="0009270D" w:rsidP="004C2583">
            <w:pPr>
              <w:pStyle w:val="Textodstavce"/>
              <w:numPr>
                <w:ilvl w:val="0"/>
                <w:numId w:val="0"/>
              </w:numPr>
              <w:tabs>
                <w:tab w:val="num" w:pos="2627"/>
              </w:tabs>
              <w:rPr>
                <w:sz w:val="22"/>
                <w:szCs w:val="22"/>
              </w:rPr>
            </w:pPr>
            <w:r w:rsidRPr="00CA5330">
              <w:rPr>
                <w:sz w:val="22"/>
                <w:szCs w:val="22"/>
              </w:rPr>
              <w:t>5.   Opatření pro provádění a využívání fondů ESI a zejména nezbytné finanční a správní zdroje potřebné pro přípravu a provádění programů v souvislosti s monitorováním, podáváním zpráv, hodnocením, řízením a kontrolou musí dodržovat zásadu proporcionality s ohledem na výši přidělené podpory a musí přihlížet k obecnému cíli snižování administrativní zátěže pro subjekty zapojené do řízení a kontroly programů</w:t>
            </w:r>
            <w:r w:rsidR="002D14C1" w:rsidRPr="00CA5330">
              <w:rPr>
                <w:sz w:val="22"/>
                <w:szCs w:val="22"/>
              </w:rPr>
              <w:t>.</w:t>
            </w:r>
          </w:p>
          <w:p w:rsidR="0009270D" w:rsidRPr="00CA5330" w:rsidRDefault="0009270D" w:rsidP="004C2583">
            <w:pPr>
              <w:pStyle w:val="Textodstavce"/>
              <w:numPr>
                <w:ilvl w:val="0"/>
                <w:numId w:val="0"/>
              </w:numPr>
              <w:tabs>
                <w:tab w:val="num" w:pos="2627"/>
              </w:tabs>
              <w:rPr>
                <w:sz w:val="22"/>
                <w:szCs w:val="22"/>
              </w:rPr>
            </w:pPr>
            <w:r w:rsidRPr="00CA5330">
              <w:rPr>
                <w:sz w:val="22"/>
                <w:szCs w:val="22"/>
              </w:rPr>
              <w:t>6.   Komise a členské státy v souladu se svými povinnostmi zajišťují koordinaci mezi jednotlivými fondy ESI a mezi fondy ESI a dalšími příslušnými politikami, strategiemi a nástroji Unie včetně těch, jež spadají</w:t>
            </w:r>
            <w:r w:rsidR="002D14C1" w:rsidRPr="00CA5330">
              <w:rPr>
                <w:sz w:val="22"/>
                <w:szCs w:val="22"/>
              </w:rPr>
              <w:t xml:space="preserve"> do rámce vnější činnosti Unie.</w:t>
            </w:r>
          </w:p>
          <w:p w:rsidR="0009270D" w:rsidRPr="00CA5330" w:rsidRDefault="0009270D" w:rsidP="004C2583">
            <w:pPr>
              <w:pStyle w:val="Textodstavce"/>
              <w:numPr>
                <w:ilvl w:val="0"/>
                <w:numId w:val="0"/>
              </w:numPr>
              <w:tabs>
                <w:tab w:val="num" w:pos="2627"/>
              </w:tabs>
              <w:rPr>
                <w:sz w:val="22"/>
                <w:szCs w:val="22"/>
              </w:rPr>
            </w:pPr>
            <w:r w:rsidRPr="00CA5330">
              <w:rPr>
                <w:sz w:val="22"/>
                <w:szCs w:val="22"/>
              </w:rPr>
              <w:t>7.   Část rozpočtu Unie přidělená fondům ESI je plněna v rámci sdíleného řízení, na němž se podílejí členské státy a Komise, v souladu s článkem 59 finančního nařízení, s výjimkou částky podpory z Fondu soudržnosti převedené na nástroj pro propojení Evropy podle čl. 92 odst. 6 tohoto nařízení, inovativních opatření z podnětu Komise podle článku 8 nařízení o EFRR, technické pomoci z podnětu Komise a podpory pro přím</w:t>
            </w:r>
            <w:r w:rsidR="002D14C1" w:rsidRPr="00CA5330">
              <w:rPr>
                <w:sz w:val="22"/>
                <w:szCs w:val="22"/>
              </w:rPr>
              <w:t>é řízení podle nařízení o ENRF.</w:t>
            </w:r>
          </w:p>
          <w:p w:rsidR="0009270D" w:rsidRPr="00CA5330" w:rsidRDefault="0009270D" w:rsidP="004C2583">
            <w:pPr>
              <w:pStyle w:val="Textodstavce"/>
              <w:numPr>
                <w:ilvl w:val="0"/>
                <w:numId w:val="0"/>
              </w:numPr>
              <w:tabs>
                <w:tab w:val="num" w:pos="2627"/>
              </w:tabs>
              <w:rPr>
                <w:sz w:val="22"/>
                <w:szCs w:val="22"/>
              </w:rPr>
            </w:pPr>
            <w:r w:rsidRPr="00CA5330">
              <w:rPr>
                <w:sz w:val="22"/>
                <w:szCs w:val="22"/>
              </w:rPr>
              <w:t xml:space="preserve">8.   Komise a členské státy ctí zásadu řádného finančního řízení v souladu s </w:t>
            </w:r>
            <w:r w:rsidR="002D14C1" w:rsidRPr="00CA5330">
              <w:rPr>
                <w:sz w:val="22"/>
                <w:szCs w:val="22"/>
              </w:rPr>
              <w:t>článkem 30 finančního nařízení.</w:t>
            </w:r>
          </w:p>
          <w:p w:rsidR="0009270D" w:rsidRPr="00CA5330" w:rsidRDefault="0009270D" w:rsidP="004C2583">
            <w:pPr>
              <w:pStyle w:val="Textodstavce"/>
              <w:numPr>
                <w:ilvl w:val="0"/>
                <w:numId w:val="0"/>
              </w:numPr>
              <w:tabs>
                <w:tab w:val="num" w:pos="2627"/>
              </w:tabs>
              <w:rPr>
                <w:sz w:val="22"/>
                <w:szCs w:val="22"/>
              </w:rPr>
            </w:pPr>
            <w:r w:rsidRPr="00CA5330">
              <w:rPr>
                <w:sz w:val="22"/>
                <w:szCs w:val="22"/>
              </w:rPr>
              <w:t>9.   Komise a členské státy zajistí účinnost fondů ESI při přípravě a provádění ve vztahu ke monitorová</w:t>
            </w:r>
            <w:r w:rsidR="002D14C1" w:rsidRPr="00CA5330">
              <w:rPr>
                <w:sz w:val="22"/>
                <w:szCs w:val="22"/>
              </w:rPr>
              <w:t>ní, podávání zpráv a hodnocení.</w:t>
            </w:r>
          </w:p>
          <w:p w:rsidR="004C77C0" w:rsidRPr="00CA5330" w:rsidRDefault="0009270D" w:rsidP="004C2583">
            <w:pPr>
              <w:pStyle w:val="Textodstavce"/>
              <w:numPr>
                <w:ilvl w:val="0"/>
                <w:numId w:val="0"/>
              </w:numPr>
              <w:tabs>
                <w:tab w:val="num" w:pos="2627"/>
              </w:tabs>
              <w:rPr>
                <w:sz w:val="22"/>
                <w:szCs w:val="22"/>
              </w:rPr>
            </w:pPr>
            <w:r w:rsidRPr="00CA5330">
              <w:rPr>
                <w:sz w:val="22"/>
                <w:szCs w:val="22"/>
              </w:rPr>
              <w:t>10.   Komise a členské státy plní své úlohy v souvislosti s fondy ESI s cílem snížit administrativní zátěž pro příjemce.</w:t>
            </w:r>
          </w:p>
        </w:tc>
      </w:tr>
      <w:tr w:rsidR="002235A5" w:rsidRPr="00CA5330" w:rsidTr="00702A4D">
        <w:tc>
          <w:tcPr>
            <w:tcW w:w="1626" w:type="dxa"/>
            <w:vMerge w:val="restart"/>
          </w:tcPr>
          <w:p w:rsidR="002235A5" w:rsidRPr="00CA5330" w:rsidRDefault="002235A5" w:rsidP="004C2583">
            <w:pPr>
              <w:pStyle w:val="Textodstavce"/>
              <w:numPr>
                <w:ilvl w:val="0"/>
                <w:numId w:val="0"/>
              </w:numPr>
              <w:tabs>
                <w:tab w:val="num" w:pos="2627"/>
              </w:tabs>
              <w:rPr>
                <w:sz w:val="22"/>
                <w:szCs w:val="22"/>
              </w:rPr>
            </w:pPr>
            <w:r w:rsidRPr="00CA5330">
              <w:rPr>
                <w:sz w:val="22"/>
                <w:szCs w:val="22"/>
              </w:rPr>
              <w:t xml:space="preserve">§ 2 </w:t>
            </w:r>
          </w:p>
          <w:p w:rsidR="002235A5" w:rsidRPr="00CA5330" w:rsidRDefault="002235A5" w:rsidP="004C2583">
            <w:pPr>
              <w:spacing w:before="120" w:after="120"/>
              <w:rPr>
                <w:rFonts w:ascii="Times New Roman" w:hAnsi="Times New Roman" w:cs="Times New Roman"/>
              </w:rPr>
            </w:pPr>
            <w:r w:rsidRPr="00CA5330">
              <w:rPr>
                <w:rFonts w:ascii="Times New Roman" w:hAnsi="Times New Roman" w:cs="Times New Roman"/>
              </w:rPr>
              <w:t xml:space="preserve"> </w:t>
            </w:r>
          </w:p>
        </w:tc>
        <w:tc>
          <w:tcPr>
            <w:tcW w:w="3997" w:type="dxa"/>
            <w:vMerge w:val="restart"/>
          </w:tcPr>
          <w:p w:rsidR="002B6EC5" w:rsidRPr="00CA5330" w:rsidRDefault="004354DE" w:rsidP="004354DE">
            <w:pPr>
              <w:pStyle w:val="Textodstavce"/>
              <w:numPr>
                <w:ilvl w:val="0"/>
                <w:numId w:val="0"/>
              </w:numPr>
              <w:rPr>
                <w:sz w:val="22"/>
                <w:szCs w:val="22"/>
              </w:rPr>
            </w:pPr>
            <w:r w:rsidRPr="00CA5330">
              <w:rPr>
                <w:sz w:val="22"/>
                <w:szCs w:val="22"/>
              </w:rPr>
              <w:t xml:space="preserve">(1) </w:t>
            </w:r>
            <w:r w:rsidR="002B6EC5" w:rsidRPr="00CA5330">
              <w:rPr>
                <w:sz w:val="22"/>
                <w:szCs w:val="22"/>
              </w:rPr>
              <w:t>Tento zákon se vztahuje</w:t>
            </w:r>
            <w:r w:rsidR="002B6EC5" w:rsidRPr="00CA5330">
              <w:rPr>
                <w:rStyle w:val="Znakapoznpodarou"/>
                <w:sz w:val="22"/>
                <w:szCs w:val="22"/>
              </w:rPr>
              <w:footnoteReference w:customMarkFollows="1" w:id="2"/>
              <w:t>2)</w:t>
            </w:r>
            <w:r w:rsidR="002B6EC5" w:rsidRPr="00CA5330">
              <w:rPr>
                <w:sz w:val="22"/>
                <w:szCs w:val="22"/>
              </w:rPr>
              <w:t xml:space="preserve"> na řízení a kontrolu veřejných financí správce veřejného rozpočtu a veřejného subjektu.</w:t>
            </w:r>
          </w:p>
          <w:p w:rsidR="002B6EC5" w:rsidRPr="00CA5330" w:rsidRDefault="004354DE" w:rsidP="004354DE">
            <w:pPr>
              <w:pStyle w:val="Textodstavce"/>
              <w:numPr>
                <w:ilvl w:val="0"/>
                <w:numId w:val="0"/>
              </w:numPr>
              <w:rPr>
                <w:sz w:val="22"/>
                <w:szCs w:val="22"/>
              </w:rPr>
            </w:pPr>
            <w:r w:rsidRPr="00CA5330">
              <w:rPr>
                <w:sz w:val="22"/>
                <w:szCs w:val="22"/>
              </w:rPr>
              <w:t xml:space="preserve">(2) </w:t>
            </w:r>
            <w:r w:rsidR="002B6EC5" w:rsidRPr="00CA5330">
              <w:rPr>
                <w:sz w:val="22"/>
                <w:szCs w:val="22"/>
              </w:rPr>
              <w:t>Tento zákon se vztahuje</w:t>
            </w:r>
            <w:r w:rsidR="002B6EC5" w:rsidRPr="00CA5330">
              <w:rPr>
                <w:rStyle w:val="Odkaznapoznpodarou"/>
                <w:sz w:val="22"/>
                <w:szCs w:val="22"/>
              </w:rPr>
              <w:t>2)</w:t>
            </w:r>
            <w:r w:rsidR="002B6EC5" w:rsidRPr="00CA5330">
              <w:rPr>
                <w:sz w:val="22"/>
                <w:szCs w:val="22"/>
              </w:rPr>
              <w:t xml:space="preserve"> na řízení a kontrolu veřejných financí veřejné vysoké školy a veřejné výzkumné instituce, jen pokud tak výslovně stanoví. </w:t>
            </w:r>
          </w:p>
          <w:p w:rsidR="00ED4147" w:rsidRPr="00CA5330" w:rsidRDefault="00ED4147" w:rsidP="002B6EC5">
            <w:pPr>
              <w:pStyle w:val="Textpsmene"/>
              <w:numPr>
                <w:ilvl w:val="0"/>
                <w:numId w:val="0"/>
              </w:numPr>
              <w:spacing w:before="120" w:after="120"/>
              <w:ind w:left="425" w:hanging="425"/>
              <w:rPr>
                <w:sz w:val="22"/>
                <w:szCs w:val="22"/>
              </w:rPr>
            </w:pPr>
          </w:p>
        </w:tc>
        <w:tc>
          <w:tcPr>
            <w:tcW w:w="2088" w:type="dxa"/>
            <w:vMerge w:val="restart"/>
          </w:tcPr>
          <w:p w:rsidR="002235A5" w:rsidRPr="00CA5330" w:rsidRDefault="002235A5" w:rsidP="004C2583">
            <w:pPr>
              <w:pStyle w:val="Textodstavce"/>
              <w:numPr>
                <w:ilvl w:val="0"/>
                <w:numId w:val="0"/>
              </w:numPr>
              <w:tabs>
                <w:tab w:val="num" w:pos="2627"/>
              </w:tabs>
              <w:rPr>
                <w:sz w:val="22"/>
                <w:szCs w:val="22"/>
              </w:rPr>
            </w:pPr>
            <w:r w:rsidRPr="00CA5330">
              <w:rPr>
                <w:sz w:val="22"/>
                <w:szCs w:val="22"/>
              </w:rPr>
              <w:t>32011L0085</w:t>
            </w:r>
          </w:p>
        </w:tc>
        <w:tc>
          <w:tcPr>
            <w:tcW w:w="1531" w:type="dxa"/>
          </w:tcPr>
          <w:p w:rsidR="002235A5" w:rsidRPr="00CA5330" w:rsidRDefault="002235A5" w:rsidP="004C2583">
            <w:pPr>
              <w:pStyle w:val="Textodstavce"/>
              <w:numPr>
                <w:ilvl w:val="0"/>
                <w:numId w:val="0"/>
              </w:numPr>
              <w:tabs>
                <w:tab w:val="num" w:pos="2627"/>
              </w:tabs>
              <w:rPr>
                <w:sz w:val="22"/>
                <w:szCs w:val="22"/>
              </w:rPr>
            </w:pPr>
            <w:r w:rsidRPr="00CA5330">
              <w:rPr>
                <w:sz w:val="22"/>
                <w:szCs w:val="22"/>
              </w:rPr>
              <w:t>Preambule</w:t>
            </w:r>
          </w:p>
        </w:tc>
        <w:tc>
          <w:tcPr>
            <w:tcW w:w="4978" w:type="dxa"/>
          </w:tcPr>
          <w:p w:rsidR="002235A5" w:rsidRPr="00CA5330" w:rsidRDefault="00C6626D" w:rsidP="004C2583">
            <w:pPr>
              <w:pStyle w:val="Textodstavce"/>
              <w:numPr>
                <w:ilvl w:val="0"/>
                <w:numId w:val="0"/>
              </w:numPr>
              <w:tabs>
                <w:tab w:val="num" w:pos="2627"/>
              </w:tabs>
              <w:rPr>
                <w:sz w:val="22"/>
                <w:szCs w:val="22"/>
              </w:rPr>
            </w:pPr>
            <w:r w:rsidRPr="00CA5330">
              <w:rPr>
                <w:sz w:val="22"/>
                <w:szCs w:val="22"/>
              </w:rPr>
              <w:t>(2)</w:t>
            </w:r>
            <w:r w:rsidR="002235A5" w:rsidRPr="00CA5330">
              <w:rPr>
                <w:sz w:val="22"/>
                <w:szCs w:val="22"/>
              </w:rPr>
              <w:t xml:space="preserve"> Vlády a </w:t>
            </w:r>
            <w:proofErr w:type="spellStart"/>
            <w:r w:rsidR="002235A5" w:rsidRPr="00CA5330">
              <w:rPr>
                <w:sz w:val="22"/>
                <w:szCs w:val="22"/>
              </w:rPr>
              <w:t>subsektory</w:t>
            </w:r>
            <w:proofErr w:type="spellEnd"/>
            <w:r w:rsidR="002235A5" w:rsidRPr="00CA5330">
              <w:rPr>
                <w:sz w:val="22"/>
                <w:szCs w:val="22"/>
              </w:rPr>
              <w:t xml:space="preserve"> sektoru vládních institucí členských států spravují systémy veřejných účtů, které obsahují prvky, jako je účetnictví, vnitřní kontrola, účetní výkaznictví a audit. Tyto systémy by měly být odlišovány od statistických údajů, které se týkají výsledků veřejných financí a jsou založeny na statistických metodikách, a od prognóz či rozpočtových opatření, které souvisí s budoucími veřejnými financemi.</w:t>
            </w:r>
          </w:p>
          <w:p w:rsidR="002235A5" w:rsidRPr="00CA5330" w:rsidRDefault="00C6626D" w:rsidP="004C2583">
            <w:pPr>
              <w:pStyle w:val="Textodstavce"/>
              <w:numPr>
                <w:ilvl w:val="0"/>
                <w:numId w:val="0"/>
              </w:numPr>
              <w:tabs>
                <w:tab w:val="num" w:pos="2627"/>
              </w:tabs>
              <w:rPr>
                <w:sz w:val="22"/>
                <w:szCs w:val="22"/>
              </w:rPr>
            </w:pPr>
            <w:r w:rsidRPr="00CA5330">
              <w:rPr>
                <w:sz w:val="22"/>
                <w:szCs w:val="22"/>
              </w:rPr>
              <w:t>(3)</w:t>
            </w:r>
            <w:r w:rsidR="002235A5" w:rsidRPr="00CA5330">
              <w:rPr>
                <w:sz w:val="22"/>
                <w:szCs w:val="22"/>
              </w:rPr>
              <w:t xml:space="preserve"> Předpokladem tvorby vysoce kvalitních statistik, které je možno porovnávat mezi všemi členskými státy, jsou kompletní a spolehlivé postupy veřejného účetnictví pro všechny </w:t>
            </w:r>
            <w:proofErr w:type="spellStart"/>
            <w:r w:rsidR="002235A5" w:rsidRPr="00CA5330">
              <w:rPr>
                <w:sz w:val="22"/>
                <w:szCs w:val="22"/>
              </w:rPr>
              <w:t>subsektory</w:t>
            </w:r>
            <w:proofErr w:type="spellEnd"/>
            <w:r w:rsidR="002235A5" w:rsidRPr="00CA5330">
              <w:rPr>
                <w:sz w:val="22"/>
                <w:szCs w:val="22"/>
              </w:rPr>
              <w:t xml:space="preserve"> sektoru vládních institucí. Vnitřní kontroly by měly zajistit, aby bylo plnění stávajících pravidel vymáháno ve všech </w:t>
            </w:r>
            <w:proofErr w:type="spellStart"/>
            <w:r w:rsidR="002235A5" w:rsidRPr="00CA5330">
              <w:rPr>
                <w:sz w:val="22"/>
                <w:szCs w:val="22"/>
              </w:rPr>
              <w:t>subsektorech</w:t>
            </w:r>
            <w:proofErr w:type="spellEnd"/>
            <w:r w:rsidR="002235A5" w:rsidRPr="00CA5330">
              <w:rPr>
                <w:sz w:val="22"/>
                <w:szCs w:val="22"/>
              </w:rPr>
              <w:t xml:space="preserve"> sektoru vládních institucí. Nezávislé audity prováděné veřejnými institucemi, jako například Účetním dvorem, nebo soukromými auditními subjekty, by měly podporovat osvědčené mezinárodní postupy</w:t>
            </w:r>
          </w:p>
        </w:tc>
      </w:tr>
      <w:tr w:rsidR="002235A5" w:rsidRPr="00CA5330" w:rsidTr="00702A4D">
        <w:trPr>
          <w:trHeight w:val="2448"/>
        </w:trPr>
        <w:tc>
          <w:tcPr>
            <w:tcW w:w="1626" w:type="dxa"/>
            <w:vMerge/>
            <w:tcBorders>
              <w:bottom w:val="single" w:sz="4" w:space="0" w:color="auto"/>
            </w:tcBorders>
          </w:tcPr>
          <w:p w:rsidR="002235A5" w:rsidRPr="00CA5330" w:rsidRDefault="002235A5" w:rsidP="004C2583">
            <w:pPr>
              <w:spacing w:before="120" w:after="120"/>
              <w:rPr>
                <w:rFonts w:ascii="Times New Roman" w:hAnsi="Times New Roman" w:cs="Times New Roman"/>
              </w:rPr>
            </w:pPr>
          </w:p>
        </w:tc>
        <w:tc>
          <w:tcPr>
            <w:tcW w:w="3997" w:type="dxa"/>
            <w:vMerge/>
            <w:tcBorders>
              <w:bottom w:val="single" w:sz="4" w:space="0" w:color="auto"/>
            </w:tcBorders>
          </w:tcPr>
          <w:p w:rsidR="002235A5" w:rsidRPr="00CA5330" w:rsidRDefault="002235A5" w:rsidP="004C2583">
            <w:pPr>
              <w:pStyle w:val="Textodstavce"/>
              <w:tabs>
                <w:tab w:val="num" w:pos="2627"/>
              </w:tabs>
              <w:rPr>
                <w:sz w:val="22"/>
                <w:szCs w:val="22"/>
              </w:rPr>
            </w:pPr>
          </w:p>
        </w:tc>
        <w:tc>
          <w:tcPr>
            <w:tcW w:w="2088" w:type="dxa"/>
            <w:vMerge/>
            <w:tcBorders>
              <w:bottom w:val="single" w:sz="4" w:space="0" w:color="auto"/>
            </w:tcBorders>
          </w:tcPr>
          <w:p w:rsidR="002235A5" w:rsidRPr="00CA5330" w:rsidRDefault="002235A5" w:rsidP="004C2583">
            <w:pPr>
              <w:pStyle w:val="Textodstavce"/>
              <w:numPr>
                <w:ilvl w:val="0"/>
                <w:numId w:val="0"/>
              </w:numPr>
              <w:rPr>
                <w:sz w:val="22"/>
                <w:szCs w:val="22"/>
              </w:rPr>
            </w:pPr>
          </w:p>
        </w:tc>
        <w:tc>
          <w:tcPr>
            <w:tcW w:w="1531" w:type="dxa"/>
            <w:tcBorders>
              <w:bottom w:val="single" w:sz="4" w:space="0" w:color="auto"/>
            </w:tcBorders>
          </w:tcPr>
          <w:p w:rsidR="002235A5" w:rsidRPr="00CA5330" w:rsidRDefault="002235A5" w:rsidP="004C2583">
            <w:pPr>
              <w:pStyle w:val="Textodstavce"/>
              <w:numPr>
                <w:ilvl w:val="0"/>
                <w:numId w:val="0"/>
              </w:numPr>
              <w:tabs>
                <w:tab w:val="num" w:pos="2627"/>
              </w:tabs>
              <w:rPr>
                <w:sz w:val="22"/>
                <w:szCs w:val="22"/>
              </w:rPr>
            </w:pPr>
            <w:r w:rsidRPr="00CA5330">
              <w:rPr>
                <w:sz w:val="22"/>
                <w:szCs w:val="22"/>
              </w:rPr>
              <w:t>čl. 3 odst. 1</w:t>
            </w:r>
          </w:p>
        </w:tc>
        <w:tc>
          <w:tcPr>
            <w:tcW w:w="4978" w:type="dxa"/>
            <w:tcBorders>
              <w:bottom w:val="single" w:sz="4" w:space="0" w:color="auto"/>
            </w:tcBorders>
          </w:tcPr>
          <w:p w:rsidR="004A73AB" w:rsidRPr="00CA5330" w:rsidRDefault="002235A5" w:rsidP="004C2583">
            <w:pPr>
              <w:pStyle w:val="Textodstavce"/>
              <w:numPr>
                <w:ilvl w:val="0"/>
                <w:numId w:val="0"/>
              </w:numPr>
              <w:tabs>
                <w:tab w:val="num" w:pos="2627"/>
              </w:tabs>
              <w:rPr>
                <w:sz w:val="22"/>
                <w:szCs w:val="22"/>
              </w:rPr>
            </w:pPr>
            <w:r w:rsidRPr="00CA5330">
              <w:rPr>
                <w:sz w:val="22"/>
                <w:szCs w:val="22"/>
              </w:rPr>
              <w:t xml:space="preserve">1.   Pokud jde o vnitrostátní systémy veřejných účtů, v členských státech fungují systémy veřejných účtů, které komplexně a konzistentně pokrývají všechny </w:t>
            </w:r>
            <w:proofErr w:type="spellStart"/>
            <w:r w:rsidRPr="00CA5330">
              <w:rPr>
                <w:sz w:val="22"/>
                <w:szCs w:val="22"/>
              </w:rPr>
              <w:t>subsektory</w:t>
            </w:r>
            <w:proofErr w:type="spellEnd"/>
            <w:r w:rsidRPr="00CA5330">
              <w:rPr>
                <w:sz w:val="22"/>
                <w:szCs w:val="22"/>
              </w:rPr>
              <w:t xml:space="preserve"> sektoru vládních institucí a obsahují informace potřebné k vypracování akruálních údajů pro sestavení údajů založených na standardu ESA 95. Uvedené systémy veřejných účtů podléhají vnitřní kontrole a nezávislému auditu.</w:t>
            </w:r>
          </w:p>
        </w:tc>
      </w:tr>
      <w:tr w:rsidR="002235A5" w:rsidRPr="00CA5330" w:rsidTr="00702A4D">
        <w:tc>
          <w:tcPr>
            <w:tcW w:w="1626" w:type="dxa"/>
            <w:vMerge w:val="restart"/>
          </w:tcPr>
          <w:p w:rsidR="002235A5" w:rsidRPr="00CA5330" w:rsidRDefault="002235A5" w:rsidP="004C2583">
            <w:pPr>
              <w:pStyle w:val="Textodstavce"/>
              <w:numPr>
                <w:ilvl w:val="0"/>
                <w:numId w:val="0"/>
              </w:numPr>
              <w:tabs>
                <w:tab w:val="num" w:pos="2627"/>
              </w:tabs>
              <w:rPr>
                <w:sz w:val="22"/>
                <w:szCs w:val="22"/>
              </w:rPr>
            </w:pPr>
            <w:r w:rsidRPr="00CA5330">
              <w:rPr>
                <w:sz w:val="22"/>
                <w:szCs w:val="22"/>
              </w:rPr>
              <w:t xml:space="preserve">§ </w:t>
            </w:r>
            <w:r w:rsidR="00CC4EA8" w:rsidRPr="00CA5330">
              <w:rPr>
                <w:sz w:val="22"/>
                <w:szCs w:val="22"/>
              </w:rPr>
              <w:t>4</w:t>
            </w:r>
            <w:r w:rsidRPr="00CA5330">
              <w:rPr>
                <w:sz w:val="22"/>
                <w:szCs w:val="22"/>
              </w:rPr>
              <w:t xml:space="preserve"> písm. a) a b) </w:t>
            </w:r>
          </w:p>
          <w:p w:rsidR="002235A5" w:rsidRPr="00CA5330" w:rsidRDefault="002235A5" w:rsidP="004C2583">
            <w:pPr>
              <w:pStyle w:val="Textodstavce"/>
              <w:numPr>
                <w:ilvl w:val="0"/>
                <w:numId w:val="0"/>
              </w:numPr>
              <w:tabs>
                <w:tab w:val="num" w:pos="2627"/>
              </w:tabs>
              <w:rPr>
                <w:sz w:val="22"/>
                <w:szCs w:val="22"/>
              </w:rPr>
            </w:pPr>
          </w:p>
        </w:tc>
        <w:tc>
          <w:tcPr>
            <w:tcW w:w="3997" w:type="dxa"/>
            <w:vMerge w:val="restart"/>
          </w:tcPr>
          <w:p w:rsidR="000D7EE2" w:rsidRPr="00CA5330" w:rsidRDefault="000D7EE2" w:rsidP="004C2583">
            <w:pPr>
              <w:pStyle w:val="Nadpisparagrafu"/>
              <w:spacing w:before="120" w:after="120"/>
              <w:jc w:val="left"/>
              <w:rPr>
                <w:sz w:val="22"/>
                <w:szCs w:val="22"/>
              </w:rPr>
            </w:pPr>
            <w:r w:rsidRPr="00CA5330">
              <w:rPr>
                <w:sz w:val="22"/>
                <w:szCs w:val="22"/>
              </w:rPr>
              <w:t>Vymezení některých pojmů</w:t>
            </w:r>
          </w:p>
          <w:p w:rsidR="000D7EE2" w:rsidRPr="00CA5330" w:rsidRDefault="000D7EE2" w:rsidP="004C2583">
            <w:pPr>
              <w:pStyle w:val="Textodstavce"/>
              <w:numPr>
                <w:ilvl w:val="0"/>
                <w:numId w:val="0"/>
              </w:numPr>
              <w:rPr>
                <w:sz w:val="22"/>
                <w:szCs w:val="22"/>
              </w:rPr>
            </w:pPr>
            <w:r w:rsidRPr="00CA5330">
              <w:rPr>
                <w:sz w:val="22"/>
                <w:szCs w:val="22"/>
              </w:rPr>
              <w:t>Pro účely tohoto zákona se rozumí</w:t>
            </w:r>
          </w:p>
          <w:p w:rsidR="000D7EE2" w:rsidRPr="00CA5330" w:rsidRDefault="00CB7570" w:rsidP="004C2583">
            <w:pPr>
              <w:pStyle w:val="Textpsmene"/>
              <w:numPr>
                <w:ilvl w:val="0"/>
                <w:numId w:val="0"/>
              </w:numPr>
              <w:spacing w:before="120" w:after="120"/>
              <w:ind w:left="425" w:hanging="425"/>
              <w:rPr>
                <w:sz w:val="22"/>
                <w:szCs w:val="22"/>
              </w:rPr>
            </w:pPr>
            <w:r w:rsidRPr="00CA5330">
              <w:rPr>
                <w:sz w:val="22"/>
                <w:szCs w:val="22"/>
              </w:rPr>
              <w:t xml:space="preserve">a) </w:t>
            </w:r>
            <w:r w:rsidR="000D7EE2" w:rsidRPr="00CA5330">
              <w:rPr>
                <w:sz w:val="22"/>
                <w:szCs w:val="22"/>
              </w:rPr>
              <w:t>správcem veřejného rozpočtu</w:t>
            </w:r>
          </w:p>
          <w:p w:rsidR="000D7EE2" w:rsidRPr="00CA5330" w:rsidRDefault="0071644A" w:rsidP="004C2583">
            <w:pPr>
              <w:pStyle w:val="Textbodu"/>
              <w:numPr>
                <w:ilvl w:val="0"/>
                <w:numId w:val="0"/>
              </w:numPr>
              <w:spacing w:before="120" w:after="120"/>
              <w:ind w:left="-66"/>
              <w:rPr>
                <w:sz w:val="22"/>
                <w:szCs w:val="22"/>
              </w:rPr>
            </w:pPr>
            <w:r w:rsidRPr="00CA5330">
              <w:rPr>
                <w:sz w:val="22"/>
                <w:szCs w:val="22"/>
              </w:rPr>
              <w:t xml:space="preserve">1. </w:t>
            </w:r>
            <w:r w:rsidR="000D7EE2" w:rsidRPr="00CA5330">
              <w:rPr>
                <w:sz w:val="22"/>
                <w:szCs w:val="22"/>
              </w:rPr>
              <w:t>organizační složka státu, která je správcem kapitoly státního rozpočtu,</w:t>
            </w:r>
          </w:p>
          <w:p w:rsidR="000D7EE2" w:rsidRPr="00CA5330" w:rsidRDefault="0071644A" w:rsidP="004C2583">
            <w:pPr>
              <w:pStyle w:val="Textbodu"/>
              <w:numPr>
                <w:ilvl w:val="0"/>
                <w:numId w:val="0"/>
              </w:numPr>
              <w:spacing w:before="120" w:after="120"/>
              <w:rPr>
                <w:sz w:val="22"/>
                <w:szCs w:val="22"/>
              </w:rPr>
            </w:pPr>
            <w:r w:rsidRPr="00CA5330">
              <w:rPr>
                <w:sz w:val="22"/>
                <w:szCs w:val="22"/>
              </w:rPr>
              <w:t xml:space="preserve">2. </w:t>
            </w:r>
            <w:r w:rsidR="000D7EE2" w:rsidRPr="00CA5330">
              <w:rPr>
                <w:sz w:val="22"/>
                <w:szCs w:val="22"/>
              </w:rPr>
              <w:t>státní fond,</w:t>
            </w:r>
          </w:p>
          <w:p w:rsidR="000D7EE2" w:rsidRPr="00CA5330" w:rsidRDefault="0071644A" w:rsidP="004C2583">
            <w:pPr>
              <w:pStyle w:val="Textbodu"/>
              <w:numPr>
                <w:ilvl w:val="0"/>
                <w:numId w:val="0"/>
              </w:numPr>
              <w:spacing w:before="120" w:after="120"/>
              <w:rPr>
                <w:sz w:val="22"/>
                <w:szCs w:val="22"/>
              </w:rPr>
            </w:pPr>
            <w:r w:rsidRPr="00CA5330">
              <w:rPr>
                <w:sz w:val="22"/>
                <w:szCs w:val="22"/>
              </w:rPr>
              <w:t xml:space="preserve">3. </w:t>
            </w:r>
            <w:r w:rsidR="000D7EE2" w:rsidRPr="00CA5330">
              <w:rPr>
                <w:sz w:val="22"/>
                <w:szCs w:val="22"/>
              </w:rPr>
              <w:t>kraj,</w:t>
            </w:r>
          </w:p>
          <w:p w:rsidR="000D7EE2" w:rsidRPr="00CA5330" w:rsidRDefault="0071644A" w:rsidP="004C2583">
            <w:pPr>
              <w:pStyle w:val="Textbodu"/>
              <w:numPr>
                <w:ilvl w:val="0"/>
                <w:numId w:val="0"/>
              </w:numPr>
              <w:spacing w:before="120" w:after="120"/>
              <w:rPr>
                <w:sz w:val="22"/>
                <w:szCs w:val="22"/>
              </w:rPr>
            </w:pPr>
            <w:r w:rsidRPr="00CA5330">
              <w:rPr>
                <w:sz w:val="22"/>
                <w:szCs w:val="22"/>
              </w:rPr>
              <w:t xml:space="preserve">4. </w:t>
            </w:r>
            <w:r w:rsidR="000D7EE2" w:rsidRPr="00CA5330">
              <w:rPr>
                <w:sz w:val="22"/>
                <w:szCs w:val="22"/>
              </w:rPr>
              <w:t>hlavní město Praha,</w:t>
            </w:r>
          </w:p>
          <w:p w:rsidR="000D7EE2" w:rsidRPr="00CA5330" w:rsidRDefault="0071644A" w:rsidP="004C2583">
            <w:pPr>
              <w:pStyle w:val="Textbodu"/>
              <w:numPr>
                <w:ilvl w:val="0"/>
                <w:numId w:val="0"/>
              </w:numPr>
              <w:spacing w:before="120" w:after="120"/>
              <w:rPr>
                <w:sz w:val="22"/>
                <w:szCs w:val="22"/>
              </w:rPr>
            </w:pPr>
            <w:r w:rsidRPr="00CA5330">
              <w:rPr>
                <w:sz w:val="22"/>
                <w:szCs w:val="22"/>
              </w:rPr>
              <w:t xml:space="preserve">5. </w:t>
            </w:r>
            <w:r w:rsidR="000D7EE2" w:rsidRPr="00CA5330">
              <w:rPr>
                <w:sz w:val="22"/>
                <w:szCs w:val="22"/>
              </w:rPr>
              <w:t>obec,</w:t>
            </w:r>
          </w:p>
          <w:p w:rsidR="000D7EE2" w:rsidRPr="00CA5330" w:rsidRDefault="0071644A" w:rsidP="004C2583">
            <w:pPr>
              <w:pStyle w:val="Textbodu"/>
              <w:numPr>
                <w:ilvl w:val="0"/>
                <w:numId w:val="0"/>
              </w:numPr>
              <w:spacing w:before="120" w:after="120"/>
              <w:rPr>
                <w:sz w:val="22"/>
                <w:szCs w:val="22"/>
              </w:rPr>
            </w:pPr>
            <w:r w:rsidRPr="00CA5330">
              <w:rPr>
                <w:sz w:val="22"/>
                <w:szCs w:val="22"/>
              </w:rPr>
              <w:t xml:space="preserve">6. </w:t>
            </w:r>
            <w:r w:rsidR="000D7EE2" w:rsidRPr="00CA5330">
              <w:rPr>
                <w:sz w:val="22"/>
                <w:szCs w:val="22"/>
              </w:rPr>
              <w:t>dobrovolný svazek obcí,</w:t>
            </w:r>
          </w:p>
          <w:p w:rsidR="000D7EE2" w:rsidRPr="00CA5330" w:rsidRDefault="0071644A" w:rsidP="004C2583">
            <w:pPr>
              <w:pStyle w:val="Textbodu"/>
              <w:numPr>
                <w:ilvl w:val="0"/>
                <w:numId w:val="0"/>
              </w:numPr>
              <w:spacing w:before="120" w:after="120"/>
              <w:rPr>
                <w:sz w:val="22"/>
                <w:szCs w:val="22"/>
              </w:rPr>
            </w:pPr>
            <w:r w:rsidRPr="00CA5330">
              <w:rPr>
                <w:sz w:val="22"/>
                <w:szCs w:val="22"/>
              </w:rPr>
              <w:t xml:space="preserve">7. </w:t>
            </w:r>
            <w:r w:rsidR="000D7EE2" w:rsidRPr="00CA5330">
              <w:rPr>
                <w:sz w:val="22"/>
                <w:szCs w:val="22"/>
              </w:rPr>
              <w:t>regionální rada regionu soudržnosti,</w:t>
            </w:r>
          </w:p>
          <w:p w:rsidR="000D7EE2" w:rsidRPr="00CA5330" w:rsidRDefault="0071644A" w:rsidP="004C2583">
            <w:pPr>
              <w:pStyle w:val="Textbodu"/>
              <w:numPr>
                <w:ilvl w:val="0"/>
                <w:numId w:val="0"/>
              </w:numPr>
              <w:spacing w:before="120" w:after="120"/>
              <w:rPr>
                <w:sz w:val="22"/>
                <w:szCs w:val="22"/>
              </w:rPr>
            </w:pPr>
            <w:r w:rsidRPr="00CA5330">
              <w:rPr>
                <w:sz w:val="22"/>
                <w:szCs w:val="22"/>
              </w:rPr>
              <w:t xml:space="preserve">8. </w:t>
            </w:r>
            <w:r w:rsidR="000D7EE2" w:rsidRPr="00CA5330">
              <w:rPr>
                <w:sz w:val="22"/>
                <w:szCs w:val="22"/>
              </w:rPr>
              <w:t>zdravotní pojišťovna,</w:t>
            </w:r>
          </w:p>
          <w:p w:rsidR="000D7EE2" w:rsidRPr="00CA5330" w:rsidRDefault="00CB7570" w:rsidP="004C2583">
            <w:pPr>
              <w:pStyle w:val="Textpsmene"/>
              <w:numPr>
                <w:ilvl w:val="0"/>
                <w:numId w:val="0"/>
              </w:numPr>
              <w:spacing w:before="120" w:after="120"/>
              <w:ind w:left="425" w:hanging="425"/>
              <w:rPr>
                <w:sz w:val="22"/>
                <w:szCs w:val="22"/>
              </w:rPr>
            </w:pPr>
            <w:r w:rsidRPr="00CA5330">
              <w:rPr>
                <w:sz w:val="22"/>
                <w:szCs w:val="22"/>
              </w:rPr>
              <w:t xml:space="preserve">b) </w:t>
            </w:r>
            <w:r w:rsidR="000D7EE2" w:rsidRPr="00CA5330">
              <w:rPr>
                <w:sz w:val="22"/>
                <w:szCs w:val="22"/>
              </w:rPr>
              <w:t>veřejným subjektem</w:t>
            </w:r>
          </w:p>
          <w:p w:rsidR="000D7EE2" w:rsidRPr="00CA5330" w:rsidRDefault="002515CE" w:rsidP="004C2583">
            <w:pPr>
              <w:pStyle w:val="Textbodu"/>
              <w:numPr>
                <w:ilvl w:val="0"/>
                <w:numId w:val="0"/>
              </w:numPr>
              <w:spacing w:before="120" w:after="120"/>
              <w:rPr>
                <w:sz w:val="22"/>
                <w:szCs w:val="22"/>
              </w:rPr>
            </w:pPr>
            <w:r w:rsidRPr="00CA5330">
              <w:rPr>
                <w:sz w:val="22"/>
                <w:szCs w:val="22"/>
              </w:rPr>
              <w:t xml:space="preserve">1. </w:t>
            </w:r>
            <w:r w:rsidR="000D7EE2" w:rsidRPr="00CA5330">
              <w:rPr>
                <w:sz w:val="22"/>
                <w:szCs w:val="22"/>
              </w:rPr>
              <w:t>organizační složka státu, která není správcem kapitoly státního rozpočtu,</w:t>
            </w:r>
          </w:p>
          <w:p w:rsidR="000D7EE2" w:rsidRPr="00CA5330" w:rsidRDefault="002515CE" w:rsidP="004C2583">
            <w:pPr>
              <w:pStyle w:val="Textbodu"/>
              <w:numPr>
                <w:ilvl w:val="0"/>
                <w:numId w:val="0"/>
              </w:numPr>
              <w:spacing w:before="120" w:after="120"/>
              <w:rPr>
                <w:sz w:val="22"/>
                <w:szCs w:val="22"/>
              </w:rPr>
            </w:pPr>
            <w:r w:rsidRPr="00CA5330">
              <w:rPr>
                <w:sz w:val="22"/>
                <w:szCs w:val="22"/>
              </w:rPr>
              <w:t xml:space="preserve">2. </w:t>
            </w:r>
            <w:r w:rsidR="000D7EE2" w:rsidRPr="00CA5330">
              <w:rPr>
                <w:sz w:val="22"/>
                <w:szCs w:val="22"/>
              </w:rPr>
              <w:t>státní příspěvková organizace,</w:t>
            </w:r>
          </w:p>
          <w:p w:rsidR="000D7EE2" w:rsidRPr="00CA5330" w:rsidRDefault="0071644A" w:rsidP="004C2583">
            <w:pPr>
              <w:pStyle w:val="Textbodu"/>
              <w:numPr>
                <w:ilvl w:val="0"/>
                <w:numId w:val="0"/>
              </w:numPr>
              <w:spacing w:before="120" w:after="120"/>
              <w:rPr>
                <w:sz w:val="22"/>
                <w:szCs w:val="22"/>
              </w:rPr>
            </w:pPr>
            <w:r w:rsidRPr="00CA5330">
              <w:rPr>
                <w:sz w:val="22"/>
                <w:szCs w:val="22"/>
              </w:rPr>
              <w:t xml:space="preserve">3. </w:t>
            </w:r>
            <w:r w:rsidR="000D7EE2" w:rsidRPr="00CA5330">
              <w:rPr>
                <w:sz w:val="22"/>
                <w:szCs w:val="22"/>
              </w:rPr>
              <w:t>Správa železniční dopravní cesty,</w:t>
            </w:r>
          </w:p>
          <w:p w:rsidR="000D7EE2" w:rsidRPr="00CA5330" w:rsidRDefault="0071644A" w:rsidP="004C2583">
            <w:pPr>
              <w:pStyle w:val="Textbodu"/>
              <w:numPr>
                <w:ilvl w:val="0"/>
                <w:numId w:val="0"/>
              </w:numPr>
              <w:spacing w:before="120" w:after="120"/>
              <w:rPr>
                <w:sz w:val="22"/>
                <w:szCs w:val="22"/>
              </w:rPr>
            </w:pPr>
            <w:r w:rsidRPr="00CA5330">
              <w:rPr>
                <w:sz w:val="22"/>
                <w:szCs w:val="22"/>
              </w:rPr>
              <w:t xml:space="preserve">4. </w:t>
            </w:r>
            <w:r w:rsidR="000D7EE2" w:rsidRPr="00CA5330">
              <w:rPr>
                <w:sz w:val="22"/>
                <w:szCs w:val="22"/>
              </w:rPr>
              <w:t>městská část hlavního města Prahy,</w:t>
            </w:r>
          </w:p>
          <w:p w:rsidR="000D7EE2" w:rsidRPr="00CA5330" w:rsidRDefault="0071644A" w:rsidP="004C2583">
            <w:pPr>
              <w:pStyle w:val="Textbodu"/>
              <w:numPr>
                <w:ilvl w:val="0"/>
                <w:numId w:val="0"/>
              </w:numPr>
              <w:spacing w:before="120" w:after="120"/>
              <w:rPr>
                <w:sz w:val="22"/>
                <w:szCs w:val="22"/>
              </w:rPr>
            </w:pPr>
            <w:r w:rsidRPr="00CA5330">
              <w:rPr>
                <w:sz w:val="22"/>
                <w:szCs w:val="22"/>
              </w:rPr>
              <w:t xml:space="preserve">5. </w:t>
            </w:r>
            <w:r w:rsidR="000D7EE2" w:rsidRPr="00CA5330">
              <w:rPr>
                <w:sz w:val="22"/>
                <w:szCs w:val="22"/>
              </w:rPr>
              <w:t>městský obvod nebo městská část statutárního města,</w:t>
            </w:r>
          </w:p>
          <w:p w:rsidR="000D7EE2" w:rsidRPr="00CA5330" w:rsidRDefault="0071644A" w:rsidP="004C2583">
            <w:pPr>
              <w:pStyle w:val="Textbodu"/>
              <w:numPr>
                <w:ilvl w:val="0"/>
                <w:numId w:val="0"/>
              </w:numPr>
              <w:spacing w:before="120" w:after="120"/>
              <w:rPr>
                <w:sz w:val="22"/>
                <w:szCs w:val="22"/>
              </w:rPr>
            </w:pPr>
            <w:r w:rsidRPr="00CA5330">
              <w:rPr>
                <w:sz w:val="22"/>
                <w:szCs w:val="22"/>
              </w:rPr>
              <w:t xml:space="preserve">6. </w:t>
            </w:r>
            <w:r w:rsidR="000D7EE2" w:rsidRPr="00CA5330">
              <w:rPr>
                <w:sz w:val="22"/>
                <w:szCs w:val="22"/>
              </w:rPr>
              <w:t>příspěvková o</w:t>
            </w:r>
            <w:r w:rsidR="00174ED5" w:rsidRPr="00CA5330">
              <w:rPr>
                <w:sz w:val="22"/>
                <w:szCs w:val="22"/>
              </w:rPr>
              <w:t>rganizace zřízená krajem, obcí</w:t>
            </w:r>
            <w:r w:rsidR="000D7EE2" w:rsidRPr="00CA5330">
              <w:rPr>
                <w:sz w:val="22"/>
                <w:szCs w:val="22"/>
              </w:rPr>
              <w:t>, městskou částí hlavního města Prahy, městským obvodem statutárního města, městskou částí statutárního města nebo dobrovolným svazkem obcí,</w:t>
            </w:r>
          </w:p>
          <w:p w:rsidR="002235A5" w:rsidRPr="00CA5330" w:rsidRDefault="0071644A" w:rsidP="004C2583">
            <w:pPr>
              <w:pStyle w:val="Textbodu"/>
              <w:numPr>
                <w:ilvl w:val="0"/>
                <w:numId w:val="0"/>
              </w:numPr>
              <w:spacing w:before="120" w:after="120"/>
              <w:rPr>
                <w:sz w:val="22"/>
                <w:szCs w:val="22"/>
              </w:rPr>
            </w:pPr>
            <w:r w:rsidRPr="00CA5330">
              <w:rPr>
                <w:sz w:val="22"/>
                <w:szCs w:val="22"/>
              </w:rPr>
              <w:t xml:space="preserve">7. </w:t>
            </w:r>
            <w:r w:rsidR="000D7EE2" w:rsidRPr="00CA5330">
              <w:rPr>
                <w:sz w:val="22"/>
                <w:szCs w:val="22"/>
              </w:rPr>
              <w:t>školská právnická osoba zřízená Ministerstvem školství, mládeže a tělovýchovy, krajem, obcí, městskou částí hlavního města Prahy, městským obvodem statutárního města, městskou částí statutárního města nebo dobrovolným svazkem obcí,</w:t>
            </w:r>
          </w:p>
        </w:tc>
        <w:tc>
          <w:tcPr>
            <w:tcW w:w="2088" w:type="dxa"/>
            <w:vMerge w:val="restart"/>
          </w:tcPr>
          <w:p w:rsidR="002235A5" w:rsidRPr="00CA5330" w:rsidRDefault="002235A5" w:rsidP="004C2583">
            <w:pPr>
              <w:pStyle w:val="Textodstavce"/>
              <w:numPr>
                <w:ilvl w:val="0"/>
                <w:numId w:val="0"/>
              </w:numPr>
              <w:tabs>
                <w:tab w:val="num" w:pos="2627"/>
              </w:tabs>
              <w:rPr>
                <w:sz w:val="22"/>
                <w:szCs w:val="22"/>
              </w:rPr>
            </w:pPr>
            <w:r w:rsidRPr="00CA5330">
              <w:rPr>
                <w:sz w:val="22"/>
                <w:szCs w:val="22"/>
              </w:rPr>
              <w:t>32011L0085</w:t>
            </w:r>
          </w:p>
        </w:tc>
        <w:tc>
          <w:tcPr>
            <w:tcW w:w="1531" w:type="dxa"/>
          </w:tcPr>
          <w:p w:rsidR="002235A5" w:rsidRPr="00CA5330" w:rsidRDefault="00F4124F" w:rsidP="004C2583">
            <w:pPr>
              <w:pStyle w:val="Textodstavce"/>
              <w:numPr>
                <w:ilvl w:val="0"/>
                <w:numId w:val="0"/>
              </w:numPr>
              <w:tabs>
                <w:tab w:val="num" w:pos="2627"/>
              </w:tabs>
              <w:rPr>
                <w:sz w:val="22"/>
                <w:szCs w:val="22"/>
              </w:rPr>
            </w:pPr>
            <w:r w:rsidRPr="00CA5330">
              <w:rPr>
                <w:sz w:val="22"/>
                <w:szCs w:val="22"/>
              </w:rPr>
              <w:t>P</w:t>
            </w:r>
            <w:r w:rsidR="002235A5" w:rsidRPr="00CA5330">
              <w:rPr>
                <w:sz w:val="22"/>
                <w:szCs w:val="22"/>
              </w:rPr>
              <w:t>reambule</w:t>
            </w:r>
          </w:p>
        </w:tc>
        <w:tc>
          <w:tcPr>
            <w:tcW w:w="4978" w:type="dxa"/>
          </w:tcPr>
          <w:p w:rsidR="002235A5" w:rsidRPr="00CA5330" w:rsidRDefault="00C24CE7" w:rsidP="004C2583">
            <w:pPr>
              <w:pStyle w:val="Textodstavce"/>
              <w:numPr>
                <w:ilvl w:val="0"/>
                <w:numId w:val="0"/>
              </w:numPr>
              <w:tabs>
                <w:tab w:val="num" w:pos="2627"/>
              </w:tabs>
              <w:rPr>
                <w:sz w:val="22"/>
                <w:szCs w:val="22"/>
              </w:rPr>
            </w:pPr>
            <w:r w:rsidRPr="00CA5330">
              <w:rPr>
                <w:sz w:val="22"/>
                <w:szCs w:val="22"/>
              </w:rPr>
              <w:t xml:space="preserve">(2) </w:t>
            </w:r>
            <w:r w:rsidR="002235A5" w:rsidRPr="00CA5330">
              <w:rPr>
                <w:sz w:val="22"/>
                <w:szCs w:val="22"/>
              </w:rPr>
              <w:t xml:space="preserve">Vlády a </w:t>
            </w:r>
            <w:proofErr w:type="spellStart"/>
            <w:r w:rsidR="002235A5" w:rsidRPr="00CA5330">
              <w:rPr>
                <w:sz w:val="22"/>
                <w:szCs w:val="22"/>
              </w:rPr>
              <w:t>subsektory</w:t>
            </w:r>
            <w:proofErr w:type="spellEnd"/>
            <w:r w:rsidR="002235A5" w:rsidRPr="00CA5330">
              <w:rPr>
                <w:sz w:val="22"/>
                <w:szCs w:val="22"/>
              </w:rPr>
              <w:t xml:space="preserve"> sektoru vládních institucí členských států spravují systémy veřejných účtů, které obsahují prvky, jako je účetnictví, vnitřní kontrola, účetní výkaznictví a audit. Tyto systémy by měly být odlišovány od statistických údajů, které se týkají výsledků veřejných financí a jsou založeny na statistických metodikách, a od prognóz či rozpočtových opatření, které souvisí s budoucími veřejnými financemi.</w:t>
            </w:r>
          </w:p>
          <w:p w:rsidR="002235A5" w:rsidRPr="00CA5330" w:rsidRDefault="00C24CE7" w:rsidP="004C2583">
            <w:pPr>
              <w:pStyle w:val="Textodstavce"/>
              <w:numPr>
                <w:ilvl w:val="0"/>
                <w:numId w:val="0"/>
              </w:numPr>
              <w:tabs>
                <w:tab w:val="num" w:pos="2627"/>
              </w:tabs>
              <w:rPr>
                <w:sz w:val="22"/>
                <w:szCs w:val="22"/>
              </w:rPr>
            </w:pPr>
            <w:r w:rsidRPr="00CA5330">
              <w:rPr>
                <w:sz w:val="22"/>
                <w:szCs w:val="22"/>
              </w:rPr>
              <w:t xml:space="preserve">(3) </w:t>
            </w:r>
            <w:r w:rsidR="002235A5" w:rsidRPr="00CA5330">
              <w:rPr>
                <w:sz w:val="22"/>
                <w:szCs w:val="22"/>
              </w:rPr>
              <w:t xml:space="preserve">Předpokladem tvorby vysoce kvalitních statistik, které je možno porovnávat mezi všemi členskými státy, jsou kompletní a spolehlivé postupy veřejného účetnictví pro všechny </w:t>
            </w:r>
            <w:proofErr w:type="spellStart"/>
            <w:r w:rsidR="002235A5" w:rsidRPr="00CA5330">
              <w:rPr>
                <w:sz w:val="22"/>
                <w:szCs w:val="22"/>
              </w:rPr>
              <w:t>subsektory</w:t>
            </w:r>
            <w:proofErr w:type="spellEnd"/>
            <w:r w:rsidR="002235A5" w:rsidRPr="00CA5330">
              <w:rPr>
                <w:sz w:val="22"/>
                <w:szCs w:val="22"/>
              </w:rPr>
              <w:t xml:space="preserve"> sektoru vládních institucí. Vnitřní kontroly by měly zajistit, aby bylo plnění stávajících pravidel vymáháno ve všech </w:t>
            </w:r>
            <w:proofErr w:type="spellStart"/>
            <w:r w:rsidR="002235A5" w:rsidRPr="00CA5330">
              <w:rPr>
                <w:sz w:val="22"/>
                <w:szCs w:val="22"/>
              </w:rPr>
              <w:t>subsektorech</w:t>
            </w:r>
            <w:proofErr w:type="spellEnd"/>
            <w:r w:rsidR="002235A5" w:rsidRPr="00CA5330">
              <w:rPr>
                <w:sz w:val="22"/>
                <w:szCs w:val="22"/>
              </w:rPr>
              <w:t xml:space="preserve"> sektoru vládních institucí. Nezávislé audity prováděné veřejnými institucemi, jako například Účetním dvorem, nebo soukromými auditními subjekty, by měly podporovat osvědčené mezinárodní postupy.</w:t>
            </w:r>
          </w:p>
        </w:tc>
      </w:tr>
      <w:tr w:rsidR="002235A5" w:rsidRPr="00CA5330" w:rsidTr="00702A4D">
        <w:tc>
          <w:tcPr>
            <w:tcW w:w="1626" w:type="dxa"/>
            <w:vMerge/>
          </w:tcPr>
          <w:p w:rsidR="002235A5" w:rsidRPr="00CA5330" w:rsidRDefault="002235A5" w:rsidP="004C2583">
            <w:pPr>
              <w:pStyle w:val="Textodstavce"/>
              <w:numPr>
                <w:ilvl w:val="0"/>
                <w:numId w:val="0"/>
              </w:numPr>
              <w:tabs>
                <w:tab w:val="num" w:pos="2627"/>
              </w:tabs>
              <w:rPr>
                <w:sz w:val="22"/>
                <w:szCs w:val="22"/>
              </w:rPr>
            </w:pPr>
          </w:p>
        </w:tc>
        <w:tc>
          <w:tcPr>
            <w:tcW w:w="3997" w:type="dxa"/>
            <w:vMerge/>
          </w:tcPr>
          <w:p w:rsidR="002235A5" w:rsidRPr="00CA5330" w:rsidRDefault="002235A5" w:rsidP="004C2583">
            <w:pPr>
              <w:pStyle w:val="Textodstavce"/>
              <w:numPr>
                <w:ilvl w:val="0"/>
                <w:numId w:val="0"/>
              </w:numPr>
              <w:tabs>
                <w:tab w:val="num" w:pos="2627"/>
              </w:tabs>
              <w:rPr>
                <w:sz w:val="22"/>
                <w:szCs w:val="22"/>
              </w:rPr>
            </w:pPr>
          </w:p>
        </w:tc>
        <w:tc>
          <w:tcPr>
            <w:tcW w:w="2088" w:type="dxa"/>
            <w:vMerge/>
          </w:tcPr>
          <w:p w:rsidR="002235A5" w:rsidRPr="00CA5330" w:rsidRDefault="002235A5" w:rsidP="004C2583">
            <w:pPr>
              <w:pStyle w:val="Textodstavce"/>
              <w:numPr>
                <w:ilvl w:val="0"/>
                <w:numId w:val="0"/>
              </w:numPr>
              <w:rPr>
                <w:sz w:val="22"/>
                <w:szCs w:val="22"/>
              </w:rPr>
            </w:pPr>
          </w:p>
        </w:tc>
        <w:tc>
          <w:tcPr>
            <w:tcW w:w="1531" w:type="dxa"/>
          </w:tcPr>
          <w:p w:rsidR="002235A5" w:rsidRPr="00CA5330" w:rsidRDefault="002235A5" w:rsidP="004C2583">
            <w:pPr>
              <w:spacing w:before="120" w:after="120"/>
              <w:rPr>
                <w:rFonts w:ascii="Times New Roman" w:hAnsi="Times New Roman" w:cs="Times New Roman"/>
              </w:rPr>
            </w:pPr>
            <w:r w:rsidRPr="00CA5330">
              <w:rPr>
                <w:rFonts w:ascii="Times New Roman" w:hAnsi="Times New Roman" w:cs="Times New Roman"/>
              </w:rPr>
              <w:t>čl. 3 odst. 1</w:t>
            </w:r>
          </w:p>
        </w:tc>
        <w:tc>
          <w:tcPr>
            <w:tcW w:w="4978" w:type="dxa"/>
          </w:tcPr>
          <w:p w:rsidR="002235A5" w:rsidRPr="00CA5330" w:rsidRDefault="002235A5" w:rsidP="004C2583">
            <w:pPr>
              <w:pStyle w:val="Textodstavce"/>
              <w:numPr>
                <w:ilvl w:val="0"/>
                <w:numId w:val="0"/>
              </w:numPr>
              <w:tabs>
                <w:tab w:val="num" w:pos="2627"/>
              </w:tabs>
              <w:rPr>
                <w:sz w:val="22"/>
                <w:szCs w:val="22"/>
              </w:rPr>
            </w:pPr>
            <w:r w:rsidRPr="00CA5330">
              <w:rPr>
                <w:sz w:val="22"/>
                <w:szCs w:val="22"/>
              </w:rPr>
              <w:t xml:space="preserve">1. Pokud jde o vnitrostátní systémy veřejných účtů, v členských státech fungují systémy veřejných účtů, které komplexně a konzistentně pokrývají všechny </w:t>
            </w:r>
            <w:proofErr w:type="spellStart"/>
            <w:r w:rsidRPr="00CA5330">
              <w:rPr>
                <w:sz w:val="22"/>
                <w:szCs w:val="22"/>
              </w:rPr>
              <w:t>subsektory</w:t>
            </w:r>
            <w:proofErr w:type="spellEnd"/>
            <w:r w:rsidRPr="00CA5330">
              <w:rPr>
                <w:sz w:val="22"/>
                <w:szCs w:val="22"/>
              </w:rPr>
              <w:t xml:space="preserve"> sektoru vládních institucí a obsahují informace potřebné k vypracování akruálních údajů pro sestavení údajů založených na standardu ESA 95. Uvedené systémy veřejných účtů podléhají vnitřní kontrole a nezávislému auditu.</w:t>
            </w:r>
          </w:p>
        </w:tc>
      </w:tr>
      <w:tr w:rsidR="008358D4" w:rsidRPr="00CA5330" w:rsidTr="00702A4D">
        <w:tc>
          <w:tcPr>
            <w:tcW w:w="1626" w:type="dxa"/>
            <w:vMerge w:val="restart"/>
          </w:tcPr>
          <w:p w:rsidR="008358D4" w:rsidRPr="00CA5330" w:rsidRDefault="006E3D95" w:rsidP="004C2583">
            <w:pPr>
              <w:spacing w:before="120" w:after="120"/>
              <w:rPr>
                <w:rFonts w:ascii="Times New Roman" w:hAnsi="Times New Roman" w:cs="Times New Roman"/>
              </w:rPr>
            </w:pPr>
            <w:r w:rsidRPr="00CA5330">
              <w:rPr>
                <w:rFonts w:ascii="Times New Roman" w:hAnsi="Times New Roman" w:cs="Times New Roman"/>
              </w:rPr>
              <w:t xml:space="preserve">§ </w:t>
            </w:r>
            <w:r w:rsidR="00702A4D" w:rsidRPr="00CA5330">
              <w:rPr>
                <w:rFonts w:ascii="Times New Roman" w:hAnsi="Times New Roman" w:cs="Times New Roman"/>
              </w:rPr>
              <w:t>5</w:t>
            </w:r>
          </w:p>
        </w:tc>
        <w:tc>
          <w:tcPr>
            <w:tcW w:w="3997" w:type="dxa"/>
            <w:vMerge w:val="restart"/>
          </w:tcPr>
          <w:p w:rsidR="00C2272D" w:rsidRPr="00CA5330" w:rsidRDefault="00C2272D" w:rsidP="004C2583">
            <w:pPr>
              <w:pStyle w:val="Nadpisparagrafu"/>
              <w:spacing w:before="120" w:after="120"/>
              <w:jc w:val="left"/>
              <w:rPr>
                <w:sz w:val="22"/>
                <w:szCs w:val="22"/>
              </w:rPr>
            </w:pPr>
            <w:r w:rsidRPr="00CA5330">
              <w:rPr>
                <w:sz w:val="22"/>
                <w:szCs w:val="22"/>
              </w:rPr>
              <w:t>Cíl řízení a kontroly veřejných financí</w:t>
            </w:r>
          </w:p>
          <w:p w:rsidR="00C2272D" w:rsidRPr="00CA5330" w:rsidRDefault="0007529C" w:rsidP="004C2583">
            <w:pPr>
              <w:pStyle w:val="Textodstavce"/>
              <w:numPr>
                <w:ilvl w:val="0"/>
                <w:numId w:val="0"/>
              </w:numPr>
              <w:tabs>
                <w:tab w:val="num" w:pos="782"/>
              </w:tabs>
              <w:rPr>
                <w:sz w:val="22"/>
                <w:szCs w:val="22"/>
              </w:rPr>
            </w:pPr>
            <w:r w:rsidRPr="00CA5330">
              <w:rPr>
                <w:sz w:val="22"/>
                <w:szCs w:val="22"/>
              </w:rPr>
              <w:t xml:space="preserve">(1) </w:t>
            </w:r>
            <w:r w:rsidR="00C2272D" w:rsidRPr="00CA5330">
              <w:rPr>
                <w:sz w:val="22"/>
                <w:szCs w:val="22"/>
              </w:rPr>
              <w:t>Cílem řízení a kontroly veřejných financí je zajistit, aby s veřejnými prostředky bylo nakládáno účelně, hospodárně a efektivně.</w:t>
            </w:r>
          </w:p>
          <w:p w:rsidR="00C2272D" w:rsidRPr="00CA5330" w:rsidRDefault="0007529C" w:rsidP="004C2583">
            <w:pPr>
              <w:pStyle w:val="Textodstavce"/>
              <w:numPr>
                <w:ilvl w:val="0"/>
                <w:numId w:val="0"/>
              </w:numPr>
              <w:rPr>
                <w:sz w:val="22"/>
                <w:szCs w:val="22"/>
              </w:rPr>
            </w:pPr>
            <w:r w:rsidRPr="00CA5330">
              <w:rPr>
                <w:sz w:val="22"/>
                <w:szCs w:val="22"/>
              </w:rPr>
              <w:t xml:space="preserve">(2) </w:t>
            </w:r>
            <w:r w:rsidR="00C2272D" w:rsidRPr="00CA5330">
              <w:rPr>
                <w:sz w:val="22"/>
                <w:szCs w:val="22"/>
              </w:rPr>
              <w:t>Správce veřejného rozpočtu, veřejný subjekt a příjemce veřejné finanční podpory nakládá s veřejnými prostředky</w:t>
            </w:r>
          </w:p>
          <w:p w:rsidR="00C2272D" w:rsidRPr="00CA5330" w:rsidRDefault="0007529C" w:rsidP="004C2583">
            <w:pPr>
              <w:pStyle w:val="Textpsmene"/>
              <w:numPr>
                <w:ilvl w:val="0"/>
                <w:numId w:val="0"/>
              </w:numPr>
              <w:tabs>
                <w:tab w:val="num" w:pos="2627"/>
              </w:tabs>
              <w:spacing w:before="120" w:after="120"/>
              <w:rPr>
                <w:sz w:val="22"/>
                <w:szCs w:val="22"/>
              </w:rPr>
            </w:pPr>
            <w:r w:rsidRPr="00CA5330">
              <w:rPr>
                <w:sz w:val="22"/>
                <w:szCs w:val="22"/>
              </w:rPr>
              <w:t xml:space="preserve">a) </w:t>
            </w:r>
            <w:r w:rsidR="00C2272D" w:rsidRPr="00CA5330">
              <w:rPr>
                <w:sz w:val="22"/>
                <w:szCs w:val="22"/>
              </w:rPr>
              <w:t>účelně, pokud dosažené výsledky odpovídají stanovené potřebě,</w:t>
            </w:r>
          </w:p>
          <w:p w:rsidR="00C2272D" w:rsidRPr="00CA5330" w:rsidRDefault="0007529C" w:rsidP="004C2583">
            <w:pPr>
              <w:pStyle w:val="Textpsmene"/>
              <w:numPr>
                <w:ilvl w:val="0"/>
                <w:numId w:val="0"/>
              </w:numPr>
              <w:tabs>
                <w:tab w:val="num" w:pos="2627"/>
              </w:tabs>
              <w:spacing w:before="120" w:after="120"/>
              <w:rPr>
                <w:sz w:val="22"/>
                <w:szCs w:val="22"/>
              </w:rPr>
            </w:pPr>
            <w:r w:rsidRPr="00CA5330">
              <w:rPr>
                <w:sz w:val="22"/>
                <w:szCs w:val="22"/>
              </w:rPr>
              <w:t xml:space="preserve">b) </w:t>
            </w:r>
            <w:r w:rsidR="00C2272D" w:rsidRPr="00CA5330">
              <w:rPr>
                <w:sz w:val="22"/>
                <w:szCs w:val="22"/>
              </w:rPr>
              <w:t>hospodárně, pokud jsou zdroje k dispozici ve správnou dobu, v dostatečném množství, v přiměřené kvalitě a za co nejvýhodnější cenu, a</w:t>
            </w:r>
          </w:p>
          <w:p w:rsidR="00C2272D" w:rsidRPr="00CA5330" w:rsidRDefault="0007529C" w:rsidP="004C2583">
            <w:pPr>
              <w:pStyle w:val="Textpsmene"/>
              <w:numPr>
                <w:ilvl w:val="0"/>
                <w:numId w:val="0"/>
              </w:numPr>
              <w:tabs>
                <w:tab w:val="num" w:pos="2627"/>
              </w:tabs>
              <w:spacing w:before="120" w:after="120"/>
              <w:rPr>
                <w:sz w:val="22"/>
                <w:szCs w:val="22"/>
              </w:rPr>
            </w:pPr>
            <w:r w:rsidRPr="00CA5330">
              <w:rPr>
                <w:sz w:val="22"/>
                <w:szCs w:val="22"/>
              </w:rPr>
              <w:t xml:space="preserve">c) </w:t>
            </w:r>
            <w:r w:rsidR="00C2272D" w:rsidRPr="00CA5330">
              <w:rPr>
                <w:sz w:val="22"/>
                <w:szCs w:val="22"/>
              </w:rPr>
              <w:t>efektivně, pokud je dosaženo co nejlepšího vztahu mezi použitými prostředky a dosaženými výsledky.</w:t>
            </w:r>
          </w:p>
          <w:p w:rsidR="008358D4" w:rsidRPr="00CA5330" w:rsidRDefault="008358D4" w:rsidP="004C2583">
            <w:pPr>
              <w:pStyle w:val="Textpsmene"/>
              <w:numPr>
                <w:ilvl w:val="0"/>
                <w:numId w:val="0"/>
              </w:numPr>
              <w:spacing w:before="120" w:after="120"/>
              <w:ind w:left="425"/>
              <w:rPr>
                <w:sz w:val="22"/>
                <w:szCs w:val="22"/>
              </w:rPr>
            </w:pPr>
          </w:p>
        </w:tc>
        <w:tc>
          <w:tcPr>
            <w:tcW w:w="2088" w:type="dxa"/>
          </w:tcPr>
          <w:p w:rsidR="008358D4" w:rsidRPr="00CA5330" w:rsidRDefault="008358D4" w:rsidP="004C2583">
            <w:pPr>
              <w:pStyle w:val="Textlnku"/>
              <w:spacing w:before="120" w:after="120"/>
              <w:ind w:firstLine="0"/>
              <w:rPr>
                <w:sz w:val="22"/>
                <w:szCs w:val="22"/>
              </w:rPr>
            </w:pPr>
            <w:r w:rsidRPr="00CA5330">
              <w:rPr>
                <w:sz w:val="22"/>
                <w:szCs w:val="22"/>
              </w:rPr>
              <w:t>32012R0966</w:t>
            </w:r>
          </w:p>
          <w:p w:rsidR="008358D4" w:rsidRPr="00CA5330" w:rsidRDefault="008358D4" w:rsidP="004C2583">
            <w:pPr>
              <w:spacing w:before="120" w:after="120"/>
              <w:rPr>
                <w:rFonts w:ascii="Times New Roman" w:hAnsi="Times New Roman" w:cs="Times New Roman"/>
              </w:rPr>
            </w:pPr>
          </w:p>
        </w:tc>
        <w:tc>
          <w:tcPr>
            <w:tcW w:w="1531" w:type="dxa"/>
          </w:tcPr>
          <w:p w:rsidR="008358D4" w:rsidRPr="00CA5330" w:rsidRDefault="008358D4" w:rsidP="004C2583">
            <w:pPr>
              <w:spacing w:before="120" w:after="120"/>
              <w:rPr>
                <w:rFonts w:ascii="Times New Roman" w:hAnsi="Times New Roman" w:cs="Times New Roman"/>
              </w:rPr>
            </w:pPr>
            <w:r w:rsidRPr="00CA5330">
              <w:rPr>
                <w:rFonts w:ascii="Times New Roman" w:hAnsi="Times New Roman" w:cs="Times New Roman"/>
              </w:rPr>
              <w:t>čl. 30</w:t>
            </w:r>
          </w:p>
        </w:tc>
        <w:tc>
          <w:tcPr>
            <w:tcW w:w="4978" w:type="dxa"/>
          </w:tcPr>
          <w:p w:rsidR="008358D4" w:rsidRPr="00CA5330" w:rsidRDefault="008358D4" w:rsidP="004C2583">
            <w:pPr>
              <w:spacing w:before="120" w:after="120"/>
              <w:rPr>
                <w:rFonts w:ascii="Times New Roman" w:hAnsi="Times New Roman" w:cs="Times New Roman"/>
                <w:b/>
              </w:rPr>
            </w:pPr>
            <w:r w:rsidRPr="00CA5330">
              <w:rPr>
                <w:rFonts w:ascii="Times New Roman" w:hAnsi="Times New Roman" w:cs="Times New Roman"/>
                <w:b/>
              </w:rPr>
              <w:t>Zásady hospodárnosti, účinnosti a účelnosti</w:t>
            </w:r>
          </w:p>
          <w:p w:rsidR="008358D4" w:rsidRPr="00CA5330" w:rsidRDefault="008358D4" w:rsidP="004C2583">
            <w:pPr>
              <w:pStyle w:val="Textodstavce"/>
              <w:numPr>
                <w:ilvl w:val="0"/>
                <w:numId w:val="0"/>
              </w:numPr>
              <w:tabs>
                <w:tab w:val="num" w:pos="2627"/>
              </w:tabs>
              <w:rPr>
                <w:sz w:val="22"/>
                <w:szCs w:val="22"/>
              </w:rPr>
            </w:pPr>
            <w:r w:rsidRPr="00CA5330">
              <w:rPr>
                <w:sz w:val="22"/>
                <w:szCs w:val="22"/>
              </w:rPr>
              <w:t>1.   Používání prostředků musí být v souladu se zásadou řádného finančního řízení, tj. se zásadami hospod</w:t>
            </w:r>
            <w:r w:rsidR="00D129D4" w:rsidRPr="00CA5330">
              <w:rPr>
                <w:sz w:val="22"/>
                <w:szCs w:val="22"/>
              </w:rPr>
              <w:t>árnosti, účinnosti a účelnosti.</w:t>
            </w:r>
          </w:p>
          <w:p w:rsidR="008358D4" w:rsidRPr="00CA5330" w:rsidRDefault="008358D4" w:rsidP="004C2583">
            <w:pPr>
              <w:pStyle w:val="Textodstavce"/>
              <w:numPr>
                <w:ilvl w:val="0"/>
                <w:numId w:val="0"/>
              </w:numPr>
              <w:tabs>
                <w:tab w:val="num" w:pos="2627"/>
              </w:tabs>
              <w:rPr>
                <w:sz w:val="22"/>
                <w:szCs w:val="22"/>
              </w:rPr>
            </w:pPr>
            <w:r w:rsidRPr="00CA5330">
              <w:rPr>
                <w:sz w:val="22"/>
                <w:szCs w:val="22"/>
              </w:rPr>
              <w:t>2.   Zásada hospodárnosti vyžaduje, aby zdroje používané orgánem k výkonu jeho činnosti byly dány k dispozici ve správnou dobu, v dostatečném množství a přiměřené k</w:t>
            </w:r>
            <w:r w:rsidR="00D129D4" w:rsidRPr="00CA5330">
              <w:rPr>
                <w:sz w:val="22"/>
                <w:szCs w:val="22"/>
              </w:rPr>
              <w:t>valitě a za nejvýhodnější cenu.</w:t>
            </w:r>
            <w:r w:rsidR="009B22C5" w:rsidRPr="00CA5330">
              <w:rPr>
                <w:sz w:val="22"/>
                <w:szCs w:val="22"/>
              </w:rPr>
              <w:t xml:space="preserve"> </w:t>
            </w:r>
            <w:r w:rsidRPr="00CA5330">
              <w:rPr>
                <w:sz w:val="22"/>
                <w:szCs w:val="22"/>
              </w:rPr>
              <w:t>Zásada účinnosti se týká dosažení co nejlepšího vztahu mezi použitým</w:t>
            </w:r>
            <w:r w:rsidR="00D129D4" w:rsidRPr="00CA5330">
              <w:rPr>
                <w:sz w:val="22"/>
                <w:szCs w:val="22"/>
              </w:rPr>
              <w:t>i zdroji a dosaženými výsledky.</w:t>
            </w:r>
            <w:r w:rsidR="009B22C5" w:rsidRPr="00CA5330">
              <w:rPr>
                <w:sz w:val="22"/>
                <w:szCs w:val="22"/>
              </w:rPr>
              <w:t xml:space="preserve"> </w:t>
            </w:r>
            <w:r w:rsidRPr="00CA5330">
              <w:rPr>
                <w:sz w:val="22"/>
                <w:szCs w:val="22"/>
              </w:rPr>
              <w:t>Zásada účelnosti se týká dosažení konkrétních stanovený</w:t>
            </w:r>
            <w:r w:rsidR="00D129D4" w:rsidRPr="00CA5330">
              <w:rPr>
                <w:sz w:val="22"/>
                <w:szCs w:val="22"/>
              </w:rPr>
              <w:t>ch cílů a zamýšlených výsledků.</w:t>
            </w:r>
          </w:p>
          <w:p w:rsidR="008358D4" w:rsidRPr="00CA5330" w:rsidRDefault="008358D4" w:rsidP="004C2583">
            <w:pPr>
              <w:pStyle w:val="Textodstavce"/>
              <w:numPr>
                <w:ilvl w:val="0"/>
                <w:numId w:val="0"/>
              </w:numPr>
              <w:tabs>
                <w:tab w:val="num" w:pos="2627"/>
              </w:tabs>
              <w:rPr>
                <w:sz w:val="22"/>
                <w:szCs w:val="22"/>
              </w:rPr>
            </w:pPr>
            <w:r w:rsidRPr="00CA5330">
              <w:rPr>
                <w:sz w:val="22"/>
                <w:szCs w:val="22"/>
              </w:rPr>
              <w:t>3.</w:t>
            </w:r>
            <w:r w:rsidR="005D526E" w:rsidRPr="00CA5330">
              <w:rPr>
                <w:sz w:val="22"/>
                <w:szCs w:val="22"/>
              </w:rPr>
              <w:t xml:space="preserve"> </w:t>
            </w:r>
            <w:r w:rsidRPr="00CA5330">
              <w:rPr>
                <w:sz w:val="22"/>
                <w:szCs w:val="22"/>
              </w:rPr>
              <w:t>Pro všechny oblasti činností, na které se vztahuje rozpočet, musí být stanoveny konkrétní, měřitelné, dosažitelné, relevantní a časově vymezené cíle. Dosažení těchto cílů se kontroluje pomocí ukazatelů výkonnosti pro každou činnost a útvary příslušné pro výdaje předávají informace uvedené v čl. 38 odst. 3 písm. e) Evropskému parlamentu a Radě. Tyto informace se předávají každoročně a nejpozději s dokumenty</w:t>
            </w:r>
            <w:r w:rsidR="00D129D4" w:rsidRPr="00CA5330">
              <w:rPr>
                <w:sz w:val="22"/>
                <w:szCs w:val="22"/>
              </w:rPr>
              <w:t xml:space="preserve"> přiloženými k návrhu rozpočtu.</w:t>
            </w:r>
          </w:p>
          <w:p w:rsidR="008358D4" w:rsidRPr="00CA5330" w:rsidRDefault="008358D4" w:rsidP="004C2583">
            <w:pPr>
              <w:pStyle w:val="Textodstavce"/>
              <w:numPr>
                <w:ilvl w:val="0"/>
                <w:numId w:val="0"/>
              </w:numPr>
              <w:tabs>
                <w:tab w:val="num" w:pos="2627"/>
              </w:tabs>
              <w:rPr>
                <w:sz w:val="22"/>
                <w:szCs w:val="22"/>
              </w:rPr>
            </w:pPr>
            <w:r w:rsidRPr="00CA5330">
              <w:rPr>
                <w:sz w:val="22"/>
                <w:szCs w:val="22"/>
              </w:rPr>
              <w:t>4. Ke zdokonalení rozhodovacího procesu provádějí orgány hodnocení ex ante a ex post podle pokynů vydaných Komisí. Tato hodnocení se provádějí u všech programů a činností, které jsou spojeny se značnými výdaji, a výsledky těchto hodnocení se zasílají Evropskému parlamentu, Radě a</w:t>
            </w:r>
            <w:r w:rsidR="00D129D4" w:rsidRPr="00CA5330">
              <w:rPr>
                <w:sz w:val="22"/>
                <w:szCs w:val="22"/>
              </w:rPr>
              <w:t xml:space="preserve"> útvarům příslušným pro výdaje.</w:t>
            </w:r>
          </w:p>
          <w:p w:rsidR="008358D4" w:rsidRPr="00CA5330" w:rsidRDefault="005D526E" w:rsidP="004C2583">
            <w:pPr>
              <w:pStyle w:val="Textodstavce"/>
              <w:numPr>
                <w:ilvl w:val="0"/>
                <w:numId w:val="0"/>
              </w:numPr>
              <w:tabs>
                <w:tab w:val="num" w:pos="2627"/>
              </w:tabs>
              <w:rPr>
                <w:sz w:val="22"/>
                <w:szCs w:val="22"/>
              </w:rPr>
            </w:pPr>
            <w:r w:rsidRPr="00CA5330">
              <w:rPr>
                <w:sz w:val="22"/>
                <w:szCs w:val="22"/>
              </w:rPr>
              <w:t xml:space="preserve">5. </w:t>
            </w:r>
            <w:r w:rsidR="008358D4" w:rsidRPr="00CA5330">
              <w:rPr>
                <w:sz w:val="22"/>
                <w:szCs w:val="22"/>
              </w:rPr>
              <w:t>Komisi je svěřena pravomoc přijímat akty v přenesené pravomoci v souladu s článkem 210, kterými stanoví podrobná pravidla týkající se hodnocení ex ante, v polovině období a ex post.</w:t>
            </w:r>
          </w:p>
        </w:tc>
      </w:tr>
      <w:tr w:rsidR="008358D4" w:rsidRPr="00CA5330" w:rsidTr="00702A4D">
        <w:tc>
          <w:tcPr>
            <w:tcW w:w="1626" w:type="dxa"/>
            <w:vMerge/>
          </w:tcPr>
          <w:p w:rsidR="008358D4" w:rsidRPr="00CA5330" w:rsidRDefault="008358D4" w:rsidP="004C2583">
            <w:pPr>
              <w:spacing w:before="120" w:after="120"/>
              <w:rPr>
                <w:rFonts w:ascii="Times New Roman" w:hAnsi="Times New Roman" w:cs="Times New Roman"/>
              </w:rPr>
            </w:pPr>
          </w:p>
        </w:tc>
        <w:tc>
          <w:tcPr>
            <w:tcW w:w="3997" w:type="dxa"/>
            <w:vMerge/>
          </w:tcPr>
          <w:p w:rsidR="008358D4" w:rsidRPr="00CA5330" w:rsidRDefault="008358D4" w:rsidP="004C2583">
            <w:pPr>
              <w:pStyle w:val="Textodstavce"/>
              <w:numPr>
                <w:ilvl w:val="0"/>
                <w:numId w:val="0"/>
              </w:numPr>
              <w:jc w:val="center"/>
              <w:rPr>
                <w:sz w:val="22"/>
                <w:szCs w:val="22"/>
              </w:rPr>
            </w:pPr>
          </w:p>
        </w:tc>
        <w:tc>
          <w:tcPr>
            <w:tcW w:w="2088" w:type="dxa"/>
            <w:vMerge w:val="restart"/>
          </w:tcPr>
          <w:p w:rsidR="008358D4" w:rsidRPr="00CA5330" w:rsidRDefault="008358D4" w:rsidP="004C2583">
            <w:pPr>
              <w:pStyle w:val="Textlnku"/>
              <w:spacing w:before="120" w:after="120"/>
              <w:ind w:firstLine="0"/>
              <w:rPr>
                <w:sz w:val="22"/>
                <w:szCs w:val="22"/>
              </w:rPr>
            </w:pPr>
            <w:r w:rsidRPr="00CA5330">
              <w:rPr>
                <w:sz w:val="22"/>
                <w:szCs w:val="22"/>
              </w:rPr>
              <w:t>32013R1303</w:t>
            </w:r>
          </w:p>
        </w:tc>
        <w:tc>
          <w:tcPr>
            <w:tcW w:w="1531" w:type="dxa"/>
          </w:tcPr>
          <w:p w:rsidR="008358D4" w:rsidRPr="00CA5330" w:rsidRDefault="008358D4" w:rsidP="004C2583">
            <w:pPr>
              <w:pStyle w:val="Textkomente"/>
              <w:spacing w:before="120" w:after="120"/>
              <w:rPr>
                <w:color w:val="000000"/>
                <w:sz w:val="22"/>
                <w:szCs w:val="22"/>
              </w:rPr>
            </w:pPr>
            <w:r w:rsidRPr="00CA5330">
              <w:rPr>
                <w:color w:val="000000"/>
                <w:sz w:val="22"/>
                <w:szCs w:val="22"/>
              </w:rPr>
              <w:t>čl. 4 odst. 8</w:t>
            </w:r>
          </w:p>
          <w:p w:rsidR="008358D4" w:rsidRPr="00CA5330" w:rsidRDefault="008358D4" w:rsidP="004C2583">
            <w:pPr>
              <w:pStyle w:val="Textkomente"/>
              <w:spacing w:before="120" w:after="120"/>
              <w:rPr>
                <w:sz w:val="22"/>
                <w:szCs w:val="22"/>
              </w:rPr>
            </w:pPr>
          </w:p>
        </w:tc>
        <w:tc>
          <w:tcPr>
            <w:tcW w:w="4978" w:type="dxa"/>
          </w:tcPr>
          <w:p w:rsidR="008358D4" w:rsidRPr="00CA5330" w:rsidRDefault="005D526E" w:rsidP="004C2583">
            <w:pPr>
              <w:pStyle w:val="Textodstavce"/>
              <w:numPr>
                <w:ilvl w:val="0"/>
                <w:numId w:val="0"/>
              </w:numPr>
              <w:tabs>
                <w:tab w:val="num" w:pos="2627"/>
              </w:tabs>
              <w:rPr>
                <w:sz w:val="22"/>
                <w:szCs w:val="22"/>
              </w:rPr>
            </w:pPr>
            <w:r w:rsidRPr="00CA5330">
              <w:rPr>
                <w:sz w:val="22"/>
                <w:szCs w:val="22"/>
              </w:rPr>
              <w:t xml:space="preserve">8. </w:t>
            </w:r>
            <w:r w:rsidR="008358D4" w:rsidRPr="00CA5330">
              <w:rPr>
                <w:sz w:val="22"/>
                <w:szCs w:val="22"/>
              </w:rPr>
              <w:t>Komise a členské státy ctí zásadu řádného finančního řízení v souladu s článkem 30 finančního nařízení.</w:t>
            </w:r>
          </w:p>
        </w:tc>
      </w:tr>
      <w:tr w:rsidR="008358D4" w:rsidRPr="00CA5330" w:rsidTr="00702A4D">
        <w:tc>
          <w:tcPr>
            <w:tcW w:w="1626" w:type="dxa"/>
            <w:vMerge/>
          </w:tcPr>
          <w:p w:rsidR="008358D4" w:rsidRPr="00CA5330" w:rsidRDefault="008358D4" w:rsidP="004C2583">
            <w:pPr>
              <w:spacing w:before="120" w:after="120"/>
              <w:rPr>
                <w:rFonts w:ascii="Times New Roman" w:hAnsi="Times New Roman" w:cs="Times New Roman"/>
              </w:rPr>
            </w:pPr>
          </w:p>
        </w:tc>
        <w:tc>
          <w:tcPr>
            <w:tcW w:w="3997" w:type="dxa"/>
            <w:vMerge/>
          </w:tcPr>
          <w:p w:rsidR="008358D4" w:rsidRPr="00CA5330" w:rsidRDefault="008358D4" w:rsidP="004C2583">
            <w:pPr>
              <w:pStyle w:val="Textodstavce"/>
              <w:numPr>
                <w:ilvl w:val="0"/>
                <w:numId w:val="0"/>
              </w:numPr>
              <w:jc w:val="center"/>
              <w:rPr>
                <w:sz w:val="22"/>
                <w:szCs w:val="22"/>
              </w:rPr>
            </w:pPr>
          </w:p>
        </w:tc>
        <w:tc>
          <w:tcPr>
            <w:tcW w:w="2088" w:type="dxa"/>
            <w:vMerge/>
          </w:tcPr>
          <w:p w:rsidR="008358D4" w:rsidRPr="00CA5330" w:rsidRDefault="008358D4" w:rsidP="004C2583">
            <w:pPr>
              <w:pStyle w:val="Textlnku"/>
              <w:spacing w:before="120" w:after="120"/>
              <w:ind w:firstLine="0"/>
              <w:rPr>
                <w:sz w:val="22"/>
                <w:szCs w:val="22"/>
              </w:rPr>
            </w:pPr>
          </w:p>
        </w:tc>
        <w:tc>
          <w:tcPr>
            <w:tcW w:w="1531" w:type="dxa"/>
          </w:tcPr>
          <w:p w:rsidR="008358D4" w:rsidRPr="00CA5330" w:rsidRDefault="008358D4" w:rsidP="004C2583">
            <w:pPr>
              <w:pStyle w:val="Textkomente"/>
              <w:spacing w:before="120" w:after="120"/>
              <w:jc w:val="left"/>
              <w:rPr>
                <w:sz w:val="22"/>
                <w:szCs w:val="22"/>
              </w:rPr>
            </w:pPr>
            <w:r w:rsidRPr="00CA5330">
              <w:rPr>
                <w:sz w:val="22"/>
                <w:szCs w:val="22"/>
              </w:rPr>
              <w:t xml:space="preserve">čl. 122 odst. 1 </w:t>
            </w:r>
          </w:p>
          <w:p w:rsidR="008358D4" w:rsidRPr="00CA5330" w:rsidRDefault="008358D4" w:rsidP="004C2583">
            <w:pPr>
              <w:pStyle w:val="Textkomente"/>
              <w:spacing w:before="120" w:after="120"/>
              <w:rPr>
                <w:sz w:val="22"/>
                <w:szCs w:val="22"/>
              </w:rPr>
            </w:pPr>
          </w:p>
        </w:tc>
        <w:tc>
          <w:tcPr>
            <w:tcW w:w="4978" w:type="dxa"/>
          </w:tcPr>
          <w:p w:rsidR="008358D4" w:rsidRPr="00CA5330" w:rsidRDefault="008358D4" w:rsidP="004C2583">
            <w:pPr>
              <w:pStyle w:val="Textodstavce"/>
              <w:numPr>
                <w:ilvl w:val="0"/>
                <w:numId w:val="0"/>
              </w:numPr>
              <w:tabs>
                <w:tab w:val="num" w:pos="2627"/>
              </w:tabs>
              <w:ind w:firstLine="425"/>
              <w:rPr>
                <w:sz w:val="22"/>
                <w:szCs w:val="22"/>
              </w:rPr>
            </w:pPr>
            <w:r w:rsidRPr="00CA5330">
              <w:rPr>
                <w:sz w:val="22"/>
                <w:szCs w:val="22"/>
              </w:rPr>
              <w:t>Členské státy zajistí, aby systémy řízení a kontroly operačních programů byly zavedeny v souladu s články 72, 73 a 74.</w:t>
            </w:r>
          </w:p>
        </w:tc>
      </w:tr>
      <w:tr w:rsidR="00076834" w:rsidRPr="00CA5330" w:rsidTr="00702A4D">
        <w:tc>
          <w:tcPr>
            <w:tcW w:w="1626" w:type="dxa"/>
            <w:vMerge w:val="restart"/>
          </w:tcPr>
          <w:p w:rsidR="00076834" w:rsidRPr="00CA5330" w:rsidRDefault="002A2A01" w:rsidP="004C2583">
            <w:pPr>
              <w:spacing w:before="120" w:after="120"/>
              <w:rPr>
                <w:rFonts w:ascii="Times New Roman" w:hAnsi="Times New Roman" w:cs="Times New Roman"/>
              </w:rPr>
            </w:pPr>
            <w:r w:rsidRPr="00CA5330">
              <w:rPr>
                <w:rFonts w:ascii="Times New Roman" w:hAnsi="Times New Roman" w:cs="Times New Roman"/>
              </w:rPr>
              <w:t xml:space="preserve">§ </w:t>
            </w:r>
            <w:r w:rsidR="00702A4D" w:rsidRPr="00CA5330">
              <w:rPr>
                <w:rFonts w:ascii="Times New Roman" w:hAnsi="Times New Roman" w:cs="Times New Roman"/>
              </w:rPr>
              <w:t>6</w:t>
            </w:r>
            <w:r w:rsidRPr="00CA5330">
              <w:rPr>
                <w:rFonts w:ascii="Times New Roman" w:hAnsi="Times New Roman" w:cs="Times New Roman"/>
              </w:rPr>
              <w:t xml:space="preserve"> odst. 1 a </w:t>
            </w:r>
            <w:r w:rsidR="001B34D7" w:rsidRPr="00CA5330">
              <w:rPr>
                <w:rFonts w:ascii="Times New Roman" w:hAnsi="Times New Roman" w:cs="Times New Roman"/>
              </w:rPr>
              <w:t>2</w:t>
            </w:r>
          </w:p>
        </w:tc>
        <w:tc>
          <w:tcPr>
            <w:tcW w:w="3997" w:type="dxa"/>
            <w:vMerge w:val="restart"/>
          </w:tcPr>
          <w:p w:rsidR="00C2272D" w:rsidRPr="00CA5330" w:rsidRDefault="00C2272D" w:rsidP="004C2583">
            <w:pPr>
              <w:pStyle w:val="Nadpisparagrafu"/>
              <w:spacing w:before="120" w:after="120"/>
              <w:jc w:val="left"/>
              <w:rPr>
                <w:sz w:val="22"/>
                <w:szCs w:val="22"/>
              </w:rPr>
            </w:pPr>
            <w:r w:rsidRPr="00CA5330">
              <w:rPr>
                <w:sz w:val="22"/>
                <w:szCs w:val="22"/>
              </w:rPr>
              <w:t>Povinnosti správce veřejného rozpočtu a veřejného subjektu</w:t>
            </w:r>
          </w:p>
          <w:p w:rsidR="00E94EE8" w:rsidRPr="00CA5330" w:rsidRDefault="00E94EE8" w:rsidP="00E94EE8">
            <w:pPr>
              <w:pStyle w:val="Textodstavce"/>
              <w:numPr>
                <w:ilvl w:val="0"/>
                <w:numId w:val="0"/>
              </w:numPr>
              <w:rPr>
                <w:sz w:val="22"/>
                <w:szCs w:val="22"/>
              </w:rPr>
            </w:pPr>
            <w:r w:rsidRPr="00CA5330">
              <w:rPr>
                <w:sz w:val="22"/>
                <w:szCs w:val="22"/>
              </w:rPr>
              <w:t>(1) Schvalující orgán, schvalující osoba a pověřená schvalující osoba jsou povinny ve vzájemné spolupráci zavést, udržovat, zdokonalovat a vyhodnocovat řízení a kontrolu veřejných financí.</w:t>
            </w:r>
          </w:p>
          <w:p w:rsidR="00E94EE8" w:rsidRPr="00CA5330" w:rsidRDefault="00E94EE8" w:rsidP="00E94EE8">
            <w:pPr>
              <w:pStyle w:val="Textodstavce"/>
              <w:numPr>
                <w:ilvl w:val="0"/>
                <w:numId w:val="0"/>
              </w:numPr>
              <w:rPr>
                <w:sz w:val="22"/>
                <w:szCs w:val="22"/>
              </w:rPr>
            </w:pPr>
            <w:r w:rsidRPr="00CA5330">
              <w:rPr>
                <w:sz w:val="22"/>
                <w:szCs w:val="22"/>
              </w:rPr>
              <w:t>(2) Schvalující orgán, schvalující osoba a pověřená schvalující osoba zajistí, aby výdaje na zavedení, udržování, zdokonalování a vyhodnocování řízení a kontroly veřejných financí byly přiměřené výdajům vynakládaným na činnost, kterou správce veřejného rozpočtu nebo veřejný subjekt zajišťuje. Přihlédnou přitom zejména k povaze, rozsahu a složitosti činnosti správce veřejného rozpočtu nebo veřejného subjektu, objemu jejich veřejného rozpočtu, počtu zaměstnanců a možným duplicitám řídicích a kontrolních mechanismů.</w:t>
            </w:r>
          </w:p>
          <w:p w:rsidR="00076834" w:rsidRPr="00CA5330" w:rsidRDefault="00076834" w:rsidP="00E94EE8">
            <w:pPr>
              <w:pStyle w:val="Textodstavce"/>
              <w:numPr>
                <w:ilvl w:val="0"/>
                <w:numId w:val="0"/>
              </w:numPr>
              <w:tabs>
                <w:tab w:val="num" w:pos="782"/>
              </w:tabs>
              <w:rPr>
                <w:color w:val="000000"/>
                <w:sz w:val="22"/>
                <w:szCs w:val="22"/>
              </w:rPr>
            </w:pPr>
          </w:p>
        </w:tc>
        <w:tc>
          <w:tcPr>
            <w:tcW w:w="2088" w:type="dxa"/>
            <w:vMerge w:val="restart"/>
          </w:tcPr>
          <w:p w:rsidR="00076834" w:rsidRPr="00CA5330" w:rsidRDefault="00076834" w:rsidP="004C2583">
            <w:pPr>
              <w:pStyle w:val="Textlnku"/>
              <w:spacing w:before="120" w:after="120"/>
              <w:ind w:firstLine="0"/>
              <w:rPr>
                <w:sz w:val="22"/>
                <w:szCs w:val="22"/>
              </w:rPr>
            </w:pPr>
            <w:r w:rsidRPr="00CA5330">
              <w:rPr>
                <w:sz w:val="22"/>
                <w:szCs w:val="22"/>
              </w:rPr>
              <w:t>32013R1303</w:t>
            </w:r>
          </w:p>
        </w:tc>
        <w:tc>
          <w:tcPr>
            <w:tcW w:w="1531" w:type="dxa"/>
          </w:tcPr>
          <w:p w:rsidR="00076834" w:rsidRPr="00CA5330" w:rsidRDefault="00076834" w:rsidP="004C2583">
            <w:pPr>
              <w:pStyle w:val="Textkomente"/>
              <w:spacing w:before="120" w:after="120"/>
              <w:jc w:val="left"/>
              <w:rPr>
                <w:sz w:val="22"/>
                <w:szCs w:val="22"/>
              </w:rPr>
            </w:pPr>
            <w:r w:rsidRPr="00CA5330">
              <w:rPr>
                <w:sz w:val="22"/>
                <w:szCs w:val="22"/>
              </w:rPr>
              <w:t>čl. 4 odst. 8</w:t>
            </w:r>
          </w:p>
        </w:tc>
        <w:tc>
          <w:tcPr>
            <w:tcW w:w="4978" w:type="dxa"/>
          </w:tcPr>
          <w:p w:rsidR="00076834" w:rsidRPr="00CA5330" w:rsidRDefault="00076834" w:rsidP="004C2583">
            <w:pPr>
              <w:pStyle w:val="Textodstavce"/>
              <w:numPr>
                <w:ilvl w:val="0"/>
                <w:numId w:val="0"/>
              </w:numPr>
              <w:tabs>
                <w:tab w:val="num" w:pos="2627"/>
              </w:tabs>
              <w:rPr>
                <w:sz w:val="22"/>
                <w:szCs w:val="22"/>
              </w:rPr>
            </w:pPr>
            <w:r w:rsidRPr="00CA5330">
              <w:rPr>
                <w:color w:val="000000"/>
                <w:sz w:val="22"/>
                <w:szCs w:val="22"/>
              </w:rPr>
              <w:t>8. Komise a členské státy ctí zásadu řádného finančního řízení v souladu s článkem 30 finančního nařízení.</w:t>
            </w:r>
          </w:p>
        </w:tc>
      </w:tr>
      <w:tr w:rsidR="00076834" w:rsidRPr="00CA5330" w:rsidTr="00702A4D">
        <w:tc>
          <w:tcPr>
            <w:tcW w:w="1626" w:type="dxa"/>
            <w:vMerge/>
          </w:tcPr>
          <w:p w:rsidR="00076834" w:rsidRPr="00CA5330" w:rsidRDefault="00076834" w:rsidP="004C2583">
            <w:pPr>
              <w:spacing w:before="120" w:after="120"/>
              <w:rPr>
                <w:rFonts w:ascii="Times New Roman" w:hAnsi="Times New Roman" w:cs="Times New Roman"/>
              </w:rPr>
            </w:pPr>
          </w:p>
        </w:tc>
        <w:tc>
          <w:tcPr>
            <w:tcW w:w="3997" w:type="dxa"/>
            <w:vMerge/>
          </w:tcPr>
          <w:p w:rsidR="00076834" w:rsidRPr="00CA5330" w:rsidRDefault="00076834" w:rsidP="004C2583">
            <w:pPr>
              <w:pStyle w:val="Textodstavce"/>
              <w:numPr>
                <w:ilvl w:val="0"/>
                <w:numId w:val="0"/>
              </w:numPr>
              <w:jc w:val="center"/>
              <w:rPr>
                <w:sz w:val="22"/>
                <w:szCs w:val="22"/>
              </w:rPr>
            </w:pPr>
          </w:p>
        </w:tc>
        <w:tc>
          <w:tcPr>
            <w:tcW w:w="2088" w:type="dxa"/>
            <w:vMerge/>
          </w:tcPr>
          <w:p w:rsidR="00076834" w:rsidRPr="00CA5330" w:rsidRDefault="00076834" w:rsidP="004C2583">
            <w:pPr>
              <w:pStyle w:val="Textlnku"/>
              <w:spacing w:before="120" w:after="120"/>
              <w:ind w:firstLine="0"/>
              <w:rPr>
                <w:sz w:val="22"/>
                <w:szCs w:val="22"/>
              </w:rPr>
            </w:pPr>
          </w:p>
        </w:tc>
        <w:tc>
          <w:tcPr>
            <w:tcW w:w="1531" w:type="dxa"/>
          </w:tcPr>
          <w:p w:rsidR="00076834" w:rsidRPr="00CA5330" w:rsidRDefault="00076834" w:rsidP="004C2583">
            <w:pPr>
              <w:pStyle w:val="Textkomente"/>
              <w:spacing w:before="120" w:after="120"/>
              <w:jc w:val="left"/>
              <w:rPr>
                <w:sz w:val="22"/>
                <w:szCs w:val="22"/>
              </w:rPr>
            </w:pPr>
            <w:r w:rsidRPr="00CA5330">
              <w:rPr>
                <w:sz w:val="22"/>
                <w:szCs w:val="22"/>
              </w:rPr>
              <w:t>čl. 122 odst. 1</w:t>
            </w:r>
          </w:p>
        </w:tc>
        <w:tc>
          <w:tcPr>
            <w:tcW w:w="4978" w:type="dxa"/>
          </w:tcPr>
          <w:p w:rsidR="00076834" w:rsidRPr="00CA5330" w:rsidRDefault="00076834" w:rsidP="004C2583">
            <w:pPr>
              <w:pStyle w:val="Textodstavce"/>
              <w:numPr>
                <w:ilvl w:val="0"/>
                <w:numId w:val="0"/>
              </w:numPr>
              <w:tabs>
                <w:tab w:val="num" w:pos="2627"/>
              </w:tabs>
              <w:rPr>
                <w:sz w:val="22"/>
                <w:szCs w:val="22"/>
              </w:rPr>
            </w:pPr>
            <w:r w:rsidRPr="00CA5330">
              <w:rPr>
                <w:color w:val="000000"/>
                <w:sz w:val="22"/>
                <w:szCs w:val="22"/>
              </w:rPr>
              <w:t>1. Členské státy zajistí, aby systémy řízení a kontroly operačních programů byly zavedeny v souladu s články 72, 73 a 74.</w:t>
            </w:r>
          </w:p>
        </w:tc>
      </w:tr>
      <w:tr w:rsidR="00076834" w:rsidRPr="00CA5330" w:rsidTr="00702A4D">
        <w:tc>
          <w:tcPr>
            <w:tcW w:w="1626" w:type="dxa"/>
            <w:vMerge/>
          </w:tcPr>
          <w:p w:rsidR="00076834" w:rsidRPr="00CA5330" w:rsidRDefault="00076834" w:rsidP="004C2583">
            <w:pPr>
              <w:spacing w:before="120" w:after="120"/>
              <w:rPr>
                <w:rFonts w:ascii="Times New Roman" w:hAnsi="Times New Roman" w:cs="Times New Roman"/>
              </w:rPr>
            </w:pPr>
          </w:p>
        </w:tc>
        <w:tc>
          <w:tcPr>
            <w:tcW w:w="3997" w:type="dxa"/>
            <w:vMerge/>
          </w:tcPr>
          <w:p w:rsidR="00076834" w:rsidRPr="00CA5330" w:rsidRDefault="00076834" w:rsidP="004C2583">
            <w:pPr>
              <w:pStyle w:val="Textodstavce"/>
              <w:numPr>
                <w:ilvl w:val="0"/>
                <w:numId w:val="0"/>
              </w:numPr>
              <w:jc w:val="center"/>
              <w:rPr>
                <w:sz w:val="22"/>
                <w:szCs w:val="22"/>
              </w:rPr>
            </w:pPr>
          </w:p>
        </w:tc>
        <w:tc>
          <w:tcPr>
            <w:tcW w:w="2088" w:type="dxa"/>
            <w:vMerge/>
          </w:tcPr>
          <w:p w:rsidR="00076834" w:rsidRPr="00CA5330" w:rsidRDefault="00076834" w:rsidP="004C2583">
            <w:pPr>
              <w:pStyle w:val="Textlnku"/>
              <w:spacing w:before="120" w:after="120"/>
              <w:ind w:firstLine="0"/>
              <w:rPr>
                <w:sz w:val="22"/>
                <w:szCs w:val="22"/>
              </w:rPr>
            </w:pPr>
          </w:p>
        </w:tc>
        <w:tc>
          <w:tcPr>
            <w:tcW w:w="1531" w:type="dxa"/>
          </w:tcPr>
          <w:p w:rsidR="00076834" w:rsidRPr="00CA5330" w:rsidRDefault="003F3495" w:rsidP="004C2583">
            <w:pPr>
              <w:pStyle w:val="Textkomente"/>
              <w:spacing w:before="120" w:after="120"/>
              <w:jc w:val="left"/>
              <w:rPr>
                <w:sz w:val="22"/>
                <w:szCs w:val="22"/>
              </w:rPr>
            </w:pPr>
            <w:r w:rsidRPr="00CA5330">
              <w:rPr>
                <w:sz w:val="22"/>
                <w:szCs w:val="22"/>
              </w:rPr>
              <w:t>č</w:t>
            </w:r>
            <w:r w:rsidR="00076834" w:rsidRPr="00CA5330">
              <w:rPr>
                <w:sz w:val="22"/>
                <w:szCs w:val="22"/>
              </w:rPr>
              <w:t>l. 72, 73, 74</w:t>
            </w:r>
          </w:p>
        </w:tc>
        <w:tc>
          <w:tcPr>
            <w:tcW w:w="4978" w:type="dxa"/>
          </w:tcPr>
          <w:p w:rsidR="00076834" w:rsidRPr="00CA5330" w:rsidRDefault="00076834" w:rsidP="004C2583">
            <w:pPr>
              <w:pStyle w:val="Textodstavce"/>
              <w:numPr>
                <w:ilvl w:val="0"/>
                <w:numId w:val="0"/>
              </w:numPr>
              <w:tabs>
                <w:tab w:val="num" w:pos="2627"/>
              </w:tabs>
              <w:rPr>
                <w:b/>
                <w:sz w:val="22"/>
                <w:szCs w:val="22"/>
              </w:rPr>
            </w:pPr>
            <w:r w:rsidRPr="00CA5330">
              <w:rPr>
                <w:b/>
                <w:sz w:val="22"/>
                <w:szCs w:val="22"/>
              </w:rPr>
              <w:t>Obecné zásady systémů řízení a kontroly</w:t>
            </w:r>
          </w:p>
          <w:p w:rsidR="00076834" w:rsidRPr="00CA5330" w:rsidRDefault="00076834" w:rsidP="004C2583">
            <w:pPr>
              <w:pStyle w:val="Textodstavce"/>
              <w:numPr>
                <w:ilvl w:val="0"/>
                <w:numId w:val="0"/>
              </w:numPr>
              <w:tabs>
                <w:tab w:val="num" w:pos="2627"/>
              </w:tabs>
              <w:rPr>
                <w:sz w:val="22"/>
                <w:szCs w:val="22"/>
              </w:rPr>
            </w:pPr>
            <w:r w:rsidRPr="00CA5330">
              <w:rPr>
                <w:sz w:val="22"/>
                <w:szCs w:val="22"/>
              </w:rPr>
              <w:t>V souladu s čl. 4 odst. 8 systémy řízení a kontroly sestávají z:</w:t>
            </w:r>
          </w:p>
          <w:p w:rsidR="00076834" w:rsidRPr="00CA5330" w:rsidRDefault="00076834" w:rsidP="004C2583">
            <w:pPr>
              <w:pStyle w:val="Textodstavce"/>
              <w:numPr>
                <w:ilvl w:val="0"/>
                <w:numId w:val="0"/>
              </w:numPr>
              <w:tabs>
                <w:tab w:val="num" w:pos="2627"/>
              </w:tabs>
              <w:rPr>
                <w:sz w:val="22"/>
                <w:szCs w:val="22"/>
              </w:rPr>
            </w:pPr>
            <w:r w:rsidRPr="00CA5330">
              <w:rPr>
                <w:sz w:val="22"/>
                <w:szCs w:val="22"/>
              </w:rPr>
              <w:t>a) popisu funkcí jednotlivých subjektů zapojených do řízení a kontroly a rozdělení funkcí v rámci jednotlivých subjektů;</w:t>
            </w:r>
          </w:p>
          <w:p w:rsidR="00076834" w:rsidRPr="00CA5330" w:rsidRDefault="00076834" w:rsidP="004C2583">
            <w:pPr>
              <w:pStyle w:val="Textodstavce"/>
              <w:numPr>
                <w:ilvl w:val="0"/>
                <w:numId w:val="0"/>
              </w:numPr>
              <w:tabs>
                <w:tab w:val="num" w:pos="2627"/>
              </w:tabs>
              <w:rPr>
                <w:sz w:val="22"/>
                <w:szCs w:val="22"/>
              </w:rPr>
            </w:pPr>
            <w:r w:rsidRPr="00CA5330">
              <w:rPr>
                <w:sz w:val="22"/>
                <w:szCs w:val="22"/>
              </w:rPr>
              <w:t>b) dodržování zásady oddělení funkcí mezi takovými subjekty a v rámci takových subjektů;</w:t>
            </w:r>
          </w:p>
          <w:p w:rsidR="00076834" w:rsidRPr="00CA5330" w:rsidRDefault="00076834" w:rsidP="004C2583">
            <w:pPr>
              <w:pStyle w:val="Textodstavce"/>
              <w:numPr>
                <w:ilvl w:val="0"/>
                <w:numId w:val="0"/>
              </w:numPr>
              <w:tabs>
                <w:tab w:val="num" w:pos="2627"/>
              </w:tabs>
              <w:rPr>
                <w:sz w:val="22"/>
                <w:szCs w:val="22"/>
              </w:rPr>
            </w:pPr>
            <w:r w:rsidRPr="00CA5330">
              <w:rPr>
                <w:sz w:val="22"/>
                <w:szCs w:val="22"/>
              </w:rPr>
              <w:t>c) postupů pro zajištění správnosti a řádnosti vykazovaných výdajů;</w:t>
            </w:r>
          </w:p>
          <w:p w:rsidR="00076834" w:rsidRPr="00CA5330" w:rsidRDefault="00076834" w:rsidP="004C2583">
            <w:pPr>
              <w:pStyle w:val="Textodstavce"/>
              <w:numPr>
                <w:ilvl w:val="0"/>
                <w:numId w:val="0"/>
              </w:numPr>
              <w:tabs>
                <w:tab w:val="num" w:pos="2627"/>
              </w:tabs>
              <w:rPr>
                <w:sz w:val="22"/>
                <w:szCs w:val="22"/>
              </w:rPr>
            </w:pPr>
            <w:r w:rsidRPr="00CA5330">
              <w:rPr>
                <w:sz w:val="22"/>
                <w:szCs w:val="22"/>
              </w:rPr>
              <w:t>d) počítačových systémů pro účetnictví, ukládání a přenos finančních údajů a údajů o ukazatelích, monitorování a podávání zpráv;</w:t>
            </w:r>
          </w:p>
          <w:p w:rsidR="00076834" w:rsidRPr="00CA5330" w:rsidRDefault="00076834" w:rsidP="004C2583">
            <w:pPr>
              <w:pStyle w:val="Textodstavce"/>
              <w:numPr>
                <w:ilvl w:val="0"/>
                <w:numId w:val="0"/>
              </w:numPr>
              <w:tabs>
                <w:tab w:val="num" w:pos="2627"/>
              </w:tabs>
              <w:rPr>
                <w:sz w:val="22"/>
                <w:szCs w:val="22"/>
              </w:rPr>
            </w:pPr>
            <w:r w:rsidRPr="00CA5330">
              <w:rPr>
                <w:sz w:val="22"/>
                <w:szCs w:val="22"/>
              </w:rPr>
              <w:t>e) systémů podávání zpráv a monitorování, pokud odpovědný subjekt pověří výkonem úkolů jiný subjekt;</w:t>
            </w:r>
          </w:p>
          <w:p w:rsidR="00076834" w:rsidRPr="00CA5330" w:rsidRDefault="00076834" w:rsidP="004C2583">
            <w:pPr>
              <w:pStyle w:val="Textodstavce"/>
              <w:numPr>
                <w:ilvl w:val="0"/>
                <w:numId w:val="0"/>
              </w:numPr>
              <w:tabs>
                <w:tab w:val="num" w:pos="2627"/>
              </w:tabs>
              <w:rPr>
                <w:sz w:val="22"/>
                <w:szCs w:val="22"/>
              </w:rPr>
            </w:pPr>
            <w:r w:rsidRPr="00CA5330">
              <w:rPr>
                <w:sz w:val="22"/>
                <w:szCs w:val="22"/>
              </w:rPr>
              <w:t xml:space="preserve">f) opatření pro audit fungování systémů řízení a kontroly; </w:t>
            </w:r>
          </w:p>
          <w:p w:rsidR="00076834" w:rsidRPr="00CA5330" w:rsidRDefault="00076834" w:rsidP="004C2583">
            <w:pPr>
              <w:pStyle w:val="Textodstavce"/>
              <w:numPr>
                <w:ilvl w:val="0"/>
                <w:numId w:val="0"/>
              </w:numPr>
              <w:tabs>
                <w:tab w:val="num" w:pos="2627"/>
              </w:tabs>
              <w:rPr>
                <w:sz w:val="22"/>
                <w:szCs w:val="22"/>
              </w:rPr>
            </w:pPr>
            <w:r w:rsidRPr="00CA5330">
              <w:rPr>
                <w:sz w:val="22"/>
                <w:szCs w:val="22"/>
              </w:rPr>
              <w:t>g) systémů a postupů pro zabezpečení odpovídající auditní stopy;</w:t>
            </w:r>
          </w:p>
          <w:p w:rsidR="00076834" w:rsidRPr="00CA5330" w:rsidRDefault="00076834" w:rsidP="004C2583">
            <w:pPr>
              <w:pStyle w:val="Textodstavce"/>
              <w:numPr>
                <w:ilvl w:val="0"/>
                <w:numId w:val="0"/>
              </w:numPr>
              <w:tabs>
                <w:tab w:val="num" w:pos="2627"/>
              </w:tabs>
              <w:rPr>
                <w:sz w:val="22"/>
                <w:szCs w:val="22"/>
              </w:rPr>
            </w:pPr>
            <w:r w:rsidRPr="00CA5330">
              <w:rPr>
                <w:sz w:val="22"/>
                <w:szCs w:val="22"/>
              </w:rPr>
              <w:t xml:space="preserve">h) předcházení nesrovnalostem, včetně podvodů, jejich odhalování a náprava a vymáhání neoprávněně vyplacených částek spolu s případnými úroky z prodlení. </w:t>
            </w:r>
          </w:p>
          <w:p w:rsidR="00076834" w:rsidRPr="00CA5330" w:rsidRDefault="00076834" w:rsidP="004C2583">
            <w:pPr>
              <w:pStyle w:val="Textodstavce"/>
              <w:numPr>
                <w:ilvl w:val="0"/>
                <w:numId w:val="0"/>
              </w:numPr>
              <w:tabs>
                <w:tab w:val="num" w:pos="2627"/>
              </w:tabs>
              <w:rPr>
                <w:b/>
                <w:sz w:val="22"/>
                <w:szCs w:val="22"/>
              </w:rPr>
            </w:pPr>
            <w:r w:rsidRPr="00CA5330">
              <w:rPr>
                <w:b/>
                <w:sz w:val="22"/>
                <w:szCs w:val="22"/>
              </w:rPr>
              <w:t>Odpovědnosti v rámci sdíleného řízení</w:t>
            </w:r>
          </w:p>
          <w:p w:rsidR="00076834" w:rsidRPr="00CA5330" w:rsidRDefault="00076834" w:rsidP="004C2583">
            <w:pPr>
              <w:pStyle w:val="Textodstavce"/>
              <w:numPr>
                <w:ilvl w:val="0"/>
                <w:numId w:val="0"/>
              </w:numPr>
              <w:tabs>
                <w:tab w:val="num" w:pos="2627"/>
              </w:tabs>
              <w:rPr>
                <w:sz w:val="22"/>
                <w:szCs w:val="22"/>
              </w:rPr>
            </w:pPr>
            <w:r w:rsidRPr="00CA5330">
              <w:rPr>
                <w:sz w:val="22"/>
                <w:szCs w:val="22"/>
              </w:rPr>
              <w:t>V souladu se zásadou sdíleného řízení jsou členské státy a Komise odpovědné za řízení a kontrolu programů v souladu se svými povinnostmi stanovenými v tomto nařízení a v pravidlech pro daný fond.</w:t>
            </w:r>
          </w:p>
          <w:p w:rsidR="00076834" w:rsidRPr="00CA5330" w:rsidRDefault="00076834" w:rsidP="004C2583">
            <w:pPr>
              <w:pStyle w:val="Textodstavce"/>
              <w:numPr>
                <w:ilvl w:val="0"/>
                <w:numId w:val="0"/>
              </w:numPr>
              <w:tabs>
                <w:tab w:val="num" w:pos="2627"/>
              </w:tabs>
              <w:rPr>
                <w:b/>
                <w:sz w:val="22"/>
                <w:szCs w:val="22"/>
              </w:rPr>
            </w:pPr>
            <w:r w:rsidRPr="00CA5330">
              <w:rPr>
                <w:b/>
                <w:sz w:val="22"/>
                <w:szCs w:val="22"/>
              </w:rPr>
              <w:t>Odpovědnosti členských států</w:t>
            </w:r>
          </w:p>
          <w:p w:rsidR="00076834" w:rsidRPr="00CA5330" w:rsidRDefault="00076834" w:rsidP="004C2583">
            <w:pPr>
              <w:pStyle w:val="Textodstavce"/>
              <w:numPr>
                <w:ilvl w:val="0"/>
                <w:numId w:val="0"/>
              </w:numPr>
              <w:tabs>
                <w:tab w:val="num" w:pos="2627"/>
              </w:tabs>
              <w:rPr>
                <w:sz w:val="22"/>
                <w:szCs w:val="22"/>
              </w:rPr>
            </w:pPr>
            <w:r w:rsidRPr="00CA5330">
              <w:rPr>
                <w:sz w:val="22"/>
                <w:szCs w:val="22"/>
              </w:rPr>
              <w:t>1. Členské státy plní povinnosti v oblasti řízení, kontroly a auditu a nesou z toho vyplývající odpovědnosti, které stanoví pravidla sdíleného řízení obsažená ve finančním nařízení a pravidla pro daný fond.</w:t>
            </w:r>
          </w:p>
          <w:p w:rsidR="00076834" w:rsidRPr="00CA5330" w:rsidRDefault="00076834" w:rsidP="004C2583">
            <w:pPr>
              <w:pStyle w:val="Textodstavce"/>
              <w:numPr>
                <w:ilvl w:val="0"/>
                <w:numId w:val="0"/>
              </w:numPr>
              <w:tabs>
                <w:tab w:val="num" w:pos="2627"/>
              </w:tabs>
              <w:rPr>
                <w:sz w:val="22"/>
                <w:szCs w:val="22"/>
              </w:rPr>
            </w:pPr>
            <w:r w:rsidRPr="00CA5330">
              <w:rPr>
                <w:sz w:val="22"/>
                <w:szCs w:val="22"/>
              </w:rPr>
              <w:t>2. Členské státy zajistí, aby systémy řízení a kontroly programů byly zavedeny v souladu s pravidly pro daný fond a aby tyto systémy účinně fungovaly.</w:t>
            </w:r>
          </w:p>
          <w:p w:rsidR="00076834" w:rsidRPr="00CA5330" w:rsidRDefault="00076834" w:rsidP="004C2583">
            <w:pPr>
              <w:pStyle w:val="Textodstavce"/>
              <w:numPr>
                <w:ilvl w:val="0"/>
                <w:numId w:val="0"/>
              </w:numPr>
              <w:tabs>
                <w:tab w:val="num" w:pos="2627"/>
              </w:tabs>
              <w:rPr>
                <w:sz w:val="22"/>
                <w:szCs w:val="22"/>
              </w:rPr>
            </w:pPr>
            <w:r w:rsidRPr="00CA5330">
              <w:rPr>
                <w:sz w:val="22"/>
                <w:szCs w:val="22"/>
              </w:rPr>
              <w:t>3. Členské státy zajistí, aby existovala účinná opatření na přezkum stížností týkajících se fondů ESI. Rozsah působnosti, pravidla a postupy týkající se těchto opatření jsou v pravomoci členských států v souladu s jejich institucionálním a právním rámcem. Členské státy na žádost Komise prošetří stížnosti podané Komisi, jež spadají do působnosti jejich opatření. Členské státy na žádost informují Komisi o výsledcích těchto šetření.</w:t>
            </w:r>
          </w:p>
          <w:p w:rsidR="00076834" w:rsidRPr="00CA5330" w:rsidRDefault="005D526E" w:rsidP="004C2583">
            <w:pPr>
              <w:pStyle w:val="Textodstavce"/>
              <w:numPr>
                <w:ilvl w:val="0"/>
                <w:numId w:val="0"/>
              </w:numPr>
              <w:tabs>
                <w:tab w:val="num" w:pos="2627"/>
              </w:tabs>
              <w:rPr>
                <w:sz w:val="22"/>
                <w:szCs w:val="22"/>
              </w:rPr>
            </w:pPr>
            <w:r w:rsidRPr="00CA5330">
              <w:rPr>
                <w:sz w:val="22"/>
                <w:szCs w:val="22"/>
              </w:rPr>
              <w:t xml:space="preserve">4. </w:t>
            </w:r>
            <w:r w:rsidR="00076834" w:rsidRPr="00CA5330">
              <w:rPr>
                <w:sz w:val="22"/>
                <w:szCs w:val="22"/>
              </w:rPr>
              <w:t>Všechny úřední výměny informací mezi členskými státy a Komisí se provádějí za použití systému pro elektronickou výměnu dat. Komise přijme prováděcí akty, které stanoví podmínky, jež má uvedený systém pro elektronickou výměnu dat splňovat. Tyto prováděcí akty se přijmou přezkumným postupem podle čl. 150 odst. 3.</w:t>
            </w:r>
          </w:p>
        </w:tc>
      </w:tr>
      <w:tr w:rsidR="00E94EE8" w:rsidRPr="00CA5330" w:rsidTr="00702A4D">
        <w:tc>
          <w:tcPr>
            <w:tcW w:w="1626" w:type="dxa"/>
          </w:tcPr>
          <w:p w:rsidR="00E94EE8" w:rsidRPr="00CA5330" w:rsidRDefault="00E94EE8" w:rsidP="004C2583">
            <w:pPr>
              <w:spacing w:before="120" w:after="120"/>
              <w:rPr>
                <w:rFonts w:ascii="Times New Roman" w:hAnsi="Times New Roman" w:cs="Times New Roman"/>
              </w:rPr>
            </w:pPr>
            <w:r w:rsidRPr="00CA5330">
              <w:rPr>
                <w:rFonts w:ascii="Times New Roman" w:hAnsi="Times New Roman" w:cs="Times New Roman"/>
              </w:rPr>
              <w:t>§ 6 odst. 4</w:t>
            </w:r>
          </w:p>
        </w:tc>
        <w:tc>
          <w:tcPr>
            <w:tcW w:w="3997" w:type="dxa"/>
          </w:tcPr>
          <w:p w:rsidR="00E94EE8" w:rsidRPr="00CA5330" w:rsidRDefault="00E94EE8" w:rsidP="00E94EE8">
            <w:pPr>
              <w:pStyle w:val="Textodstavce"/>
              <w:numPr>
                <w:ilvl w:val="0"/>
                <w:numId w:val="0"/>
              </w:numPr>
              <w:rPr>
                <w:sz w:val="22"/>
                <w:szCs w:val="22"/>
              </w:rPr>
            </w:pPr>
            <w:r w:rsidRPr="00CA5330">
              <w:rPr>
                <w:sz w:val="22"/>
                <w:szCs w:val="22"/>
              </w:rPr>
              <w:t xml:space="preserve">(4) Vzájemně neslučitelné jsou funkce schvalující osoby, pověřené schvalující osoby a vedoucího útvaru interního auditu. </w:t>
            </w:r>
          </w:p>
          <w:p w:rsidR="00E94EE8" w:rsidRPr="00CA5330" w:rsidRDefault="00E94EE8" w:rsidP="004C2583">
            <w:pPr>
              <w:pStyle w:val="Textodstavce"/>
              <w:numPr>
                <w:ilvl w:val="0"/>
                <w:numId w:val="0"/>
              </w:numPr>
              <w:jc w:val="center"/>
              <w:rPr>
                <w:sz w:val="22"/>
                <w:szCs w:val="22"/>
              </w:rPr>
            </w:pPr>
          </w:p>
        </w:tc>
        <w:tc>
          <w:tcPr>
            <w:tcW w:w="2088" w:type="dxa"/>
          </w:tcPr>
          <w:p w:rsidR="00E94EE8" w:rsidRPr="00CA5330" w:rsidRDefault="0028179E" w:rsidP="004C2583">
            <w:pPr>
              <w:pStyle w:val="Textlnku"/>
              <w:spacing w:before="120" w:after="120"/>
              <w:ind w:firstLine="0"/>
              <w:rPr>
                <w:sz w:val="22"/>
                <w:szCs w:val="22"/>
              </w:rPr>
            </w:pPr>
            <w:r w:rsidRPr="00CA5330">
              <w:rPr>
                <w:sz w:val="22"/>
                <w:szCs w:val="22"/>
              </w:rPr>
              <w:t>32012R0966</w:t>
            </w:r>
          </w:p>
        </w:tc>
        <w:tc>
          <w:tcPr>
            <w:tcW w:w="1531" w:type="dxa"/>
          </w:tcPr>
          <w:p w:rsidR="00E94EE8" w:rsidRPr="00CA5330" w:rsidRDefault="0028179E" w:rsidP="004C2583">
            <w:pPr>
              <w:pStyle w:val="Textkomente"/>
              <w:spacing w:before="120" w:after="120"/>
              <w:jc w:val="left"/>
              <w:rPr>
                <w:sz w:val="22"/>
                <w:szCs w:val="22"/>
              </w:rPr>
            </w:pPr>
            <w:r w:rsidRPr="00CA5330">
              <w:rPr>
                <w:sz w:val="22"/>
                <w:szCs w:val="22"/>
              </w:rPr>
              <w:t>čl. 64 odst. 1</w:t>
            </w:r>
          </w:p>
        </w:tc>
        <w:tc>
          <w:tcPr>
            <w:tcW w:w="4978" w:type="dxa"/>
          </w:tcPr>
          <w:p w:rsidR="0028179E" w:rsidRPr="00CA5330" w:rsidRDefault="0028179E" w:rsidP="0028179E">
            <w:pPr>
              <w:pStyle w:val="Textodstavce"/>
              <w:numPr>
                <w:ilvl w:val="0"/>
                <w:numId w:val="0"/>
              </w:numPr>
              <w:tabs>
                <w:tab w:val="num" w:pos="2627"/>
              </w:tabs>
              <w:rPr>
                <w:b/>
                <w:sz w:val="22"/>
                <w:szCs w:val="22"/>
              </w:rPr>
            </w:pPr>
            <w:r w:rsidRPr="00CA5330">
              <w:rPr>
                <w:b/>
                <w:sz w:val="22"/>
                <w:szCs w:val="22"/>
              </w:rPr>
              <w:t>Oddělení funkcí</w:t>
            </w:r>
          </w:p>
          <w:p w:rsidR="00E94EE8" w:rsidRPr="00CA5330" w:rsidRDefault="0028179E" w:rsidP="0028179E">
            <w:pPr>
              <w:pStyle w:val="Textodstavce"/>
              <w:numPr>
                <w:ilvl w:val="0"/>
                <w:numId w:val="0"/>
              </w:numPr>
              <w:tabs>
                <w:tab w:val="num" w:pos="2627"/>
              </w:tabs>
              <w:rPr>
                <w:b/>
                <w:sz w:val="22"/>
                <w:szCs w:val="22"/>
              </w:rPr>
            </w:pPr>
            <w:r w:rsidRPr="00CA5330">
              <w:rPr>
                <w:sz w:val="22"/>
                <w:szCs w:val="22"/>
              </w:rPr>
              <w:t>1. Funkce schvalující osoby a účetního jsou oddělené a vzájemně neslučitelné.</w:t>
            </w:r>
          </w:p>
        </w:tc>
      </w:tr>
      <w:tr w:rsidR="000C627B" w:rsidRPr="00CA5330" w:rsidTr="00702A4D">
        <w:tc>
          <w:tcPr>
            <w:tcW w:w="1626" w:type="dxa"/>
            <w:vMerge w:val="restart"/>
          </w:tcPr>
          <w:p w:rsidR="000C627B" w:rsidRPr="00CA5330" w:rsidRDefault="000C627B" w:rsidP="004C2583">
            <w:pPr>
              <w:spacing w:before="120" w:after="120"/>
              <w:rPr>
                <w:rFonts w:ascii="Times New Roman" w:hAnsi="Times New Roman" w:cs="Times New Roman"/>
              </w:rPr>
            </w:pPr>
            <w:r w:rsidRPr="00CA5330">
              <w:rPr>
                <w:rFonts w:ascii="Times New Roman" w:hAnsi="Times New Roman" w:cs="Times New Roman"/>
              </w:rPr>
              <w:t xml:space="preserve">§ </w:t>
            </w:r>
            <w:r w:rsidR="0096714D" w:rsidRPr="00CA5330">
              <w:rPr>
                <w:rFonts w:ascii="Times New Roman" w:hAnsi="Times New Roman" w:cs="Times New Roman"/>
              </w:rPr>
              <w:t>7</w:t>
            </w:r>
          </w:p>
        </w:tc>
        <w:tc>
          <w:tcPr>
            <w:tcW w:w="3997" w:type="dxa"/>
            <w:vMerge w:val="restart"/>
          </w:tcPr>
          <w:p w:rsidR="00923899" w:rsidRPr="00CA5330" w:rsidRDefault="00923899" w:rsidP="004C2583">
            <w:pPr>
              <w:pStyle w:val="Nadpisparagrafu"/>
              <w:spacing w:before="120" w:after="120"/>
              <w:jc w:val="left"/>
              <w:rPr>
                <w:sz w:val="22"/>
                <w:szCs w:val="22"/>
              </w:rPr>
            </w:pPr>
            <w:r w:rsidRPr="00CA5330">
              <w:rPr>
                <w:sz w:val="22"/>
                <w:szCs w:val="22"/>
              </w:rPr>
              <w:t>Správa zahraničních prostředků</w:t>
            </w:r>
          </w:p>
          <w:p w:rsidR="00516E17" w:rsidRPr="00CA5330" w:rsidRDefault="005227C3" w:rsidP="005227C3">
            <w:pPr>
              <w:pStyle w:val="Textodstavce"/>
              <w:numPr>
                <w:ilvl w:val="0"/>
                <w:numId w:val="0"/>
              </w:numPr>
              <w:rPr>
                <w:sz w:val="22"/>
                <w:szCs w:val="22"/>
              </w:rPr>
            </w:pPr>
            <w:r w:rsidRPr="00CA5330">
              <w:rPr>
                <w:sz w:val="22"/>
                <w:szCs w:val="22"/>
              </w:rPr>
              <w:t xml:space="preserve">(1) </w:t>
            </w:r>
            <w:r w:rsidR="00516E17" w:rsidRPr="00CA5330">
              <w:rPr>
                <w:sz w:val="22"/>
                <w:szCs w:val="22"/>
              </w:rPr>
              <w:t>Vláda určí ústřední správní úřad, který bude vykonávat podle přímo použitelného předpisu Evropské unie</w:t>
            </w:r>
            <w:r w:rsidR="00516E17" w:rsidRPr="00CA5330">
              <w:rPr>
                <w:rStyle w:val="Znakapoznpodarou"/>
                <w:sz w:val="22"/>
                <w:szCs w:val="22"/>
              </w:rPr>
              <w:footnoteReference w:customMarkFollows="1" w:id="3"/>
              <w:t>3)</w:t>
            </w:r>
            <w:r w:rsidR="00516E17" w:rsidRPr="00CA5330">
              <w:rPr>
                <w:sz w:val="22"/>
                <w:szCs w:val="22"/>
              </w:rPr>
              <w:t xml:space="preserve"> působnost orgánu odpovědného za zajištění plnění části souhrnného rozpočtu Evropské unie, rozpočtu jiného státu nebo mezinárodní organizace (dále jen „řídicí orgán“), orgánu odpovědného za provádění jeho certifikace (dále jen „certifikační orgán“) nebo orgánu odpovědného za výkon auditu (dále jen „auditní orgán“), podle oboru působnosti ústředního správního úřadu, popřípadě určí ústřední správní úřad, jehož obor působnosti je nejbližší. Česká republika je </w:t>
            </w:r>
            <w:proofErr w:type="gramStart"/>
            <w:r w:rsidR="00516E17" w:rsidRPr="00CA5330">
              <w:rPr>
                <w:sz w:val="22"/>
                <w:szCs w:val="22"/>
              </w:rPr>
              <w:t>oprávněna  uzavřít</w:t>
            </w:r>
            <w:proofErr w:type="gramEnd"/>
            <w:r w:rsidR="00516E17" w:rsidRPr="00CA5330">
              <w:rPr>
                <w:sz w:val="22"/>
                <w:szCs w:val="22"/>
              </w:rPr>
              <w:t xml:space="preserve"> veřejnoprávní smlouvu s územním samosprávným celkem, jejímž předmětem bude plnění působnosti řídicího orgánu. </w:t>
            </w:r>
          </w:p>
          <w:p w:rsidR="00516E17" w:rsidRPr="00CA5330" w:rsidRDefault="005227C3" w:rsidP="005227C3">
            <w:pPr>
              <w:pStyle w:val="Textodstavce"/>
              <w:numPr>
                <w:ilvl w:val="0"/>
                <w:numId w:val="0"/>
              </w:numPr>
              <w:rPr>
                <w:sz w:val="22"/>
                <w:szCs w:val="22"/>
              </w:rPr>
            </w:pPr>
            <w:r w:rsidRPr="00CA5330">
              <w:rPr>
                <w:sz w:val="22"/>
                <w:szCs w:val="22"/>
              </w:rPr>
              <w:t xml:space="preserve">(2) </w:t>
            </w:r>
            <w:r w:rsidR="00516E17" w:rsidRPr="00CA5330">
              <w:rPr>
                <w:sz w:val="22"/>
                <w:szCs w:val="22"/>
              </w:rPr>
              <w:t>Orgán podle odstavce 1 postupuje při zajištění plnění rozpočtu, provádění certifikace nebo výkonu auditu zahraničních prostředků podle tohoto zákona.</w:t>
            </w:r>
          </w:p>
          <w:p w:rsidR="00516E17" w:rsidRPr="00CA5330" w:rsidRDefault="005227C3" w:rsidP="005227C3">
            <w:pPr>
              <w:pStyle w:val="Textodstavce"/>
              <w:numPr>
                <w:ilvl w:val="0"/>
                <w:numId w:val="0"/>
              </w:numPr>
              <w:rPr>
                <w:sz w:val="22"/>
                <w:szCs w:val="22"/>
              </w:rPr>
            </w:pPr>
            <w:r w:rsidRPr="00CA5330">
              <w:rPr>
                <w:sz w:val="22"/>
                <w:szCs w:val="22"/>
              </w:rPr>
              <w:t xml:space="preserve">(3) </w:t>
            </w:r>
            <w:r w:rsidR="00516E17" w:rsidRPr="00CA5330">
              <w:rPr>
                <w:sz w:val="22"/>
                <w:szCs w:val="22"/>
              </w:rPr>
              <w:t>Řídicí orgán může uzavřít s jedním nebo více správci veřejného rozpočtu, jedním nebo více veřejnými subjekty nebo jednou nebo více třetími osobami (dále jen „zprostředkující subjekt“) veřejnoprávní smlouvu, jejímž předmětem bude plnění některých nebo všech práv a povinností řídicího orgánu. Touto veřejnoprávní smlouvou není dotčena povinnost řídicího orgánu vykonávat kontrolu a odpovědnost za její výkon.</w:t>
            </w:r>
          </w:p>
          <w:p w:rsidR="00516E17" w:rsidRPr="00CA5330" w:rsidRDefault="005227C3" w:rsidP="005227C3">
            <w:pPr>
              <w:pStyle w:val="Textodstavce"/>
              <w:numPr>
                <w:ilvl w:val="0"/>
                <w:numId w:val="0"/>
              </w:numPr>
              <w:rPr>
                <w:sz w:val="22"/>
                <w:szCs w:val="22"/>
              </w:rPr>
            </w:pPr>
            <w:r w:rsidRPr="00CA5330">
              <w:rPr>
                <w:sz w:val="22"/>
                <w:szCs w:val="22"/>
              </w:rPr>
              <w:t xml:space="preserve">(4) </w:t>
            </w:r>
            <w:r w:rsidR="00516E17" w:rsidRPr="00CA5330">
              <w:rPr>
                <w:sz w:val="22"/>
                <w:szCs w:val="22"/>
              </w:rPr>
              <w:t>Řídicí orgán nebo certifikační orgán kontroluje plnění požadavků stanovených přímo použitelnými předpisy Evropské unie</w:t>
            </w:r>
            <w:r w:rsidR="00516E17" w:rsidRPr="00CA5330">
              <w:rPr>
                <w:rStyle w:val="Odkaznapoznpodarou"/>
                <w:sz w:val="22"/>
                <w:szCs w:val="22"/>
              </w:rPr>
              <w:t>3)</w:t>
            </w:r>
            <w:r w:rsidR="00516E17" w:rsidRPr="00CA5330">
              <w:rPr>
                <w:sz w:val="22"/>
                <w:szCs w:val="22"/>
              </w:rPr>
              <w:t>; přitom posuzuje</w:t>
            </w:r>
          </w:p>
          <w:p w:rsidR="00516E17" w:rsidRPr="00CA5330" w:rsidRDefault="005427D1" w:rsidP="005427D1">
            <w:pPr>
              <w:pStyle w:val="Textpsmene"/>
              <w:numPr>
                <w:ilvl w:val="0"/>
                <w:numId w:val="0"/>
              </w:numPr>
              <w:spacing w:before="120" w:after="120"/>
              <w:rPr>
                <w:sz w:val="22"/>
                <w:szCs w:val="22"/>
              </w:rPr>
            </w:pPr>
            <w:r w:rsidRPr="00CA5330">
              <w:rPr>
                <w:sz w:val="22"/>
                <w:szCs w:val="22"/>
              </w:rPr>
              <w:t xml:space="preserve">a) dodržování právních předpisů, </w:t>
            </w:r>
            <w:r w:rsidR="00516E17" w:rsidRPr="00CA5330">
              <w:rPr>
                <w:sz w:val="22"/>
                <w:szCs w:val="22"/>
              </w:rPr>
              <w:t>ro</w:t>
            </w:r>
            <w:r w:rsidRPr="00CA5330">
              <w:rPr>
                <w:sz w:val="22"/>
                <w:szCs w:val="22"/>
              </w:rPr>
              <w:t xml:space="preserve">zhodnutí a uzavřených smluv při </w:t>
            </w:r>
            <w:r w:rsidR="00516E17" w:rsidRPr="00CA5330">
              <w:rPr>
                <w:sz w:val="22"/>
                <w:szCs w:val="22"/>
              </w:rPr>
              <w:t>nakládání s veřejnými prostředky,</w:t>
            </w:r>
          </w:p>
          <w:p w:rsidR="00516E17" w:rsidRPr="00CA5330" w:rsidRDefault="005427D1" w:rsidP="005427D1">
            <w:pPr>
              <w:pStyle w:val="Textpsmene"/>
              <w:numPr>
                <w:ilvl w:val="0"/>
                <w:numId w:val="0"/>
              </w:numPr>
              <w:spacing w:before="120" w:after="120"/>
              <w:rPr>
                <w:sz w:val="22"/>
                <w:szCs w:val="22"/>
              </w:rPr>
            </w:pPr>
            <w:r w:rsidRPr="00CA5330">
              <w:rPr>
                <w:sz w:val="22"/>
                <w:szCs w:val="22"/>
              </w:rPr>
              <w:t xml:space="preserve">b) </w:t>
            </w:r>
            <w:r w:rsidR="00516E17" w:rsidRPr="00CA5330">
              <w:rPr>
                <w:sz w:val="22"/>
                <w:szCs w:val="22"/>
              </w:rPr>
              <w:t>dodržování podmínek, za nichž je veřejná finanční podpora poskytována,</w:t>
            </w:r>
          </w:p>
          <w:p w:rsidR="00516E17" w:rsidRPr="00CA5330" w:rsidRDefault="005427D1" w:rsidP="005427D1">
            <w:pPr>
              <w:pStyle w:val="Textpsmene"/>
              <w:numPr>
                <w:ilvl w:val="0"/>
                <w:numId w:val="0"/>
              </w:numPr>
              <w:spacing w:before="120" w:after="120"/>
              <w:rPr>
                <w:sz w:val="22"/>
                <w:szCs w:val="22"/>
              </w:rPr>
            </w:pPr>
            <w:r w:rsidRPr="00CA5330">
              <w:rPr>
                <w:sz w:val="22"/>
                <w:szCs w:val="22"/>
              </w:rPr>
              <w:t xml:space="preserve">c) </w:t>
            </w:r>
            <w:r w:rsidR="00516E17" w:rsidRPr="00CA5330">
              <w:rPr>
                <w:sz w:val="22"/>
                <w:szCs w:val="22"/>
              </w:rPr>
              <w:t>správnost zachycení operací souvisejících s veřejnou finanční podporou v účetnictví.</w:t>
            </w:r>
          </w:p>
          <w:p w:rsidR="00516E17" w:rsidRPr="00CA5330" w:rsidRDefault="005227C3" w:rsidP="005227C3">
            <w:pPr>
              <w:pStyle w:val="Textodstavce"/>
              <w:numPr>
                <w:ilvl w:val="0"/>
                <w:numId w:val="0"/>
              </w:numPr>
              <w:rPr>
                <w:sz w:val="22"/>
                <w:szCs w:val="22"/>
              </w:rPr>
            </w:pPr>
            <w:r w:rsidRPr="00CA5330">
              <w:rPr>
                <w:sz w:val="22"/>
                <w:szCs w:val="22"/>
              </w:rPr>
              <w:t xml:space="preserve">(5) </w:t>
            </w:r>
            <w:r w:rsidR="00516E17" w:rsidRPr="00CA5330">
              <w:rPr>
                <w:sz w:val="22"/>
                <w:szCs w:val="22"/>
              </w:rPr>
              <w:t xml:space="preserve">Auditní orgán provádí výkon auditu u správce veřejného rozpočtu a u veřejného subjektu, kteří se podílejí na správě prostředků poskytnutých ze souhrnného rozpočtu Evropské unie, rozpočtu jiného státu nebo mezinárodní organizace, a u příjemce veřejné finanční podpory poskytnuté z těchto rozpočtů (dále jen „audit zahraničních prostředků“). </w:t>
            </w:r>
          </w:p>
          <w:p w:rsidR="000C627B" w:rsidRPr="00CA5330" w:rsidRDefault="005227C3" w:rsidP="00516E17">
            <w:pPr>
              <w:pStyle w:val="Textodstavce"/>
              <w:numPr>
                <w:ilvl w:val="0"/>
                <w:numId w:val="0"/>
              </w:numPr>
              <w:rPr>
                <w:sz w:val="22"/>
                <w:szCs w:val="22"/>
              </w:rPr>
            </w:pPr>
            <w:r w:rsidRPr="00CA5330">
              <w:rPr>
                <w:sz w:val="22"/>
                <w:szCs w:val="22"/>
              </w:rPr>
              <w:t xml:space="preserve">(6) </w:t>
            </w:r>
            <w:r w:rsidR="00516E17" w:rsidRPr="00CA5330">
              <w:rPr>
                <w:sz w:val="22"/>
                <w:szCs w:val="22"/>
              </w:rPr>
              <w:t>Při výkonu auditu zahraničních prostředků se postupuje podle kontrolního řádu s výjimkou § 9 písm. f), § 10 odst. 1 písm. c) a d), § 12 až 19, § 21, § 24 až 27 a podle § 21 odst. 3, § 27, § 29, § 30 odst. 4 a 5, § 31 až 33, § 34 odst. 2 a 3, §</w:t>
            </w:r>
            <w:r w:rsidR="00771945" w:rsidRPr="00CA5330">
              <w:rPr>
                <w:sz w:val="22"/>
                <w:szCs w:val="22"/>
              </w:rPr>
              <w:t xml:space="preserve"> 35 odst. 3 a § 36</w:t>
            </w:r>
            <w:r w:rsidR="00516E17" w:rsidRPr="00CA5330">
              <w:rPr>
                <w:sz w:val="22"/>
                <w:szCs w:val="22"/>
              </w:rPr>
              <w:t>, pokud přímo použitelné předpisy Evropské unie</w:t>
            </w:r>
            <w:r w:rsidR="00516E17" w:rsidRPr="00CA5330">
              <w:rPr>
                <w:rStyle w:val="Odkaznapoznpodarou"/>
                <w:sz w:val="22"/>
                <w:szCs w:val="22"/>
              </w:rPr>
              <w:t>3)</w:t>
            </w:r>
            <w:r w:rsidR="00516E17" w:rsidRPr="00CA5330">
              <w:rPr>
                <w:sz w:val="22"/>
                <w:szCs w:val="22"/>
              </w:rPr>
              <w:t xml:space="preserve"> nestanoví jinak.</w:t>
            </w:r>
          </w:p>
        </w:tc>
        <w:tc>
          <w:tcPr>
            <w:tcW w:w="2088" w:type="dxa"/>
            <w:vMerge w:val="restart"/>
          </w:tcPr>
          <w:p w:rsidR="000C627B" w:rsidRPr="00CA5330" w:rsidRDefault="000C627B" w:rsidP="004C2583">
            <w:pPr>
              <w:pStyle w:val="Textlnku"/>
              <w:spacing w:before="120" w:after="120"/>
              <w:ind w:firstLine="0"/>
              <w:rPr>
                <w:sz w:val="22"/>
                <w:szCs w:val="22"/>
              </w:rPr>
            </w:pPr>
            <w:r w:rsidRPr="00CA5330">
              <w:rPr>
                <w:sz w:val="22"/>
                <w:szCs w:val="22"/>
              </w:rPr>
              <w:t>32013R1303</w:t>
            </w:r>
          </w:p>
        </w:tc>
        <w:tc>
          <w:tcPr>
            <w:tcW w:w="1531" w:type="dxa"/>
          </w:tcPr>
          <w:p w:rsidR="000C627B" w:rsidRPr="00CA5330" w:rsidRDefault="000C627B" w:rsidP="004C2583">
            <w:pPr>
              <w:pStyle w:val="Textlnku"/>
              <w:spacing w:before="120" w:after="120"/>
              <w:ind w:firstLine="0"/>
              <w:rPr>
                <w:sz w:val="22"/>
                <w:szCs w:val="22"/>
              </w:rPr>
            </w:pPr>
            <w:r w:rsidRPr="00CA5330">
              <w:rPr>
                <w:sz w:val="22"/>
                <w:szCs w:val="22"/>
              </w:rPr>
              <w:t>čl. 2 odst. 18</w:t>
            </w:r>
          </w:p>
        </w:tc>
        <w:tc>
          <w:tcPr>
            <w:tcW w:w="4978" w:type="dxa"/>
          </w:tcPr>
          <w:p w:rsidR="000C627B" w:rsidRPr="00CA5330" w:rsidRDefault="00970C87" w:rsidP="004C2583">
            <w:pPr>
              <w:pStyle w:val="Textodstavce"/>
              <w:numPr>
                <w:ilvl w:val="0"/>
                <w:numId w:val="0"/>
              </w:numPr>
              <w:tabs>
                <w:tab w:val="num" w:pos="2627"/>
              </w:tabs>
              <w:rPr>
                <w:sz w:val="22"/>
                <w:szCs w:val="22"/>
              </w:rPr>
            </w:pPr>
            <w:r w:rsidRPr="00CA5330">
              <w:rPr>
                <w:sz w:val="22"/>
                <w:szCs w:val="22"/>
              </w:rPr>
              <w:t xml:space="preserve">18. </w:t>
            </w:r>
            <w:r w:rsidR="000C627B" w:rsidRPr="00CA5330">
              <w:rPr>
                <w:sz w:val="22"/>
                <w:szCs w:val="22"/>
              </w:rPr>
              <w:t>„zprostředkujícím subjektem“ jakýkoli veřejný nebo soukromý subjekt, za jehož činnost odpovídá řídicí nebo certifikační orgán nebo který z pověření takového orgánu plní povinnosti vůči příjemcům provádějícím operace;</w:t>
            </w:r>
          </w:p>
        </w:tc>
      </w:tr>
      <w:tr w:rsidR="000C627B" w:rsidRPr="00CA5330" w:rsidTr="00702A4D">
        <w:tc>
          <w:tcPr>
            <w:tcW w:w="1626" w:type="dxa"/>
            <w:vMerge/>
          </w:tcPr>
          <w:p w:rsidR="000C627B" w:rsidRPr="00CA5330" w:rsidRDefault="000C627B" w:rsidP="004C2583">
            <w:pPr>
              <w:spacing w:before="120" w:after="120"/>
              <w:rPr>
                <w:rFonts w:ascii="Times New Roman" w:hAnsi="Times New Roman" w:cs="Times New Roman"/>
              </w:rPr>
            </w:pPr>
          </w:p>
        </w:tc>
        <w:tc>
          <w:tcPr>
            <w:tcW w:w="3997" w:type="dxa"/>
            <w:vMerge/>
          </w:tcPr>
          <w:p w:rsidR="000C627B" w:rsidRPr="00CA5330" w:rsidRDefault="000C627B" w:rsidP="004C2583">
            <w:pPr>
              <w:pStyle w:val="Textodstavce"/>
              <w:numPr>
                <w:ilvl w:val="0"/>
                <w:numId w:val="0"/>
              </w:numPr>
              <w:jc w:val="center"/>
              <w:rPr>
                <w:sz w:val="22"/>
                <w:szCs w:val="22"/>
              </w:rPr>
            </w:pPr>
          </w:p>
        </w:tc>
        <w:tc>
          <w:tcPr>
            <w:tcW w:w="2088" w:type="dxa"/>
            <w:vMerge/>
          </w:tcPr>
          <w:p w:rsidR="000C627B" w:rsidRPr="00CA5330" w:rsidRDefault="000C627B" w:rsidP="004C2583">
            <w:pPr>
              <w:pStyle w:val="Textlnku"/>
              <w:spacing w:before="120" w:after="120"/>
              <w:ind w:firstLine="0"/>
              <w:rPr>
                <w:sz w:val="22"/>
                <w:szCs w:val="22"/>
              </w:rPr>
            </w:pPr>
          </w:p>
        </w:tc>
        <w:tc>
          <w:tcPr>
            <w:tcW w:w="1531" w:type="dxa"/>
          </w:tcPr>
          <w:p w:rsidR="000C627B" w:rsidRPr="00CA5330" w:rsidRDefault="000C627B" w:rsidP="004C2583">
            <w:pPr>
              <w:pStyle w:val="Textlnku"/>
              <w:spacing w:before="120" w:after="120"/>
              <w:ind w:firstLine="0"/>
              <w:rPr>
                <w:sz w:val="22"/>
                <w:szCs w:val="22"/>
              </w:rPr>
            </w:pPr>
            <w:r w:rsidRPr="00CA5330">
              <w:rPr>
                <w:sz w:val="22"/>
                <w:szCs w:val="22"/>
              </w:rPr>
              <w:t>čl. 123</w:t>
            </w:r>
          </w:p>
        </w:tc>
        <w:tc>
          <w:tcPr>
            <w:tcW w:w="4978" w:type="dxa"/>
          </w:tcPr>
          <w:p w:rsidR="000C627B" w:rsidRPr="00CA5330" w:rsidRDefault="000C627B" w:rsidP="004C2583">
            <w:pPr>
              <w:pStyle w:val="Textodstavce"/>
              <w:numPr>
                <w:ilvl w:val="0"/>
                <w:numId w:val="0"/>
              </w:numPr>
              <w:tabs>
                <w:tab w:val="num" w:pos="2627"/>
              </w:tabs>
              <w:rPr>
                <w:b/>
                <w:sz w:val="22"/>
                <w:szCs w:val="22"/>
              </w:rPr>
            </w:pPr>
            <w:r w:rsidRPr="00CA5330">
              <w:rPr>
                <w:b/>
                <w:sz w:val="22"/>
                <w:szCs w:val="22"/>
              </w:rPr>
              <w:t>Určení orgánů</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1. </w:t>
            </w:r>
            <w:r w:rsidR="000C627B" w:rsidRPr="00CA5330">
              <w:rPr>
                <w:sz w:val="22"/>
                <w:szCs w:val="22"/>
              </w:rPr>
              <w:t>Každý členský stát určí pro každý operační program celostátní, regionální nebo místní orgán veřejné správy nebo veřejný či soukromý subjekt jako řídicí orgán. Tentýž řídicí orgán může být určen pro více operačních programů.</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2. </w:t>
            </w:r>
            <w:r w:rsidR="000C627B" w:rsidRPr="00CA5330">
              <w:rPr>
                <w:sz w:val="22"/>
                <w:szCs w:val="22"/>
              </w:rPr>
              <w:t>Členský stát určí pro každý operační program celostátní, regionální nebo místní orgán veřejné správy nebo veřejný subjekt jako certifikační orgán, aniž je dotčen odstavec 3. Tentýž certifikační orgán může být určen pro více operačních programů.</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3. </w:t>
            </w:r>
            <w:r w:rsidR="000C627B" w:rsidRPr="00CA5330">
              <w:rPr>
                <w:sz w:val="22"/>
                <w:szCs w:val="22"/>
              </w:rPr>
              <w:t>Členský stát může pro operační program určit řídicí orgán, který je veřejným orgánem nebo subjektem a který navíc plní i funkce certifikačního orgánu.</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4. </w:t>
            </w:r>
            <w:r w:rsidR="000C627B" w:rsidRPr="00CA5330">
              <w:rPr>
                <w:sz w:val="22"/>
                <w:szCs w:val="22"/>
              </w:rPr>
              <w:t>Členský stát určí pro každý operační program celostátní, regionální nebo místní orgán veřejné správy nebo veřejný subjekt funkčně nezávislý na řídicím orgánu a certifikačním orgánu jako auditní orgán. Tentýž auditní orgán může být určen pro více operačních programů.</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5. </w:t>
            </w:r>
            <w:r w:rsidR="000C627B" w:rsidRPr="00CA5330">
              <w:rPr>
                <w:sz w:val="22"/>
                <w:szCs w:val="22"/>
              </w:rPr>
              <w:t>Za předpokladu, že je dodržena zásada oddělení funkcí, mohou být řídicí orgán, případně certifikační orgán, jakož i auditní orgán v případě fondů spjatých s cílem Investice pro růst a zaměstnanost a v případě ENRF součástí stejného orgánu veřejné správy nebo veřejného subjektu.</w:t>
            </w:r>
          </w:p>
          <w:p w:rsidR="000C627B" w:rsidRPr="00CA5330" w:rsidRDefault="000C627B" w:rsidP="004C2583">
            <w:pPr>
              <w:pStyle w:val="Textodstavce"/>
              <w:numPr>
                <w:ilvl w:val="0"/>
                <w:numId w:val="0"/>
              </w:numPr>
              <w:tabs>
                <w:tab w:val="num" w:pos="2627"/>
              </w:tabs>
              <w:rPr>
                <w:sz w:val="22"/>
                <w:szCs w:val="22"/>
              </w:rPr>
            </w:pPr>
            <w:r w:rsidRPr="00CA5330">
              <w:rPr>
                <w:sz w:val="22"/>
                <w:szCs w:val="22"/>
              </w:rPr>
              <w:t>Pokud celková výše podpory z fondů na operační program přesáhne částku 250 000 000 EUR, nebo přesáhne 100 000 000 EUR z ENRF, může být auditní orgán součástí stejného orgánu veřejné správy nebo veřejného subjektu jako řídicí orgán buď v případě, že Komise v souladu s platnými ustanoveními předchozího programového období informovala přede dnem přijetí dotčeného operačního programu členský stát o svém závěru, že se členský stát může spolehnout zejména na stanovisko svého auditora, nebo v případě, že je Komise na základě zkušenosti z předchozího programového období přesvědčena, že institucionální organizace a odpovědnost auditního orgánu poskytuje odpovídající záruky jeho funkční nezávislosti a spolehlivosti.</w:t>
            </w:r>
          </w:p>
          <w:p w:rsidR="000C627B" w:rsidRPr="00CA5330" w:rsidRDefault="000C627B" w:rsidP="004C2583">
            <w:pPr>
              <w:pStyle w:val="Textodstavce"/>
              <w:numPr>
                <w:ilvl w:val="0"/>
                <w:numId w:val="0"/>
              </w:numPr>
              <w:tabs>
                <w:tab w:val="num" w:pos="2627"/>
              </w:tabs>
              <w:rPr>
                <w:sz w:val="22"/>
                <w:szCs w:val="22"/>
              </w:rPr>
            </w:pPr>
            <w:r w:rsidRPr="00CA5330">
              <w:rPr>
                <w:sz w:val="22"/>
                <w:szCs w:val="22"/>
              </w:rPr>
              <w:t>6.   Členský stát může určit jeden nebo více zprostředkujících subjektů pro výkon některých úkolů řídicího nebo certifikačního orgánu z pověření tohoto orgánu. Příslušná ujednání mezi řídicím orgánem nebo certifikačním orgánem a zprostředkujícími subjekty musí být oficiálně písemně zaznamenána.</w:t>
            </w:r>
          </w:p>
          <w:p w:rsidR="000C627B" w:rsidRPr="00CA5330" w:rsidRDefault="000C627B" w:rsidP="004C2583">
            <w:pPr>
              <w:pStyle w:val="Textodstavce"/>
              <w:numPr>
                <w:ilvl w:val="0"/>
                <w:numId w:val="0"/>
              </w:numPr>
              <w:tabs>
                <w:tab w:val="num" w:pos="2627"/>
              </w:tabs>
              <w:rPr>
                <w:sz w:val="22"/>
                <w:szCs w:val="22"/>
              </w:rPr>
            </w:pPr>
            <w:r w:rsidRPr="00CA5330">
              <w:rPr>
                <w:sz w:val="22"/>
                <w:szCs w:val="22"/>
              </w:rPr>
              <w:t>7.   Členský stát nebo řídicí orgán může pověřit řízením části operačního programu zprostředkující subjekt, a to písemnou dohodou mezi zprostředkujícím subjektem a členským státem nebo řídicím orgánem (dále jen „globální grant“). Zprostředkující subjekt poskytne záruky své solventnosti a způsobilosti v dotčeném oboru, jakož i v oblasti správního a finančního řízení.</w:t>
            </w:r>
          </w:p>
          <w:p w:rsidR="00986FF6" w:rsidRPr="00CA5330" w:rsidRDefault="00986FF6" w:rsidP="004C2583">
            <w:pPr>
              <w:pStyle w:val="Textodstavce"/>
              <w:numPr>
                <w:ilvl w:val="0"/>
                <w:numId w:val="0"/>
              </w:numPr>
              <w:tabs>
                <w:tab w:val="num" w:pos="2627"/>
              </w:tabs>
              <w:rPr>
                <w:sz w:val="22"/>
                <w:szCs w:val="22"/>
              </w:rPr>
            </w:pPr>
            <w:r w:rsidRPr="00CA5330">
              <w:rPr>
                <w:sz w:val="22"/>
                <w:szCs w:val="22"/>
              </w:rPr>
              <w:t xml:space="preserve">8. </w:t>
            </w:r>
            <w:r w:rsidR="000C627B" w:rsidRPr="00CA5330">
              <w:rPr>
                <w:sz w:val="22"/>
                <w:szCs w:val="22"/>
              </w:rPr>
              <w:t>Členský stát může z vlastního podnětu určit koordinační orgán, jehož úkolem je udržovat kontakt s Komisí a poskytovat jí informace, koordinovat činnost ostatních příslušných určených orgánů a podporovat harmonizované uplatňování platných právních předpisů.</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9. </w:t>
            </w:r>
            <w:r w:rsidR="000C627B" w:rsidRPr="00CA5330">
              <w:rPr>
                <w:sz w:val="22"/>
                <w:szCs w:val="22"/>
              </w:rPr>
              <w:t>Členský stát stanoví písemně pravidla upravující jeho vztahy s řídicími orgány, certifikačními orgány a auditními orgány, vztahy mezi těmito orgány navzájem a vztahy těchto orgánů s Komisí.</w:t>
            </w:r>
          </w:p>
        </w:tc>
      </w:tr>
      <w:tr w:rsidR="000C627B" w:rsidRPr="00CA5330" w:rsidTr="00702A4D">
        <w:tc>
          <w:tcPr>
            <w:tcW w:w="1626" w:type="dxa"/>
            <w:vMerge/>
          </w:tcPr>
          <w:p w:rsidR="000C627B" w:rsidRPr="00CA5330" w:rsidRDefault="000C627B" w:rsidP="004C2583">
            <w:pPr>
              <w:spacing w:before="120" w:after="120"/>
              <w:rPr>
                <w:rFonts w:ascii="Times New Roman" w:hAnsi="Times New Roman" w:cs="Times New Roman"/>
              </w:rPr>
            </w:pPr>
          </w:p>
        </w:tc>
        <w:tc>
          <w:tcPr>
            <w:tcW w:w="3997" w:type="dxa"/>
            <w:vMerge/>
          </w:tcPr>
          <w:p w:rsidR="000C627B" w:rsidRPr="00CA5330" w:rsidRDefault="000C627B" w:rsidP="004C2583">
            <w:pPr>
              <w:pStyle w:val="Textodstavce"/>
              <w:numPr>
                <w:ilvl w:val="0"/>
                <w:numId w:val="0"/>
              </w:numPr>
              <w:jc w:val="center"/>
              <w:rPr>
                <w:sz w:val="22"/>
                <w:szCs w:val="22"/>
              </w:rPr>
            </w:pPr>
          </w:p>
        </w:tc>
        <w:tc>
          <w:tcPr>
            <w:tcW w:w="2088" w:type="dxa"/>
          </w:tcPr>
          <w:p w:rsidR="000C627B" w:rsidRPr="00CA5330" w:rsidRDefault="000C627B" w:rsidP="004C2583">
            <w:pPr>
              <w:pStyle w:val="Textlnku"/>
              <w:spacing w:before="120" w:after="120"/>
              <w:ind w:firstLine="0"/>
              <w:rPr>
                <w:sz w:val="22"/>
                <w:szCs w:val="22"/>
              </w:rPr>
            </w:pPr>
            <w:r w:rsidRPr="00CA5330">
              <w:rPr>
                <w:sz w:val="22"/>
                <w:szCs w:val="22"/>
              </w:rPr>
              <w:t>32014R0480</w:t>
            </w:r>
          </w:p>
        </w:tc>
        <w:tc>
          <w:tcPr>
            <w:tcW w:w="1531" w:type="dxa"/>
          </w:tcPr>
          <w:p w:rsidR="000C627B" w:rsidRPr="00CA5330" w:rsidRDefault="000C627B" w:rsidP="004C2583">
            <w:pPr>
              <w:pStyle w:val="Textlnku"/>
              <w:spacing w:before="120" w:after="120"/>
              <w:ind w:firstLine="0"/>
              <w:rPr>
                <w:sz w:val="22"/>
                <w:szCs w:val="22"/>
              </w:rPr>
            </w:pPr>
            <w:r w:rsidRPr="00CA5330">
              <w:rPr>
                <w:sz w:val="22"/>
                <w:szCs w:val="22"/>
              </w:rPr>
              <w:t>čl. 27</w:t>
            </w:r>
          </w:p>
        </w:tc>
        <w:tc>
          <w:tcPr>
            <w:tcW w:w="4978" w:type="dxa"/>
          </w:tcPr>
          <w:p w:rsidR="000C627B" w:rsidRPr="00CA5330" w:rsidRDefault="000C627B" w:rsidP="004C2583">
            <w:pPr>
              <w:pStyle w:val="Textodstavce"/>
              <w:numPr>
                <w:ilvl w:val="0"/>
                <w:numId w:val="0"/>
              </w:numPr>
              <w:tabs>
                <w:tab w:val="num" w:pos="2627"/>
              </w:tabs>
              <w:rPr>
                <w:b/>
                <w:sz w:val="22"/>
                <w:szCs w:val="22"/>
              </w:rPr>
            </w:pPr>
            <w:r w:rsidRPr="00CA5330">
              <w:rPr>
                <w:b/>
                <w:sz w:val="22"/>
                <w:szCs w:val="22"/>
              </w:rPr>
              <w:t>Audity operací</w:t>
            </w:r>
          </w:p>
          <w:p w:rsidR="000C627B" w:rsidRPr="00CA5330" w:rsidRDefault="000C627B" w:rsidP="004C2583">
            <w:pPr>
              <w:pStyle w:val="Textodstavce"/>
              <w:numPr>
                <w:ilvl w:val="0"/>
                <w:numId w:val="0"/>
              </w:numPr>
              <w:tabs>
                <w:tab w:val="num" w:pos="2627"/>
              </w:tabs>
              <w:rPr>
                <w:sz w:val="22"/>
                <w:szCs w:val="22"/>
              </w:rPr>
            </w:pPr>
            <w:r w:rsidRPr="00CA5330">
              <w:rPr>
                <w:sz w:val="22"/>
                <w:szCs w:val="22"/>
              </w:rPr>
              <w:t>(Čl. 127 odst. 7 nařízení (EU) č. 1303/2013)</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1. </w:t>
            </w:r>
            <w:r w:rsidR="000C627B" w:rsidRPr="00CA5330">
              <w:rPr>
                <w:sz w:val="22"/>
                <w:szCs w:val="22"/>
              </w:rPr>
              <w:t>Audity operací se provádějí za každé účetní období na vzorku operací vybraném metodou stanovenou či schválenou auditním orgánem v souladu s článkem 28 tohoto nařízení.</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2. </w:t>
            </w:r>
            <w:r w:rsidR="000C627B" w:rsidRPr="00CA5330">
              <w:rPr>
                <w:sz w:val="22"/>
                <w:szCs w:val="22"/>
              </w:rPr>
              <w:t>Audity operací se provádějí na základě podkladů, jež představují auditní stopu, a ověřuje se jimi legalita a správnost výdajů vykázaných Komisi, včetně těchto skutečností:</w:t>
            </w:r>
          </w:p>
          <w:p w:rsidR="000C627B" w:rsidRPr="00CA5330" w:rsidRDefault="000C627B" w:rsidP="004C2583">
            <w:pPr>
              <w:pStyle w:val="Textodstavce"/>
              <w:numPr>
                <w:ilvl w:val="0"/>
                <w:numId w:val="0"/>
              </w:numPr>
              <w:tabs>
                <w:tab w:val="num" w:pos="2627"/>
              </w:tabs>
              <w:rPr>
                <w:sz w:val="22"/>
                <w:szCs w:val="22"/>
              </w:rPr>
            </w:pPr>
            <w:r w:rsidRPr="00CA5330">
              <w:rPr>
                <w:sz w:val="22"/>
                <w:szCs w:val="22"/>
              </w:rPr>
              <w:t xml:space="preserve">a) operace byla vybrána v souladu s kritérii výběru pro operační program, operace nebyla fyzicky dokončená nebo plně provedená před tím, než příjemce podal žádost o financování v rámci operačního programu, operace byla provedena v souladu s rozhodnutím o schválení a splňovala v době auditu veškeré platné podmínky, pokud jde o funkčnost, použití a cíle, které mají být dosaženy; </w:t>
            </w:r>
          </w:p>
          <w:p w:rsidR="000C627B" w:rsidRPr="00CA5330" w:rsidRDefault="000C627B" w:rsidP="004C2583">
            <w:pPr>
              <w:pStyle w:val="Textodstavce"/>
              <w:numPr>
                <w:ilvl w:val="0"/>
                <w:numId w:val="0"/>
              </w:numPr>
              <w:tabs>
                <w:tab w:val="num" w:pos="2627"/>
              </w:tabs>
              <w:rPr>
                <w:sz w:val="22"/>
                <w:szCs w:val="22"/>
              </w:rPr>
            </w:pPr>
            <w:r w:rsidRPr="00CA5330">
              <w:rPr>
                <w:sz w:val="22"/>
                <w:szCs w:val="22"/>
              </w:rPr>
              <w:t>b) výdaje vykázané Komisi odpovídají účetním záznamům a požadované podklady dokládají adekvátní auditní stopu podle článku 25 tohoto nařízení;</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c) </w:t>
            </w:r>
            <w:r w:rsidR="000C627B" w:rsidRPr="00CA5330">
              <w:rPr>
                <w:sz w:val="22"/>
                <w:szCs w:val="22"/>
              </w:rPr>
              <w:t>u výdajů vykázaných Komisi stanovených v souladu s čl. 67 odst. 1 písm. b) a c) a článkem 109 nařízení (EU) č. 1303/2013 a s čl. 14 odst. 1 nařízení (EU) č. 1304/2013 byly splněny výstupy a výsledky, na jejichž základě se příjemci vyplácejí platby, údaje o účastnících či jiné záznamy týkající se výstupů a výsledků jsou v souladu s informacemi předloženými Komisi a požadované podklady představují adekvátní auditní stopu podle článku 25 tohoto nařízení.</w:t>
            </w:r>
          </w:p>
          <w:p w:rsidR="000C627B" w:rsidRPr="00CA5330" w:rsidRDefault="000C627B" w:rsidP="004C2583">
            <w:pPr>
              <w:pStyle w:val="Textodstavce"/>
              <w:numPr>
                <w:ilvl w:val="0"/>
                <w:numId w:val="0"/>
              </w:numPr>
              <w:tabs>
                <w:tab w:val="num" w:pos="2627"/>
              </w:tabs>
              <w:rPr>
                <w:sz w:val="22"/>
                <w:szCs w:val="22"/>
              </w:rPr>
            </w:pPr>
            <w:r w:rsidRPr="00CA5330">
              <w:rPr>
                <w:sz w:val="22"/>
                <w:szCs w:val="22"/>
              </w:rPr>
              <w:t>Audity se dále ověří, zda byl příspěvek z veřejných zdrojů příjemci vyplacen v souladu s článkem 132 odst. 1 nařízení (EU) č. 1303/2013.</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3. </w:t>
            </w:r>
            <w:r w:rsidR="000C627B" w:rsidRPr="00CA5330">
              <w:rPr>
                <w:sz w:val="22"/>
                <w:szCs w:val="22"/>
              </w:rPr>
              <w:t>Součástí auditů operací je v příslušných případech ověření fyzického provádění operace na místě.</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4. </w:t>
            </w:r>
            <w:r w:rsidR="000C627B" w:rsidRPr="00CA5330">
              <w:rPr>
                <w:sz w:val="22"/>
                <w:szCs w:val="22"/>
              </w:rPr>
              <w:t>Audity operací se ověřuje přesnost a úplnost odpovídajících výdajů zachycených certifikačním orgánem v jeho účetním systému a soulad auditní stopy na všech úrovních.</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5. </w:t>
            </w:r>
            <w:r w:rsidR="000C627B" w:rsidRPr="00CA5330">
              <w:rPr>
                <w:sz w:val="22"/>
                <w:szCs w:val="22"/>
              </w:rPr>
              <w:t>Vyjde-li najevo, že zjištěné problémy jsou systémové povahy, a představují tudíž riziko pro jiné operace v rámci operačního programu, zajistí auditní orgán další kontrolu, včetně případných doplňkových auditů, za účelem stanovení rozsahu problémů a doporučí nezbytná nápravná opatření.</w:t>
            </w:r>
          </w:p>
          <w:p w:rsidR="000C627B" w:rsidRPr="00CA5330" w:rsidRDefault="00986FF6" w:rsidP="004C2583">
            <w:pPr>
              <w:pStyle w:val="Textodstavce"/>
              <w:numPr>
                <w:ilvl w:val="0"/>
                <w:numId w:val="0"/>
              </w:numPr>
              <w:tabs>
                <w:tab w:val="num" w:pos="2627"/>
              </w:tabs>
              <w:rPr>
                <w:sz w:val="22"/>
                <w:szCs w:val="22"/>
              </w:rPr>
            </w:pPr>
            <w:r w:rsidRPr="00CA5330">
              <w:rPr>
                <w:sz w:val="22"/>
                <w:szCs w:val="22"/>
              </w:rPr>
              <w:t xml:space="preserve">6. </w:t>
            </w:r>
            <w:r w:rsidR="000C627B" w:rsidRPr="00CA5330">
              <w:rPr>
                <w:sz w:val="22"/>
                <w:szCs w:val="22"/>
              </w:rPr>
              <w:t>Pro účel podávání zpráv Komisi o ročním pokrytí se do částky auditovaných výdajů započítávají pouze výdaje spadající do rozsahu auditu provedeného podle odstavce 1. Pro tento účel se použije vzor kontrolní zprávy podle čl. 127 odst. 6 nařízení (EU) 1303/2013.</w:t>
            </w:r>
          </w:p>
        </w:tc>
      </w:tr>
      <w:tr w:rsidR="00CB5C7A" w:rsidRPr="00CA5330" w:rsidTr="00702A4D">
        <w:tc>
          <w:tcPr>
            <w:tcW w:w="1626" w:type="dxa"/>
            <w:vMerge w:val="restart"/>
          </w:tcPr>
          <w:p w:rsidR="00CB5C7A" w:rsidRPr="00CA5330" w:rsidRDefault="00CB5C7A" w:rsidP="004C2583">
            <w:pPr>
              <w:spacing w:before="120" w:after="120"/>
              <w:rPr>
                <w:rFonts w:ascii="Times New Roman" w:hAnsi="Times New Roman" w:cs="Times New Roman"/>
              </w:rPr>
            </w:pPr>
            <w:r w:rsidRPr="00CA5330">
              <w:rPr>
                <w:rFonts w:ascii="Times New Roman" w:hAnsi="Times New Roman" w:cs="Times New Roman"/>
              </w:rPr>
              <w:t>§ 8</w:t>
            </w:r>
          </w:p>
        </w:tc>
        <w:tc>
          <w:tcPr>
            <w:tcW w:w="3997" w:type="dxa"/>
            <w:vMerge w:val="restart"/>
          </w:tcPr>
          <w:p w:rsidR="00CB5C7A" w:rsidRPr="00CA5330" w:rsidRDefault="00CB5C7A" w:rsidP="00CB5C7A">
            <w:pPr>
              <w:pStyle w:val="Nadpisparagrafu"/>
              <w:jc w:val="left"/>
              <w:rPr>
                <w:sz w:val="22"/>
                <w:szCs w:val="22"/>
              </w:rPr>
            </w:pPr>
            <w:r w:rsidRPr="00CA5330">
              <w:rPr>
                <w:sz w:val="22"/>
                <w:szCs w:val="22"/>
              </w:rPr>
              <w:t>Střet zájmů</w:t>
            </w:r>
          </w:p>
          <w:p w:rsidR="00CB5C7A" w:rsidRPr="00CA5330" w:rsidRDefault="00CB5C7A" w:rsidP="00CB5C7A">
            <w:pPr>
              <w:pStyle w:val="Textodstavce"/>
              <w:numPr>
                <w:ilvl w:val="0"/>
                <w:numId w:val="0"/>
              </w:numPr>
              <w:rPr>
                <w:sz w:val="22"/>
                <w:szCs w:val="22"/>
              </w:rPr>
            </w:pPr>
            <w:r w:rsidRPr="00CA5330">
              <w:rPr>
                <w:sz w:val="22"/>
                <w:szCs w:val="22"/>
              </w:rPr>
              <w:t>Ten, jehož vlastní zájem je v rozporu s naplňováním cíle řízení a kontroly veřejných financí, nes</w:t>
            </w:r>
            <w:r w:rsidR="00373FD5" w:rsidRPr="00CA5330">
              <w:rPr>
                <w:sz w:val="22"/>
                <w:szCs w:val="22"/>
              </w:rPr>
              <w:t>mí vlastní zájem upřednostňovat</w:t>
            </w:r>
            <w:r w:rsidRPr="00CA5330">
              <w:rPr>
                <w:rStyle w:val="Znakapoznpodarou"/>
                <w:sz w:val="22"/>
                <w:szCs w:val="22"/>
              </w:rPr>
              <w:footnoteReference w:customMarkFollows="1" w:id="4"/>
              <w:t>4)</w:t>
            </w:r>
            <w:r w:rsidR="00373FD5" w:rsidRPr="00CA5330">
              <w:rPr>
                <w:rStyle w:val="Znakapoznpodarou"/>
                <w:sz w:val="22"/>
                <w:szCs w:val="22"/>
                <w:vertAlign w:val="baseline"/>
              </w:rPr>
              <w:t>.</w:t>
            </w:r>
            <w:r w:rsidRPr="00CA5330">
              <w:rPr>
                <w:sz w:val="22"/>
                <w:szCs w:val="22"/>
              </w:rPr>
              <w:t xml:space="preserve"> Za vlastní zájem se pro účely tohoto </w:t>
            </w:r>
            <w:r w:rsidR="009F3ECD" w:rsidRPr="00CA5330">
              <w:rPr>
                <w:sz w:val="22"/>
                <w:szCs w:val="22"/>
              </w:rPr>
              <w:t>zákona</w:t>
            </w:r>
            <w:r w:rsidRPr="00CA5330">
              <w:rPr>
                <w:sz w:val="22"/>
                <w:szCs w:val="22"/>
              </w:rPr>
              <w:t xml:space="preserve"> považuje i zájem osoby mu blízké, právnické osoby ovládané touto osobou nebo právnické osoby ovládané osobou blízkou této osoby.</w:t>
            </w:r>
          </w:p>
          <w:p w:rsidR="00CB5C7A" w:rsidRPr="00CA5330" w:rsidRDefault="00CB5C7A" w:rsidP="004C2583">
            <w:pPr>
              <w:pStyle w:val="Textodstavce"/>
              <w:numPr>
                <w:ilvl w:val="0"/>
                <w:numId w:val="0"/>
              </w:numPr>
              <w:jc w:val="center"/>
              <w:rPr>
                <w:sz w:val="22"/>
                <w:szCs w:val="22"/>
              </w:rPr>
            </w:pPr>
          </w:p>
        </w:tc>
        <w:tc>
          <w:tcPr>
            <w:tcW w:w="2088" w:type="dxa"/>
          </w:tcPr>
          <w:p w:rsidR="00CB5C7A" w:rsidRPr="00CA5330" w:rsidRDefault="00CB5C7A" w:rsidP="004C2583">
            <w:pPr>
              <w:pStyle w:val="Textlnku"/>
              <w:spacing w:before="120" w:after="120"/>
              <w:ind w:firstLine="0"/>
              <w:rPr>
                <w:sz w:val="22"/>
                <w:szCs w:val="22"/>
              </w:rPr>
            </w:pPr>
            <w:r w:rsidRPr="00CA5330">
              <w:rPr>
                <w:sz w:val="22"/>
                <w:szCs w:val="22"/>
              </w:rPr>
              <w:t>32012R0966</w:t>
            </w:r>
          </w:p>
        </w:tc>
        <w:tc>
          <w:tcPr>
            <w:tcW w:w="1531" w:type="dxa"/>
          </w:tcPr>
          <w:p w:rsidR="00CB5C7A" w:rsidRPr="00CA5330" w:rsidRDefault="00327AFF" w:rsidP="004C2583">
            <w:pPr>
              <w:pStyle w:val="Textlnku"/>
              <w:spacing w:before="120" w:after="120"/>
              <w:ind w:firstLine="0"/>
              <w:rPr>
                <w:sz w:val="22"/>
                <w:szCs w:val="22"/>
              </w:rPr>
            </w:pPr>
            <w:r w:rsidRPr="00CA5330">
              <w:rPr>
                <w:sz w:val="22"/>
                <w:szCs w:val="22"/>
              </w:rPr>
              <w:t>čl. 57</w:t>
            </w:r>
          </w:p>
        </w:tc>
        <w:tc>
          <w:tcPr>
            <w:tcW w:w="4978" w:type="dxa"/>
          </w:tcPr>
          <w:p w:rsidR="00327AFF" w:rsidRPr="00CA5330" w:rsidRDefault="00327AFF" w:rsidP="004C2583">
            <w:pPr>
              <w:pStyle w:val="Textodstavce"/>
              <w:numPr>
                <w:ilvl w:val="0"/>
                <w:numId w:val="0"/>
              </w:numPr>
              <w:tabs>
                <w:tab w:val="num" w:pos="2627"/>
              </w:tabs>
              <w:rPr>
                <w:b/>
                <w:sz w:val="22"/>
                <w:szCs w:val="22"/>
              </w:rPr>
            </w:pPr>
            <w:r w:rsidRPr="00CA5330">
              <w:rPr>
                <w:b/>
                <w:sz w:val="22"/>
                <w:szCs w:val="22"/>
              </w:rPr>
              <w:t xml:space="preserve">Střet zájmů </w:t>
            </w:r>
          </w:p>
          <w:p w:rsidR="00CB5C7A" w:rsidRPr="00CA5330" w:rsidRDefault="00327AFF" w:rsidP="00327AFF">
            <w:pPr>
              <w:pStyle w:val="Textodstavce"/>
              <w:numPr>
                <w:ilvl w:val="0"/>
                <w:numId w:val="0"/>
              </w:numPr>
              <w:tabs>
                <w:tab w:val="num" w:pos="2627"/>
              </w:tabs>
              <w:rPr>
                <w:sz w:val="22"/>
                <w:szCs w:val="22"/>
              </w:rPr>
            </w:pPr>
            <w:r w:rsidRPr="00CA5330">
              <w:rPr>
                <w:sz w:val="22"/>
                <w:szCs w:val="22"/>
              </w:rPr>
              <w:t>1. Účastníci finančních operací a jiné osoby podílející se na plnění rozpočtu a na jeho správě, včetně přípravy na tuto činnost, na auditu nebo na kontrole se zdrží jakéhokoli jednání, jež by mohlo uvést jejich zájmy do střetu se zájmy Unie. Pokud toto riziko existuje, upustí dotčená osoba od takového jednání a předloží věc pověřené schvalující osobě, která vydá písemné potvrzení o tom, zda střet zájmů existuje. Dotčená osoba informuje rovněž svého přímého nadřízeného. Pokud se zjistí střet zájmů, ukončí dotčená osoba veškerou svou činnost ve věci. Pověřená schvalující osoba učiní sama veškeré další vhodné kroky.</w:t>
            </w:r>
          </w:p>
          <w:p w:rsidR="00135557" w:rsidRPr="00CA5330" w:rsidRDefault="00327AFF" w:rsidP="00327AFF">
            <w:pPr>
              <w:pStyle w:val="Textodstavce"/>
              <w:numPr>
                <w:ilvl w:val="0"/>
                <w:numId w:val="0"/>
              </w:numPr>
              <w:tabs>
                <w:tab w:val="num" w:pos="2627"/>
              </w:tabs>
              <w:rPr>
                <w:sz w:val="22"/>
                <w:szCs w:val="22"/>
              </w:rPr>
            </w:pPr>
            <w:r w:rsidRPr="00CA5330">
              <w:rPr>
                <w:sz w:val="22"/>
                <w:szCs w:val="22"/>
              </w:rPr>
              <w:t>2. Pro účely odstavce 1 ke střetu zájmů dochází, je-li z rodinných důvodů, z důvodů citových vazeb, z důvodů politické nebo národní spřízněnosti, z důvodů hospodářského zájmu nebo z důvodů jiného spole</w:t>
            </w:r>
            <w:r w:rsidR="00135557" w:rsidRPr="00CA5330">
              <w:rPr>
                <w:sz w:val="22"/>
                <w:szCs w:val="22"/>
              </w:rPr>
              <w:t>čného zájmu s příjemcem finanč</w:t>
            </w:r>
            <w:r w:rsidR="00135557" w:rsidRPr="00CA5330">
              <w:rPr>
                <w:sz w:val="22"/>
                <w:szCs w:val="22"/>
              </w:rPr>
              <w:softHyphen/>
            </w:r>
            <w:r w:rsidRPr="00CA5330">
              <w:rPr>
                <w:sz w:val="22"/>
                <w:szCs w:val="22"/>
              </w:rPr>
              <w:t xml:space="preserve">ních prostředků ohrožen nestranný a objektivní výkon funkcí účastníka finančních operací nebo jiné osoby podle odstavce 1. </w:t>
            </w:r>
          </w:p>
          <w:p w:rsidR="00327AFF" w:rsidRPr="00CA5330" w:rsidRDefault="00327AFF" w:rsidP="00327AFF">
            <w:pPr>
              <w:pStyle w:val="Textodstavce"/>
              <w:numPr>
                <w:ilvl w:val="0"/>
                <w:numId w:val="0"/>
              </w:numPr>
              <w:tabs>
                <w:tab w:val="num" w:pos="2627"/>
              </w:tabs>
              <w:rPr>
                <w:sz w:val="22"/>
                <w:szCs w:val="22"/>
              </w:rPr>
            </w:pPr>
            <w:r w:rsidRPr="00CA5330">
              <w:rPr>
                <w:sz w:val="22"/>
                <w:szCs w:val="22"/>
              </w:rPr>
              <w:t>3. Komisi je svěřena pravomoc přijímat akty v přenesené pravomoci v souladu s článkem 210, kterými určí jednání, jež mohou představovat střet zájmů, a postup, který se má v těchto případech použít.</w:t>
            </w:r>
          </w:p>
        </w:tc>
      </w:tr>
      <w:tr w:rsidR="00CB5C7A" w:rsidRPr="00CA5330" w:rsidTr="00702A4D">
        <w:tc>
          <w:tcPr>
            <w:tcW w:w="1626" w:type="dxa"/>
            <w:vMerge/>
          </w:tcPr>
          <w:p w:rsidR="00CB5C7A" w:rsidRPr="00CA5330" w:rsidRDefault="00CB5C7A" w:rsidP="004C2583">
            <w:pPr>
              <w:spacing w:before="120" w:after="120"/>
              <w:rPr>
                <w:rFonts w:ascii="Times New Roman" w:hAnsi="Times New Roman" w:cs="Times New Roman"/>
              </w:rPr>
            </w:pPr>
          </w:p>
        </w:tc>
        <w:tc>
          <w:tcPr>
            <w:tcW w:w="3997" w:type="dxa"/>
            <w:vMerge/>
          </w:tcPr>
          <w:p w:rsidR="00CB5C7A" w:rsidRPr="00CA5330" w:rsidRDefault="00CB5C7A" w:rsidP="00CB5C7A">
            <w:pPr>
              <w:pStyle w:val="Nadpisparagrafu"/>
              <w:jc w:val="left"/>
              <w:rPr>
                <w:sz w:val="22"/>
                <w:szCs w:val="22"/>
              </w:rPr>
            </w:pPr>
          </w:p>
        </w:tc>
        <w:tc>
          <w:tcPr>
            <w:tcW w:w="2088" w:type="dxa"/>
          </w:tcPr>
          <w:p w:rsidR="00CB5C7A" w:rsidRPr="00CA5330" w:rsidRDefault="00CB5C7A" w:rsidP="004C2583">
            <w:pPr>
              <w:pStyle w:val="Textlnku"/>
              <w:spacing w:before="120" w:after="120"/>
              <w:ind w:firstLine="0"/>
              <w:rPr>
                <w:sz w:val="22"/>
                <w:szCs w:val="22"/>
              </w:rPr>
            </w:pPr>
            <w:r w:rsidRPr="00CA5330">
              <w:rPr>
                <w:sz w:val="22"/>
                <w:szCs w:val="22"/>
              </w:rPr>
              <w:t>32012R1268</w:t>
            </w:r>
          </w:p>
        </w:tc>
        <w:tc>
          <w:tcPr>
            <w:tcW w:w="1531" w:type="dxa"/>
          </w:tcPr>
          <w:p w:rsidR="00CB5C7A" w:rsidRPr="00CA5330" w:rsidRDefault="00CB5C7A" w:rsidP="004C2583">
            <w:pPr>
              <w:pStyle w:val="Textlnku"/>
              <w:spacing w:before="120" w:after="120"/>
              <w:ind w:firstLine="0"/>
              <w:rPr>
                <w:sz w:val="22"/>
                <w:szCs w:val="22"/>
              </w:rPr>
            </w:pPr>
            <w:r w:rsidRPr="00CA5330">
              <w:rPr>
                <w:sz w:val="22"/>
                <w:szCs w:val="22"/>
              </w:rPr>
              <w:t>čl. 32</w:t>
            </w:r>
          </w:p>
        </w:tc>
        <w:tc>
          <w:tcPr>
            <w:tcW w:w="4978" w:type="dxa"/>
          </w:tcPr>
          <w:p w:rsidR="001C4671" w:rsidRPr="00CA5330" w:rsidRDefault="001C4671" w:rsidP="004C2583">
            <w:pPr>
              <w:pStyle w:val="Textodstavce"/>
              <w:numPr>
                <w:ilvl w:val="0"/>
                <w:numId w:val="0"/>
              </w:numPr>
              <w:tabs>
                <w:tab w:val="num" w:pos="2627"/>
              </w:tabs>
              <w:rPr>
                <w:b/>
                <w:sz w:val="22"/>
                <w:szCs w:val="22"/>
              </w:rPr>
            </w:pPr>
            <w:r w:rsidRPr="00CA5330">
              <w:rPr>
                <w:b/>
                <w:sz w:val="22"/>
                <w:szCs w:val="22"/>
              </w:rPr>
              <w:t xml:space="preserve">Jednání, jež mohou představovat střet zájmů, a postup (Článek 57 finančního nařízení) </w:t>
            </w:r>
          </w:p>
          <w:p w:rsidR="001C4671" w:rsidRPr="00CA5330" w:rsidRDefault="001C4671" w:rsidP="004C2583">
            <w:pPr>
              <w:pStyle w:val="Textodstavce"/>
              <w:numPr>
                <w:ilvl w:val="0"/>
                <w:numId w:val="0"/>
              </w:numPr>
              <w:tabs>
                <w:tab w:val="num" w:pos="2627"/>
              </w:tabs>
              <w:rPr>
                <w:sz w:val="22"/>
                <w:szCs w:val="22"/>
              </w:rPr>
            </w:pPr>
            <w:r w:rsidRPr="00CA5330">
              <w:rPr>
                <w:sz w:val="22"/>
                <w:szCs w:val="22"/>
              </w:rPr>
              <w:t xml:space="preserve">1. Jednání, jež může být ovlivněno střetem zájmů ve smyslu čl. 57 odst. 2 finančního nařízení, může mít – aniž je dotčeno jeho posouzení jakožto protiprávního jednání podle článku 141 – mimo jiné tyto formy: </w:t>
            </w:r>
          </w:p>
          <w:p w:rsidR="001C4671" w:rsidRPr="00CA5330" w:rsidRDefault="001C4671" w:rsidP="004C2583">
            <w:pPr>
              <w:pStyle w:val="Textodstavce"/>
              <w:numPr>
                <w:ilvl w:val="0"/>
                <w:numId w:val="0"/>
              </w:numPr>
              <w:tabs>
                <w:tab w:val="num" w:pos="2627"/>
              </w:tabs>
              <w:rPr>
                <w:sz w:val="22"/>
                <w:szCs w:val="22"/>
              </w:rPr>
            </w:pPr>
            <w:r w:rsidRPr="00CA5330">
              <w:rPr>
                <w:sz w:val="22"/>
                <w:szCs w:val="22"/>
              </w:rPr>
              <w:t xml:space="preserve">a) poskytnutí sobě nebo jinému neoprávněných přímých nebo nepřímých výhod; </w:t>
            </w:r>
          </w:p>
          <w:p w:rsidR="001C4671" w:rsidRPr="00CA5330" w:rsidRDefault="001C4671" w:rsidP="004C2583">
            <w:pPr>
              <w:pStyle w:val="Textodstavce"/>
              <w:numPr>
                <w:ilvl w:val="0"/>
                <w:numId w:val="0"/>
              </w:numPr>
              <w:tabs>
                <w:tab w:val="num" w:pos="2627"/>
              </w:tabs>
              <w:rPr>
                <w:sz w:val="22"/>
                <w:szCs w:val="22"/>
              </w:rPr>
            </w:pPr>
            <w:r w:rsidRPr="00CA5330">
              <w:rPr>
                <w:sz w:val="22"/>
                <w:szCs w:val="22"/>
              </w:rPr>
              <w:t xml:space="preserve">b) odmítnutí poskytnout příjemci práva nebo výhody, na něž má nárok; </w:t>
            </w:r>
          </w:p>
          <w:p w:rsidR="001C4671" w:rsidRPr="00CA5330" w:rsidRDefault="001C4671" w:rsidP="004C2583">
            <w:pPr>
              <w:pStyle w:val="Textodstavce"/>
              <w:numPr>
                <w:ilvl w:val="0"/>
                <w:numId w:val="0"/>
              </w:numPr>
              <w:tabs>
                <w:tab w:val="num" w:pos="2627"/>
              </w:tabs>
              <w:rPr>
                <w:sz w:val="22"/>
                <w:szCs w:val="22"/>
              </w:rPr>
            </w:pPr>
            <w:r w:rsidRPr="00CA5330">
              <w:rPr>
                <w:sz w:val="22"/>
                <w:szCs w:val="22"/>
              </w:rPr>
              <w:t xml:space="preserve">c) nepřípustná nebo zneužívající jednání nebo opomenutí uskutečnit nezbytná jednání. </w:t>
            </w:r>
          </w:p>
          <w:p w:rsidR="001C4671" w:rsidRPr="00CA5330" w:rsidRDefault="001C4671" w:rsidP="004C2583">
            <w:pPr>
              <w:pStyle w:val="Textodstavce"/>
              <w:numPr>
                <w:ilvl w:val="0"/>
                <w:numId w:val="0"/>
              </w:numPr>
              <w:tabs>
                <w:tab w:val="num" w:pos="2627"/>
              </w:tabs>
              <w:rPr>
                <w:sz w:val="22"/>
                <w:szCs w:val="22"/>
              </w:rPr>
            </w:pPr>
            <w:r w:rsidRPr="00CA5330">
              <w:rPr>
                <w:sz w:val="22"/>
                <w:szCs w:val="22"/>
              </w:rPr>
              <w:t xml:space="preserve">Další jednání, jež může být ovlivněno střetem zájmů, je takové jednání, jež může narušit nestranný a objektivní výkon povinností určité osoby, např. členství v hodnotícím výboru v zadávacím řízení nebo v řízení o udělení grantu, může-li tato osoba získat z výsledku těchto řízení přímou či nepřímou finanční výhodu. </w:t>
            </w:r>
          </w:p>
          <w:p w:rsidR="001C4671" w:rsidRPr="00CA5330" w:rsidRDefault="001C4671" w:rsidP="004C2583">
            <w:pPr>
              <w:pStyle w:val="Textodstavce"/>
              <w:numPr>
                <w:ilvl w:val="0"/>
                <w:numId w:val="0"/>
              </w:numPr>
              <w:tabs>
                <w:tab w:val="num" w:pos="2627"/>
              </w:tabs>
              <w:rPr>
                <w:sz w:val="22"/>
                <w:szCs w:val="22"/>
              </w:rPr>
            </w:pPr>
            <w:r w:rsidRPr="00CA5330">
              <w:rPr>
                <w:sz w:val="22"/>
                <w:szCs w:val="22"/>
              </w:rPr>
              <w:t xml:space="preserve">2. Za střet zájmů se považuje situace, kdy je žadatel, zájemce nebo uchazeč zaměstnancem, na nějž se vztahuje služební řád, ledaže jeho účast v řízení předem schválí jeho nadřízený. </w:t>
            </w:r>
          </w:p>
          <w:p w:rsidR="00CB5C7A" w:rsidRPr="00CA5330" w:rsidRDefault="001C4671" w:rsidP="004C2583">
            <w:pPr>
              <w:pStyle w:val="Textodstavce"/>
              <w:numPr>
                <w:ilvl w:val="0"/>
                <w:numId w:val="0"/>
              </w:numPr>
              <w:tabs>
                <w:tab w:val="num" w:pos="2627"/>
              </w:tabs>
              <w:rPr>
                <w:b/>
                <w:sz w:val="22"/>
                <w:szCs w:val="22"/>
              </w:rPr>
            </w:pPr>
            <w:r w:rsidRPr="00CA5330">
              <w:rPr>
                <w:sz w:val="22"/>
                <w:szCs w:val="22"/>
              </w:rPr>
              <w:t>3. V případě střetu zájmů přijme pověřená schvalující osoba náležitá opatření k eliminaci nežádoucího vlivu dotčené osoby na daný postup či řízení.</w:t>
            </w:r>
          </w:p>
        </w:tc>
      </w:tr>
      <w:tr w:rsidR="00EE43BE" w:rsidRPr="00CA5330" w:rsidTr="00702A4D">
        <w:tc>
          <w:tcPr>
            <w:tcW w:w="1626" w:type="dxa"/>
            <w:vMerge w:val="restart"/>
          </w:tcPr>
          <w:p w:rsidR="00EE43BE" w:rsidRPr="00CA5330" w:rsidRDefault="00BA3B14" w:rsidP="004C2583">
            <w:pPr>
              <w:pStyle w:val="Textlnku"/>
              <w:spacing w:before="120" w:after="120"/>
              <w:ind w:firstLine="0"/>
              <w:rPr>
                <w:sz w:val="22"/>
                <w:szCs w:val="22"/>
              </w:rPr>
            </w:pPr>
            <w:r w:rsidRPr="00CA5330">
              <w:rPr>
                <w:sz w:val="22"/>
                <w:szCs w:val="22"/>
              </w:rPr>
              <w:t>§ 14</w:t>
            </w:r>
          </w:p>
        </w:tc>
        <w:tc>
          <w:tcPr>
            <w:tcW w:w="3997" w:type="dxa"/>
            <w:vMerge w:val="restart"/>
          </w:tcPr>
          <w:p w:rsidR="00923899" w:rsidRPr="00CA5330" w:rsidRDefault="00923899" w:rsidP="004C2583">
            <w:pPr>
              <w:pStyle w:val="Nadpisparagrafu"/>
              <w:spacing w:before="120" w:after="120"/>
              <w:jc w:val="left"/>
              <w:rPr>
                <w:sz w:val="22"/>
                <w:szCs w:val="22"/>
              </w:rPr>
            </w:pPr>
            <w:r w:rsidRPr="00CA5330">
              <w:rPr>
                <w:sz w:val="22"/>
                <w:szCs w:val="22"/>
              </w:rPr>
              <w:t>Auditní stopa</w:t>
            </w:r>
          </w:p>
          <w:p w:rsidR="00BA3B14" w:rsidRPr="00CA5330" w:rsidRDefault="00BA3B14" w:rsidP="00BA3B14">
            <w:pPr>
              <w:pStyle w:val="Textodstavce"/>
              <w:numPr>
                <w:ilvl w:val="0"/>
                <w:numId w:val="0"/>
              </w:numPr>
              <w:rPr>
                <w:sz w:val="22"/>
                <w:szCs w:val="22"/>
              </w:rPr>
            </w:pPr>
            <w:r w:rsidRPr="00CA5330">
              <w:rPr>
                <w:sz w:val="22"/>
                <w:szCs w:val="22"/>
              </w:rPr>
              <w:t>Při provádění řídicí ekonomické kontroly musí být pořízeny a uchovávány dokumenty a záznamy související s rozhodnutím o příjmové nebo výdajové operaci, včetně účetních záznamů, ze kterých lze rekonstruovat posloupnost při uskutečňování operace a operaci ověřit (auditní stopa)</w:t>
            </w:r>
            <w:r w:rsidRPr="00CA5330">
              <w:rPr>
                <w:rStyle w:val="Znakapoznpodarou"/>
                <w:sz w:val="22"/>
                <w:szCs w:val="22"/>
              </w:rPr>
              <w:footnoteReference w:customMarkFollows="1" w:id="5"/>
              <w:t>5)</w:t>
            </w:r>
            <w:r w:rsidRPr="00CA5330">
              <w:rPr>
                <w:sz w:val="22"/>
                <w:szCs w:val="22"/>
              </w:rPr>
              <w:t>.</w:t>
            </w:r>
          </w:p>
          <w:p w:rsidR="00EE43BE" w:rsidRPr="00CA5330" w:rsidRDefault="00EE43BE" w:rsidP="004C2583">
            <w:pPr>
              <w:pStyle w:val="Textodstavce"/>
              <w:numPr>
                <w:ilvl w:val="0"/>
                <w:numId w:val="0"/>
              </w:numPr>
              <w:rPr>
                <w:b/>
                <w:sz w:val="22"/>
                <w:szCs w:val="22"/>
                <w:u w:val="single"/>
              </w:rPr>
            </w:pPr>
          </w:p>
        </w:tc>
        <w:tc>
          <w:tcPr>
            <w:tcW w:w="2088" w:type="dxa"/>
          </w:tcPr>
          <w:p w:rsidR="00EE43BE" w:rsidRPr="00CA5330" w:rsidRDefault="00EE43BE" w:rsidP="004C2583">
            <w:pPr>
              <w:pStyle w:val="Textlnku"/>
              <w:spacing w:before="120" w:after="120"/>
              <w:ind w:firstLine="0"/>
              <w:rPr>
                <w:sz w:val="22"/>
                <w:szCs w:val="22"/>
              </w:rPr>
            </w:pPr>
            <w:r w:rsidRPr="00CA5330">
              <w:rPr>
                <w:sz w:val="22"/>
                <w:szCs w:val="22"/>
              </w:rPr>
              <w:t>32013R1303</w:t>
            </w:r>
          </w:p>
        </w:tc>
        <w:tc>
          <w:tcPr>
            <w:tcW w:w="1531" w:type="dxa"/>
          </w:tcPr>
          <w:p w:rsidR="00EE43BE" w:rsidRPr="00CA5330" w:rsidRDefault="00EE43BE" w:rsidP="004C2583">
            <w:pPr>
              <w:pStyle w:val="Textlnku"/>
              <w:spacing w:before="120" w:after="120"/>
              <w:ind w:firstLine="0"/>
              <w:rPr>
                <w:sz w:val="22"/>
                <w:szCs w:val="22"/>
              </w:rPr>
            </w:pPr>
            <w:r w:rsidRPr="00CA5330">
              <w:rPr>
                <w:sz w:val="22"/>
                <w:szCs w:val="22"/>
              </w:rPr>
              <w:t>čl. 125 odst. 9</w:t>
            </w:r>
          </w:p>
        </w:tc>
        <w:tc>
          <w:tcPr>
            <w:tcW w:w="4978" w:type="dxa"/>
          </w:tcPr>
          <w:p w:rsidR="00EE43BE" w:rsidRPr="00CA5330" w:rsidRDefault="00EE43BE" w:rsidP="004C2583">
            <w:pPr>
              <w:pStyle w:val="Textodstavce"/>
              <w:numPr>
                <w:ilvl w:val="0"/>
                <w:numId w:val="0"/>
              </w:numPr>
              <w:tabs>
                <w:tab w:val="num" w:pos="2627"/>
              </w:tabs>
              <w:rPr>
                <w:sz w:val="22"/>
                <w:szCs w:val="22"/>
              </w:rPr>
            </w:pPr>
            <w:r w:rsidRPr="00CA5330">
              <w:rPr>
                <w:sz w:val="22"/>
                <w:szCs w:val="22"/>
              </w:rPr>
              <w:t>9. Komisi je svěřena pravomoc přijímat akty v přenesené pravomoci v souladu s článkem 149, kterými stanoví podrobné minimální požadavky na auditní stopu uvedenou v odst. 4 prvním pododstavci písm. d) tohoto článku, pokud jde o účetní záznamy, které mají být uchovány, a o podklady, které mají být uchovávány na úrovni certifikačního orgánu, řídicího orgánu, zprostředkujících subjektů a příjemců podpory.</w:t>
            </w:r>
          </w:p>
        </w:tc>
      </w:tr>
      <w:tr w:rsidR="00EE43BE" w:rsidRPr="00CA5330" w:rsidTr="00702A4D">
        <w:tc>
          <w:tcPr>
            <w:tcW w:w="1626" w:type="dxa"/>
            <w:vMerge/>
          </w:tcPr>
          <w:p w:rsidR="00EE43BE" w:rsidRPr="00CA5330" w:rsidRDefault="00EE43BE" w:rsidP="004C2583">
            <w:pPr>
              <w:pStyle w:val="Textlnku"/>
              <w:spacing w:before="120" w:after="120"/>
              <w:ind w:firstLine="0"/>
              <w:rPr>
                <w:sz w:val="22"/>
                <w:szCs w:val="22"/>
              </w:rPr>
            </w:pPr>
          </w:p>
        </w:tc>
        <w:tc>
          <w:tcPr>
            <w:tcW w:w="3997" w:type="dxa"/>
            <w:vMerge/>
          </w:tcPr>
          <w:p w:rsidR="00EE43BE" w:rsidRPr="00CA5330" w:rsidRDefault="00EE43BE" w:rsidP="004C2583">
            <w:pPr>
              <w:pStyle w:val="Textodstavce"/>
              <w:numPr>
                <w:ilvl w:val="0"/>
                <w:numId w:val="0"/>
              </w:numPr>
              <w:rPr>
                <w:b/>
                <w:sz w:val="22"/>
                <w:szCs w:val="22"/>
              </w:rPr>
            </w:pPr>
          </w:p>
        </w:tc>
        <w:tc>
          <w:tcPr>
            <w:tcW w:w="2088" w:type="dxa"/>
          </w:tcPr>
          <w:p w:rsidR="00EE43BE" w:rsidRPr="00CA5330" w:rsidRDefault="00EE43BE" w:rsidP="004C2583">
            <w:pPr>
              <w:pStyle w:val="Textlnku"/>
              <w:spacing w:before="120" w:after="120"/>
              <w:ind w:firstLine="0"/>
              <w:rPr>
                <w:sz w:val="22"/>
                <w:szCs w:val="22"/>
              </w:rPr>
            </w:pPr>
            <w:r w:rsidRPr="00CA5330">
              <w:rPr>
                <w:sz w:val="22"/>
                <w:szCs w:val="22"/>
              </w:rPr>
              <w:t>32014R0480</w:t>
            </w:r>
          </w:p>
        </w:tc>
        <w:tc>
          <w:tcPr>
            <w:tcW w:w="1531" w:type="dxa"/>
          </w:tcPr>
          <w:p w:rsidR="00EE43BE" w:rsidRPr="00CA5330" w:rsidRDefault="00B373EA" w:rsidP="004C2583">
            <w:pPr>
              <w:pStyle w:val="Textlnku"/>
              <w:spacing w:before="120" w:after="120"/>
              <w:ind w:firstLine="0"/>
              <w:rPr>
                <w:sz w:val="22"/>
                <w:szCs w:val="22"/>
              </w:rPr>
            </w:pPr>
            <w:r w:rsidRPr="00CA5330">
              <w:rPr>
                <w:sz w:val="22"/>
                <w:szCs w:val="22"/>
              </w:rPr>
              <w:t xml:space="preserve">Čl. 25 </w:t>
            </w:r>
          </w:p>
        </w:tc>
        <w:tc>
          <w:tcPr>
            <w:tcW w:w="4978" w:type="dxa"/>
          </w:tcPr>
          <w:p w:rsidR="00EE43BE" w:rsidRPr="00CA5330" w:rsidRDefault="000F7595" w:rsidP="004C2583">
            <w:pPr>
              <w:pStyle w:val="Textodstavce"/>
              <w:numPr>
                <w:ilvl w:val="0"/>
                <w:numId w:val="0"/>
              </w:numPr>
              <w:tabs>
                <w:tab w:val="num" w:pos="2627"/>
              </w:tabs>
              <w:rPr>
                <w:sz w:val="22"/>
                <w:szCs w:val="22"/>
              </w:rPr>
            </w:pPr>
            <w:r w:rsidRPr="00CA5330">
              <w:rPr>
                <w:sz w:val="22"/>
                <w:szCs w:val="22"/>
              </w:rPr>
              <w:t>1. Podrobné minimální požadavky na auditní stopu, pokud jde o účetní záznamy, které mají být uchovány, a o podklady, které mají být uchovávány, jsou následující:</w:t>
            </w:r>
          </w:p>
          <w:p w:rsidR="000F7595" w:rsidRPr="00CA5330" w:rsidRDefault="000F7595" w:rsidP="004C2583">
            <w:pPr>
              <w:pStyle w:val="Textodstavce"/>
              <w:numPr>
                <w:ilvl w:val="0"/>
                <w:numId w:val="0"/>
              </w:numPr>
              <w:tabs>
                <w:tab w:val="num" w:pos="2627"/>
              </w:tabs>
              <w:rPr>
                <w:sz w:val="22"/>
                <w:szCs w:val="22"/>
              </w:rPr>
            </w:pPr>
            <w:r w:rsidRPr="00CA5330">
              <w:rPr>
                <w:sz w:val="22"/>
                <w:szCs w:val="22"/>
              </w:rPr>
              <w:t>a) auditní stopa umožňuje ověření uplatňování kritérií výběru stanovených monitorovacím výborem pro operační program;</w:t>
            </w:r>
          </w:p>
          <w:p w:rsidR="000F7595" w:rsidRPr="00CA5330" w:rsidRDefault="000F7595" w:rsidP="004C2583">
            <w:pPr>
              <w:pStyle w:val="Textodstavce"/>
              <w:numPr>
                <w:ilvl w:val="0"/>
                <w:numId w:val="0"/>
              </w:numPr>
              <w:tabs>
                <w:tab w:val="num" w:pos="2627"/>
              </w:tabs>
              <w:rPr>
                <w:sz w:val="22"/>
                <w:szCs w:val="22"/>
              </w:rPr>
            </w:pPr>
            <w:r w:rsidRPr="00CA5330">
              <w:rPr>
                <w:sz w:val="22"/>
                <w:szCs w:val="22"/>
              </w:rPr>
              <w:t>b) v souvislosti s granty a vratnou pomocí podle čl. 67 odst. 1 písm. a) nařízení (EU) č. 1303/2013 auditní stopa umožňuje sesouhlasení souhrnných částek potvrzených Komisi s podrobnými účetními záznamy a podklady vedenými certifikačním orgánem, řídicím orgánem, zprostředkujícími subjekty a příjemci, pokud jde o operace spolufinancované v rámci operačního programu;</w:t>
            </w:r>
          </w:p>
          <w:p w:rsidR="000F7595" w:rsidRPr="00CA5330" w:rsidRDefault="000F7595" w:rsidP="004C2583">
            <w:pPr>
              <w:pStyle w:val="Textodstavce"/>
              <w:numPr>
                <w:ilvl w:val="0"/>
                <w:numId w:val="0"/>
              </w:numPr>
              <w:tabs>
                <w:tab w:val="num" w:pos="2627"/>
              </w:tabs>
              <w:rPr>
                <w:sz w:val="22"/>
                <w:szCs w:val="22"/>
              </w:rPr>
            </w:pPr>
            <w:r w:rsidRPr="00CA5330">
              <w:rPr>
                <w:sz w:val="22"/>
                <w:szCs w:val="22"/>
              </w:rPr>
              <w:t>c) v souvislosti s granty a vratnou pomocí podle čl. 67 odst. 1 písm. b) a c) a článku 109 nařízení (EU) č. 1303/2013 a podle čl. 14 odst. 1 nařízení (EU) č. 1304/2013 auditní stopa umožňuje sesouhlasení souhrnných částek potvrzených Komisi s podrobnými údaji o výstupech či výsledcích a podklady vedenými certifikačním orgánem, řídicím orgánem, zprostředkujícími subjekty a příjemci, případně včetně dokladů o metodě stanovení standardních stupnic jednotkových nákladů a paušálních částek, pokud jde o operace spolufinancované v rámci operačního programu;</w:t>
            </w:r>
          </w:p>
          <w:p w:rsidR="000F7595" w:rsidRPr="00CA5330" w:rsidRDefault="000F7595" w:rsidP="004C2583">
            <w:pPr>
              <w:pStyle w:val="Textodstavce"/>
              <w:numPr>
                <w:ilvl w:val="0"/>
                <w:numId w:val="0"/>
              </w:numPr>
              <w:tabs>
                <w:tab w:val="num" w:pos="2627"/>
              </w:tabs>
              <w:rPr>
                <w:sz w:val="22"/>
                <w:szCs w:val="22"/>
              </w:rPr>
            </w:pPr>
            <w:r w:rsidRPr="00CA5330">
              <w:rPr>
                <w:sz w:val="22"/>
                <w:szCs w:val="22"/>
              </w:rPr>
              <w:t>d) v souvislosti s náklady stanovenými v souladu s čl. 67 odst. 1 písm. d) a čl. 68 odst. 1 písm. a) nařízení (EU) č. 1303/2013 auditní stopa podle potřeby dokládá a odůvodňuje metodu výpočtu a základ, na němž bylo rozhodnuto o paušálních sazbách, a způsobilé přímé náklady nebo náklady vykázané v rámci jiných vybraných kategorií, u kterých se uplatní paušální sazba;</w:t>
            </w:r>
          </w:p>
          <w:p w:rsidR="000F7595" w:rsidRPr="00CA5330" w:rsidRDefault="000F7595" w:rsidP="004C2583">
            <w:pPr>
              <w:pStyle w:val="Textodstavce"/>
              <w:numPr>
                <w:ilvl w:val="0"/>
                <w:numId w:val="0"/>
              </w:numPr>
              <w:tabs>
                <w:tab w:val="num" w:pos="2627"/>
              </w:tabs>
              <w:rPr>
                <w:sz w:val="22"/>
                <w:szCs w:val="22"/>
              </w:rPr>
            </w:pPr>
            <w:r w:rsidRPr="00CA5330">
              <w:rPr>
                <w:sz w:val="22"/>
                <w:szCs w:val="22"/>
              </w:rPr>
              <w:t>e) v souvislosti s náklady stanovenými v souladu s čl. 68 odst. 1 písm. b) a c) nařízení (EU) č. 1303/2013, s čl. 14 odst. 2 nařízení (EU) č. 1304/2013 a s článkem 20 nařízení (EU) č. 1299/2013 auditní stopa umožňuje doložení způsobilých přímých nákladů, u kterých se uplatní paušální sazba;</w:t>
            </w:r>
          </w:p>
          <w:p w:rsidR="000F7595" w:rsidRPr="00CA5330" w:rsidRDefault="000F7595" w:rsidP="004C2583">
            <w:pPr>
              <w:pStyle w:val="Textodstavce"/>
              <w:numPr>
                <w:ilvl w:val="0"/>
                <w:numId w:val="0"/>
              </w:numPr>
              <w:tabs>
                <w:tab w:val="num" w:pos="2627"/>
              </w:tabs>
              <w:rPr>
                <w:sz w:val="22"/>
                <w:szCs w:val="22"/>
              </w:rPr>
            </w:pPr>
            <w:r w:rsidRPr="00CA5330">
              <w:rPr>
                <w:sz w:val="22"/>
                <w:szCs w:val="22"/>
              </w:rPr>
              <w:t>f) auditní stopa umožňuje ověření platby příspěvku z veřejných zdrojů příjemci;</w:t>
            </w:r>
          </w:p>
          <w:p w:rsidR="000F7595" w:rsidRPr="00CA5330" w:rsidRDefault="000F7595" w:rsidP="004C2583">
            <w:pPr>
              <w:pStyle w:val="Textodstavce"/>
              <w:numPr>
                <w:ilvl w:val="0"/>
                <w:numId w:val="0"/>
              </w:numPr>
              <w:tabs>
                <w:tab w:val="num" w:pos="2627"/>
              </w:tabs>
              <w:rPr>
                <w:sz w:val="22"/>
                <w:szCs w:val="22"/>
              </w:rPr>
            </w:pPr>
            <w:r w:rsidRPr="00CA5330">
              <w:rPr>
                <w:sz w:val="22"/>
                <w:szCs w:val="22"/>
              </w:rPr>
              <w:t>g) u každé operace, je-li to na místě, auditní stopa obsahuje technické specifikace a plán financování, dokumenty týkající se schválení grantu, dokumenty související se zadáváním veřejných zakázek, zprávy od příjemce a zprávy o provedených ověřováních a auditech;</w:t>
            </w:r>
          </w:p>
          <w:p w:rsidR="000F7595" w:rsidRPr="00CA5330" w:rsidRDefault="000F7595" w:rsidP="004C2583">
            <w:pPr>
              <w:pStyle w:val="Textodstavce"/>
              <w:numPr>
                <w:ilvl w:val="0"/>
                <w:numId w:val="0"/>
              </w:numPr>
              <w:tabs>
                <w:tab w:val="num" w:pos="2627"/>
              </w:tabs>
              <w:rPr>
                <w:sz w:val="22"/>
                <w:szCs w:val="22"/>
              </w:rPr>
            </w:pPr>
            <w:r w:rsidRPr="00CA5330">
              <w:rPr>
                <w:sz w:val="22"/>
                <w:szCs w:val="22"/>
              </w:rPr>
              <w:t>h) auditní stopa obsahuje informace o řídicích kontrolách a o provedených auditech operací;</w:t>
            </w:r>
          </w:p>
          <w:p w:rsidR="000F7595" w:rsidRPr="00CA5330" w:rsidRDefault="000F7595" w:rsidP="004C2583">
            <w:pPr>
              <w:pStyle w:val="Textodstavce"/>
              <w:numPr>
                <w:ilvl w:val="0"/>
                <w:numId w:val="0"/>
              </w:numPr>
              <w:tabs>
                <w:tab w:val="num" w:pos="2627"/>
              </w:tabs>
              <w:rPr>
                <w:sz w:val="22"/>
                <w:szCs w:val="22"/>
              </w:rPr>
            </w:pPr>
            <w:r w:rsidRPr="00CA5330">
              <w:rPr>
                <w:sz w:val="22"/>
                <w:szCs w:val="22"/>
              </w:rPr>
              <w:t>i) aniž je dotčen čl. 19 odst. 3 a přílohy I a II nařízení (EU) č. 1304/2013, auditní stopa umožňuje sesouhlasení údajů týkajících se ukazatelů výstupů operace s cíli a vykázanými údaji a výsledkem programu;</w:t>
            </w:r>
          </w:p>
          <w:p w:rsidR="000F7595" w:rsidRPr="00CA5330" w:rsidRDefault="000F7595" w:rsidP="004C2583">
            <w:pPr>
              <w:pStyle w:val="Textodstavce"/>
              <w:numPr>
                <w:ilvl w:val="0"/>
                <w:numId w:val="0"/>
              </w:numPr>
              <w:tabs>
                <w:tab w:val="num" w:pos="2627"/>
              </w:tabs>
              <w:rPr>
                <w:sz w:val="22"/>
                <w:szCs w:val="22"/>
              </w:rPr>
            </w:pPr>
            <w:r w:rsidRPr="00CA5330">
              <w:rPr>
                <w:sz w:val="22"/>
                <w:szCs w:val="22"/>
              </w:rPr>
              <w:t>j) u finančních nástrojů auditní stopa obsahuje podklady uvedené v čl. 9 odst. 1 písm. e) tohoto nařízení.</w:t>
            </w:r>
          </w:p>
          <w:p w:rsidR="000F7595" w:rsidRPr="00CA5330" w:rsidRDefault="000F7595" w:rsidP="004C2583">
            <w:pPr>
              <w:pStyle w:val="Textodstavce"/>
              <w:numPr>
                <w:ilvl w:val="0"/>
                <w:numId w:val="0"/>
              </w:numPr>
              <w:tabs>
                <w:tab w:val="num" w:pos="2627"/>
              </w:tabs>
              <w:rPr>
                <w:sz w:val="22"/>
                <w:szCs w:val="22"/>
              </w:rPr>
            </w:pPr>
            <w:r w:rsidRPr="00CA5330">
              <w:rPr>
                <w:sz w:val="22"/>
                <w:szCs w:val="22"/>
              </w:rPr>
              <w:t>U nákladů uvedených v písmenech c) a d) auditní stopa umožňuje ověřování metody výpočtu použité řídicím orgánem z hlediska souladu s čl. 67 odst. 5 a čl. 68 odst. 1 nařízení (EU) č. 1303/2013 a s čl. 14 odst. 3 nařízení (EU) č. 1304/2013.</w:t>
            </w:r>
          </w:p>
          <w:p w:rsidR="000F7595" w:rsidRPr="00CA5330" w:rsidRDefault="000F7595" w:rsidP="004C2583">
            <w:pPr>
              <w:pStyle w:val="Textodstavce"/>
              <w:numPr>
                <w:ilvl w:val="0"/>
                <w:numId w:val="0"/>
              </w:numPr>
              <w:tabs>
                <w:tab w:val="num" w:pos="2627"/>
              </w:tabs>
              <w:rPr>
                <w:sz w:val="22"/>
                <w:szCs w:val="22"/>
              </w:rPr>
            </w:pPr>
            <w:r w:rsidRPr="00CA5330">
              <w:rPr>
                <w:sz w:val="22"/>
                <w:szCs w:val="22"/>
              </w:rPr>
              <w:t>2.   Řídicí orgán zajistí, aby existoval záznam o totožnosti a umístění subjektů uchovávajících všechny podklady, které jsou nutné k tomu, aby auditní stopa splňovala minimální požadavky uvedené v odstavci 1.</w:t>
            </w:r>
          </w:p>
        </w:tc>
      </w:tr>
      <w:tr w:rsidR="004D52BB" w:rsidRPr="00CA5330" w:rsidTr="00702A4D">
        <w:tc>
          <w:tcPr>
            <w:tcW w:w="1626" w:type="dxa"/>
          </w:tcPr>
          <w:p w:rsidR="004D52BB" w:rsidRPr="00CA5330" w:rsidRDefault="004D52BB" w:rsidP="004C2583">
            <w:pPr>
              <w:pStyle w:val="Textlnku"/>
              <w:spacing w:before="120" w:after="120"/>
              <w:ind w:firstLine="0"/>
              <w:rPr>
                <w:sz w:val="22"/>
                <w:szCs w:val="22"/>
              </w:rPr>
            </w:pPr>
            <w:r w:rsidRPr="00CA5330">
              <w:rPr>
                <w:sz w:val="22"/>
                <w:szCs w:val="22"/>
              </w:rPr>
              <w:t>§ 15 odst. 7</w:t>
            </w:r>
          </w:p>
        </w:tc>
        <w:tc>
          <w:tcPr>
            <w:tcW w:w="3997" w:type="dxa"/>
          </w:tcPr>
          <w:p w:rsidR="004D52BB" w:rsidRPr="00CA5330" w:rsidRDefault="004D52BB" w:rsidP="004C2583">
            <w:pPr>
              <w:pStyle w:val="Textodstavce"/>
              <w:numPr>
                <w:ilvl w:val="0"/>
                <w:numId w:val="0"/>
              </w:numPr>
              <w:rPr>
                <w:sz w:val="22"/>
                <w:szCs w:val="22"/>
              </w:rPr>
            </w:pPr>
            <w:r w:rsidRPr="00CA5330">
              <w:rPr>
                <w:sz w:val="22"/>
                <w:szCs w:val="22"/>
              </w:rPr>
              <w:t xml:space="preserve">(7) Funkce ověřovatele příjmové operace je vzájemně neslučitelná s funkcí schvalovatele příjmové operace. </w:t>
            </w:r>
          </w:p>
        </w:tc>
        <w:tc>
          <w:tcPr>
            <w:tcW w:w="2088" w:type="dxa"/>
          </w:tcPr>
          <w:p w:rsidR="004D52BB" w:rsidRPr="00CA5330" w:rsidRDefault="004D52BB" w:rsidP="004D52BB">
            <w:pPr>
              <w:pStyle w:val="Textlnku"/>
              <w:spacing w:before="120" w:after="120"/>
              <w:ind w:firstLine="0"/>
              <w:rPr>
                <w:sz w:val="22"/>
                <w:szCs w:val="22"/>
              </w:rPr>
            </w:pPr>
            <w:r w:rsidRPr="00CA5330">
              <w:rPr>
                <w:sz w:val="22"/>
                <w:szCs w:val="22"/>
              </w:rPr>
              <w:t>32012R0966</w:t>
            </w:r>
          </w:p>
          <w:p w:rsidR="004D52BB" w:rsidRPr="00CA5330" w:rsidRDefault="004D52BB" w:rsidP="004C2583">
            <w:pPr>
              <w:pStyle w:val="Textlnku"/>
              <w:spacing w:before="120" w:after="120"/>
              <w:ind w:firstLine="0"/>
              <w:rPr>
                <w:sz w:val="22"/>
                <w:szCs w:val="22"/>
              </w:rPr>
            </w:pPr>
          </w:p>
          <w:p w:rsidR="004D52BB" w:rsidRPr="00CA5330" w:rsidRDefault="004D52BB" w:rsidP="004D52BB">
            <w:pPr>
              <w:jc w:val="center"/>
              <w:rPr>
                <w:rFonts w:ascii="Times New Roman" w:hAnsi="Times New Roman" w:cs="Times New Roman"/>
                <w:lang w:eastAsia="cs-CZ"/>
              </w:rPr>
            </w:pPr>
          </w:p>
        </w:tc>
        <w:tc>
          <w:tcPr>
            <w:tcW w:w="1531" w:type="dxa"/>
          </w:tcPr>
          <w:p w:rsidR="004D52BB" w:rsidRPr="00CA5330" w:rsidRDefault="004D52BB" w:rsidP="004C2583">
            <w:pPr>
              <w:pStyle w:val="Textlnku"/>
              <w:spacing w:before="120" w:after="120"/>
              <w:ind w:firstLine="0"/>
              <w:rPr>
                <w:sz w:val="22"/>
                <w:szCs w:val="22"/>
              </w:rPr>
            </w:pPr>
            <w:r w:rsidRPr="00CA5330">
              <w:rPr>
                <w:sz w:val="22"/>
                <w:szCs w:val="22"/>
              </w:rPr>
              <w:t>čl. 64 odst. 1</w:t>
            </w:r>
          </w:p>
        </w:tc>
        <w:tc>
          <w:tcPr>
            <w:tcW w:w="4978" w:type="dxa"/>
          </w:tcPr>
          <w:p w:rsidR="004D52BB" w:rsidRPr="00CA5330" w:rsidRDefault="004D52BB" w:rsidP="004D52BB">
            <w:pPr>
              <w:pStyle w:val="Textodstavce"/>
              <w:numPr>
                <w:ilvl w:val="0"/>
                <w:numId w:val="0"/>
              </w:numPr>
              <w:tabs>
                <w:tab w:val="num" w:pos="2627"/>
              </w:tabs>
              <w:rPr>
                <w:b/>
                <w:sz w:val="22"/>
                <w:szCs w:val="22"/>
              </w:rPr>
            </w:pPr>
            <w:r w:rsidRPr="00CA5330">
              <w:rPr>
                <w:b/>
                <w:sz w:val="22"/>
                <w:szCs w:val="22"/>
              </w:rPr>
              <w:t>Oddělení funkcí</w:t>
            </w:r>
          </w:p>
          <w:p w:rsidR="004D52BB" w:rsidRPr="00CA5330" w:rsidRDefault="004D52BB" w:rsidP="004D52BB">
            <w:pPr>
              <w:pStyle w:val="Textodstavce"/>
              <w:numPr>
                <w:ilvl w:val="0"/>
                <w:numId w:val="0"/>
              </w:numPr>
              <w:tabs>
                <w:tab w:val="num" w:pos="2627"/>
              </w:tabs>
              <w:rPr>
                <w:sz w:val="22"/>
                <w:szCs w:val="22"/>
              </w:rPr>
            </w:pPr>
            <w:r w:rsidRPr="00CA5330">
              <w:rPr>
                <w:sz w:val="22"/>
                <w:szCs w:val="22"/>
              </w:rPr>
              <w:t>1. Funkce schvalující osoby a účetního jsou oddělené a vzájemně neslučitelné.</w:t>
            </w:r>
          </w:p>
        </w:tc>
      </w:tr>
      <w:tr w:rsidR="0078312F" w:rsidRPr="00CA5330" w:rsidTr="00702A4D">
        <w:tc>
          <w:tcPr>
            <w:tcW w:w="1626" w:type="dxa"/>
          </w:tcPr>
          <w:p w:rsidR="0078312F" w:rsidRPr="00CA5330" w:rsidRDefault="0078312F" w:rsidP="004C2583">
            <w:pPr>
              <w:pStyle w:val="Textlnku"/>
              <w:spacing w:before="120" w:after="120"/>
              <w:ind w:firstLine="0"/>
              <w:rPr>
                <w:sz w:val="22"/>
                <w:szCs w:val="22"/>
              </w:rPr>
            </w:pPr>
            <w:r w:rsidRPr="00CA5330">
              <w:rPr>
                <w:sz w:val="22"/>
                <w:szCs w:val="22"/>
              </w:rPr>
              <w:t>§ 17 odst. 8</w:t>
            </w:r>
          </w:p>
        </w:tc>
        <w:tc>
          <w:tcPr>
            <w:tcW w:w="3997" w:type="dxa"/>
          </w:tcPr>
          <w:p w:rsidR="0078312F" w:rsidRPr="00CA5330" w:rsidRDefault="0078312F" w:rsidP="0078312F">
            <w:pPr>
              <w:pStyle w:val="Textodstavce"/>
              <w:numPr>
                <w:ilvl w:val="0"/>
                <w:numId w:val="0"/>
              </w:numPr>
              <w:tabs>
                <w:tab w:val="num" w:pos="782"/>
              </w:tabs>
              <w:rPr>
                <w:sz w:val="22"/>
                <w:szCs w:val="22"/>
              </w:rPr>
            </w:pPr>
            <w:r w:rsidRPr="00CA5330">
              <w:rPr>
                <w:sz w:val="22"/>
                <w:szCs w:val="22"/>
              </w:rPr>
              <w:t xml:space="preserve">(8) Funkce ověřovatele před zahájením výdajové operace je vzájemně neslučitelná s funkcí schvalovatele před zahájením výdajové operace. </w:t>
            </w:r>
          </w:p>
        </w:tc>
        <w:tc>
          <w:tcPr>
            <w:tcW w:w="2088" w:type="dxa"/>
          </w:tcPr>
          <w:p w:rsidR="0078312F" w:rsidRPr="00CA5330" w:rsidRDefault="0078312F" w:rsidP="0078312F">
            <w:pPr>
              <w:pStyle w:val="Textlnku"/>
              <w:spacing w:before="120" w:after="120"/>
              <w:ind w:firstLine="0"/>
              <w:rPr>
                <w:sz w:val="22"/>
                <w:szCs w:val="22"/>
              </w:rPr>
            </w:pPr>
            <w:r w:rsidRPr="00CA5330">
              <w:rPr>
                <w:sz w:val="22"/>
                <w:szCs w:val="22"/>
              </w:rPr>
              <w:t>32012R0966</w:t>
            </w:r>
          </w:p>
          <w:p w:rsidR="0078312F" w:rsidRPr="00CA5330" w:rsidRDefault="0078312F" w:rsidP="004D52BB">
            <w:pPr>
              <w:pStyle w:val="Textlnku"/>
              <w:spacing w:before="120" w:after="120"/>
              <w:ind w:firstLine="0"/>
              <w:rPr>
                <w:sz w:val="22"/>
                <w:szCs w:val="22"/>
              </w:rPr>
            </w:pPr>
          </w:p>
        </w:tc>
        <w:tc>
          <w:tcPr>
            <w:tcW w:w="1531" w:type="dxa"/>
          </w:tcPr>
          <w:p w:rsidR="0078312F" w:rsidRPr="00CA5330" w:rsidRDefault="0078312F" w:rsidP="004C2583">
            <w:pPr>
              <w:pStyle w:val="Textlnku"/>
              <w:spacing w:before="120" w:after="120"/>
              <w:ind w:firstLine="0"/>
              <w:rPr>
                <w:sz w:val="22"/>
                <w:szCs w:val="22"/>
              </w:rPr>
            </w:pPr>
            <w:r w:rsidRPr="00CA5330">
              <w:rPr>
                <w:sz w:val="22"/>
                <w:szCs w:val="22"/>
              </w:rPr>
              <w:t>čl. 64 odst. 1</w:t>
            </w:r>
          </w:p>
        </w:tc>
        <w:tc>
          <w:tcPr>
            <w:tcW w:w="4978" w:type="dxa"/>
          </w:tcPr>
          <w:p w:rsidR="0078312F" w:rsidRPr="00CA5330" w:rsidRDefault="0078312F" w:rsidP="0078312F">
            <w:pPr>
              <w:pStyle w:val="Textodstavce"/>
              <w:numPr>
                <w:ilvl w:val="0"/>
                <w:numId w:val="0"/>
              </w:numPr>
              <w:tabs>
                <w:tab w:val="num" w:pos="2627"/>
              </w:tabs>
              <w:rPr>
                <w:b/>
                <w:sz w:val="22"/>
                <w:szCs w:val="22"/>
              </w:rPr>
            </w:pPr>
            <w:r w:rsidRPr="00CA5330">
              <w:rPr>
                <w:b/>
                <w:sz w:val="22"/>
                <w:szCs w:val="22"/>
              </w:rPr>
              <w:t>Oddělení funkcí</w:t>
            </w:r>
          </w:p>
          <w:p w:rsidR="0078312F" w:rsidRPr="00CA5330" w:rsidRDefault="0078312F" w:rsidP="0078312F">
            <w:pPr>
              <w:pStyle w:val="Textodstavce"/>
              <w:numPr>
                <w:ilvl w:val="0"/>
                <w:numId w:val="0"/>
              </w:numPr>
              <w:tabs>
                <w:tab w:val="num" w:pos="2627"/>
              </w:tabs>
              <w:rPr>
                <w:b/>
                <w:sz w:val="22"/>
                <w:szCs w:val="22"/>
              </w:rPr>
            </w:pPr>
            <w:r w:rsidRPr="00CA5330">
              <w:rPr>
                <w:sz w:val="22"/>
                <w:szCs w:val="22"/>
              </w:rPr>
              <w:t>1. Funkce schvalující osoby a účetního jsou oddělené a vzájemně neslučitelné.</w:t>
            </w:r>
          </w:p>
        </w:tc>
      </w:tr>
      <w:tr w:rsidR="0078312F" w:rsidRPr="00CA5330" w:rsidTr="00702A4D">
        <w:tc>
          <w:tcPr>
            <w:tcW w:w="1626" w:type="dxa"/>
          </w:tcPr>
          <w:p w:rsidR="0078312F" w:rsidRPr="00CA5330" w:rsidRDefault="0078312F" w:rsidP="004C2583">
            <w:pPr>
              <w:pStyle w:val="Textlnku"/>
              <w:spacing w:before="120" w:after="120"/>
              <w:ind w:firstLine="0"/>
              <w:rPr>
                <w:sz w:val="22"/>
                <w:szCs w:val="22"/>
              </w:rPr>
            </w:pPr>
            <w:r w:rsidRPr="00CA5330">
              <w:rPr>
                <w:sz w:val="22"/>
                <w:szCs w:val="22"/>
              </w:rPr>
              <w:t>§ 18 odst. 5</w:t>
            </w:r>
          </w:p>
        </w:tc>
        <w:tc>
          <w:tcPr>
            <w:tcW w:w="3997" w:type="dxa"/>
          </w:tcPr>
          <w:p w:rsidR="0078312F" w:rsidRPr="00CA5330" w:rsidRDefault="0078312F" w:rsidP="0078312F">
            <w:pPr>
              <w:pStyle w:val="Textodstavce"/>
              <w:numPr>
                <w:ilvl w:val="0"/>
                <w:numId w:val="0"/>
              </w:numPr>
              <w:tabs>
                <w:tab w:val="num" w:pos="782"/>
              </w:tabs>
              <w:rPr>
                <w:sz w:val="22"/>
                <w:szCs w:val="22"/>
              </w:rPr>
            </w:pPr>
            <w:r w:rsidRPr="00CA5330">
              <w:rPr>
                <w:sz w:val="22"/>
                <w:szCs w:val="22"/>
              </w:rPr>
              <w:t xml:space="preserve">(5) Funkce ověřovatele po zahájením výdajové operace je vzájemně neslučitelná s funkcí schvalovatele </w:t>
            </w:r>
            <w:r w:rsidR="00F84B6D" w:rsidRPr="00CA5330">
              <w:rPr>
                <w:sz w:val="22"/>
                <w:szCs w:val="22"/>
              </w:rPr>
              <w:t>po</w:t>
            </w:r>
            <w:r w:rsidRPr="00CA5330">
              <w:rPr>
                <w:sz w:val="22"/>
                <w:szCs w:val="22"/>
              </w:rPr>
              <w:t xml:space="preserve"> zahájením výdajové operace. </w:t>
            </w:r>
          </w:p>
        </w:tc>
        <w:tc>
          <w:tcPr>
            <w:tcW w:w="2088" w:type="dxa"/>
          </w:tcPr>
          <w:p w:rsidR="0078312F" w:rsidRPr="00CA5330" w:rsidRDefault="0078312F" w:rsidP="0078312F">
            <w:pPr>
              <w:pStyle w:val="Textlnku"/>
              <w:spacing w:before="120" w:after="120"/>
              <w:ind w:firstLine="0"/>
              <w:rPr>
                <w:sz w:val="22"/>
                <w:szCs w:val="22"/>
              </w:rPr>
            </w:pPr>
            <w:r w:rsidRPr="00CA5330">
              <w:rPr>
                <w:sz w:val="22"/>
                <w:szCs w:val="22"/>
              </w:rPr>
              <w:t>32012R0966</w:t>
            </w:r>
          </w:p>
          <w:p w:rsidR="0078312F" w:rsidRPr="00CA5330" w:rsidRDefault="0078312F" w:rsidP="004D52BB">
            <w:pPr>
              <w:pStyle w:val="Textlnku"/>
              <w:spacing w:before="120" w:after="120"/>
              <w:ind w:firstLine="0"/>
              <w:rPr>
                <w:sz w:val="22"/>
                <w:szCs w:val="22"/>
              </w:rPr>
            </w:pPr>
          </w:p>
        </w:tc>
        <w:tc>
          <w:tcPr>
            <w:tcW w:w="1531" w:type="dxa"/>
          </w:tcPr>
          <w:p w:rsidR="0078312F" w:rsidRPr="00CA5330" w:rsidRDefault="0078312F" w:rsidP="004C2583">
            <w:pPr>
              <w:pStyle w:val="Textlnku"/>
              <w:spacing w:before="120" w:after="120"/>
              <w:ind w:firstLine="0"/>
              <w:rPr>
                <w:sz w:val="22"/>
                <w:szCs w:val="22"/>
              </w:rPr>
            </w:pPr>
            <w:r w:rsidRPr="00CA5330">
              <w:rPr>
                <w:sz w:val="22"/>
                <w:szCs w:val="22"/>
              </w:rPr>
              <w:t>čl. 64 odst. 1</w:t>
            </w:r>
          </w:p>
        </w:tc>
        <w:tc>
          <w:tcPr>
            <w:tcW w:w="4978" w:type="dxa"/>
          </w:tcPr>
          <w:p w:rsidR="0078312F" w:rsidRPr="00CA5330" w:rsidRDefault="0078312F" w:rsidP="0078312F">
            <w:pPr>
              <w:pStyle w:val="Textodstavce"/>
              <w:numPr>
                <w:ilvl w:val="0"/>
                <w:numId w:val="0"/>
              </w:numPr>
              <w:tabs>
                <w:tab w:val="num" w:pos="2627"/>
              </w:tabs>
              <w:rPr>
                <w:b/>
                <w:sz w:val="22"/>
                <w:szCs w:val="22"/>
              </w:rPr>
            </w:pPr>
            <w:r w:rsidRPr="00CA5330">
              <w:rPr>
                <w:b/>
                <w:sz w:val="22"/>
                <w:szCs w:val="22"/>
              </w:rPr>
              <w:t>Oddělení funkcí</w:t>
            </w:r>
          </w:p>
          <w:p w:rsidR="0078312F" w:rsidRPr="00CA5330" w:rsidRDefault="0078312F" w:rsidP="0078312F">
            <w:pPr>
              <w:pStyle w:val="Textodstavce"/>
              <w:numPr>
                <w:ilvl w:val="0"/>
                <w:numId w:val="0"/>
              </w:numPr>
              <w:tabs>
                <w:tab w:val="num" w:pos="2627"/>
              </w:tabs>
              <w:rPr>
                <w:b/>
                <w:sz w:val="22"/>
                <w:szCs w:val="22"/>
              </w:rPr>
            </w:pPr>
            <w:r w:rsidRPr="00CA5330">
              <w:rPr>
                <w:sz w:val="22"/>
                <w:szCs w:val="22"/>
              </w:rPr>
              <w:t>1. Funkce schvalující osoby a účetního jsou oddělené a vzájemně neslučitelné.</w:t>
            </w:r>
          </w:p>
        </w:tc>
      </w:tr>
      <w:tr w:rsidR="004E6076" w:rsidRPr="00CA5330" w:rsidTr="00702A4D">
        <w:tc>
          <w:tcPr>
            <w:tcW w:w="1626" w:type="dxa"/>
            <w:vMerge w:val="restart"/>
          </w:tcPr>
          <w:p w:rsidR="004E6076" w:rsidRPr="00CA5330" w:rsidRDefault="002908C6" w:rsidP="004C2583">
            <w:pPr>
              <w:pStyle w:val="Textlnku"/>
              <w:spacing w:before="120" w:after="120"/>
              <w:ind w:firstLine="0"/>
              <w:rPr>
                <w:sz w:val="22"/>
                <w:szCs w:val="22"/>
              </w:rPr>
            </w:pPr>
            <w:r w:rsidRPr="00CA5330">
              <w:rPr>
                <w:sz w:val="22"/>
                <w:szCs w:val="22"/>
              </w:rPr>
              <w:t>§ 30</w:t>
            </w:r>
            <w:r w:rsidR="004E6076" w:rsidRPr="00CA5330">
              <w:rPr>
                <w:sz w:val="22"/>
                <w:szCs w:val="22"/>
              </w:rPr>
              <w:t xml:space="preserve"> odst. 1 až 3</w:t>
            </w:r>
          </w:p>
        </w:tc>
        <w:tc>
          <w:tcPr>
            <w:tcW w:w="3997" w:type="dxa"/>
            <w:vMerge w:val="restart"/>
          </w:tcPr>
          <w:p w:rsidR="004E6076" w:rsidRPr="00CA5330" w:rsidRDefault="004E6076" w:rsidP="004C2583">
            <w:pPr>
              <w:pStyle w:val="Nadpisparagrafu"/>
              <w:spacing w:before="120" w:after="120"/>
              <w:jc w:val="left"/>
              <w:rPr>
                <w:sz w:val="22"/>
                <w:szCs w:val="22"/>
              </w:rPr>
            </w:pPr>
            <w:r w:rsidRPr="00CA5330">
              <w:rPr>
                <w:sz w:val="22"/>
                <w:szCs w:val="22"/>
              </w:rPr>
              <w:t>Výkon vládního a interního auditu</w:t>
            </w:r>
          </w:p>
          <w:p w:rsidR="002908C6" w:rsidRPr="00CA5330" w:rsidRDefault="002908C6" w:rsidP="002908C6">
            <w:pPr>
              <w:pStyle w:val="Textodstavce"/>
              <w:numPr>
                <w:ilvl w:val="0"/>
                <w:numId w:val="0"/>
              </w:numPr>
              <w:rPr>
                <w:sz w:val="22"/>
                <w:szCs w:val="22"/>
              </w:rPr>
            </w:pPr>
            <w:r w:rsidRPr="00CA5330">
              <w:rPr>
                <w:sz w:val="22"/>
                <w:szCs w:val="22"/>
              </w:rPr>
              <w:t>(1) Ministerstvo financí postupuje při výkonu vrchního auditu podle tohoto zákona, mezinárodních standardů a kontrolního řádu s výjimkou § 9 písm. f), § 10 odst. 1 pís</w:t>
            </w:r>
            <w:r w:rsidR="001A1153" w:rsidRPr="00CA5330">
              <w:rPr>
                <w:sz w:val="22"/>
                <w:szCs w:val="22"/>
              </w:rPr>
              <w:t xml:space="preserve">m. c) a d), § 12 až 19, § 21, 24, 26 a </w:t>
            </w:r>
            <w:r w:rsidRPr="00CA5330">
              <w:rPr>
                <w:sz w:val="22"/>
                <w:szCs w:val="22"/>
              </w:rPr>
              <w:t xml:space="preserve">27.  </w:t>
            </w:r>
          </w:p>
          <w:p w:rsidR="002908C6" w:rsidRPr="00CA5330" w:rsidRDefault="002908C6" w:rsidP="002908C6">
            <w:pPr>
              <w:pStyle w:val="Textodstavce"/>
              <w:numPr>
                <w:ilvl w:val="0"/>
                <w:numId w:val="0"/>
              </w:numPr>
              <w:rPr>
                <w:sz w:val="22"/>
                <w:szCs w:val="22"/>
              </w:rPr>
            </w:pPr>
            <w:r w:rsidRPr="00CA5330">
              <w:rPr>
                <w:sz w:val="22"/>
                <w:szCs w:val="22"/>
              </w:rPr>
              <w:t xml:space="preserve">(2) Správce veřejného rozpočtu, který vykonává interní audit podle § 24 odst. 1 písm. b), postupuje podle tohoto zákona, mezinárodních standardů a kontrolního řádu s výjimkou § 9 písm. f), § 10 odst. 1 písm. c) a d), § 12 až </w:t>
            </w:r>
            <w:r w:rsidR="00417999" w:rsidRPr="00CA5330">
              <w:rPr>
                <w:sz w:val="22"/>
                <w:szCs w:val="22"/>
              </w:rPr>
              <w:t>19, § 21, 24, 26 a</w:t>
            </w:r>
            <w:r w:rsidRPr="00CA5330">
              <w:rPr>
                <w:sz w:val="22"/>
                <w:szCs w:val="22"/>
              </w:rPr>
              <w:t xml:space="preserve"> 27.</w:t>
            </w:r>
          </w:p>
          <w:p w:rsidR="00E74A0D" w:rsidRPr="00CA5330" w:rsidRDefault="00E74A0D" w:rsidP="00E74A0D">
            <w:pPr>
              <w:pStyle w:val="Textodstavce"/>
              <w:numPr>
                <w:ilvl w:val="0"/>
                <w:numId w:val="0"/>
              </w:numPr>
              <w:tabs>
                <w:tab w:val="num" w:pos="782"/>
              </w:tabs>
              <w:rPr>
                <w:sz w:val="22"/>
                <w:szCs w:val="22"/>
              </w:rPr>
            </w:pPr>
            <w:r w:rsidRPr="00CA5330">
              <w:rPr>
                <w:sz w:val="22"/>
                <w:szCs w:val="22"/>
              </w:rPr>
              <w:t xml:space="preserve">(3) Správce veřejného rozpočtu, u kterého je vykonáván interní audit podle § 24 odst. 1 písm. a), a veřejný subjekt postupují podle tohoto zákona a mezinárodních standardů. </w:t>
            </w:r>
          </w:p>
          <w:p w:rsidR="00E74A0D" w:rsidRPr="00CA5330" w:rsidRDefault="00E74A0D" w:rsidP="00E74A0D">
            <w:pPr>
              <w:pStyle w:val="Textodstavce"/>
              <w:numPr>
                <w:ilvl w:val="0"/>
                <w:numId w:val="0"/>
              </w:numPr>
              <w:tabs>
                <w:tab w:val="num" w:pos="782"/>
              </w:tabs>
              <w:rPr>
                <w:sz w:val="22"/>
                <w:szCs w:val="22"/>
              </w:rPr>
            </w:pPr>
            <w:r w:rsidRPr="00CA5330">
              <w:rPr>
                <w:sz w:val="22"/>
                <w:szCs w:val="22"/>
              </w:rPr>
              <w:t xml:space="preserve">(4) Správce veřejného rozpočtu a veřejný subjekt podle odstavce 3 vydají vnitřní předpis k výkonu interního auditu (dále jen „statut útvaru interního auditu“), kterým upraví </w:t>
            </w:r>
          </w:p>
          <w:p w:rsidR="002908C6" w:rsidRPr="00CA5330" w:rsidRDefault="002908C6" w:rsidP="002908C6">
            <w:pPr>
              <w:pStyle w:val="Textpsmene"/>
              <w:numPr>
                <w:ilvl w:val="0"/>
                <w:numId w:val="0"/>
              </w:numPr>
              <w:spacing w:before="120" w:after="120"/>
              <w:rPr>
                <w:sz w:val="22"/>
                <w:szCs w:val="22"/>
              </w:rPr>
            </w:pPr>
            <w:r w:rsidRPr="00CA5330">
              <w:rPr>
                <w:sz w:val="22"/>
                <w:szCs w:val="22"/>
              </w:rPr>
              <w:t>a) způsob vydání a náležitosti pověření k výkonu interního auditu,</w:t>
            </w:r>
          </w:p>
          <w:p w:rsidR="002908C6" w:rsidRPr="00CA5330" w:rsidRDefault="002908C6" w:rsidP="002908C6">
            <w:pPr>
              <w:pStyle w:val="Textpsmene"/>
              <w:numPr>
                <w:ilvl w:val="0"/>
                <w:numId w:val="0"/>
              </w:numPr>
              <w:spacing w:before="120" w:after="120"/>
              <w:rPr>
                <w:sz w:val="22"/>
                <w:szCs w:val="22"/>
              </w:rPr>
            </w:pPr>
            <w:r w:rsidRPr="00CA5330">
              <w:rPr>
                <w:sz w:val="22"/>
                <w:szCs w:val="22"/>
              </w:rPr>
              <w:t>b) způsob zahájení a průběh výkonu interního auditu,</w:t>
            </w:r>
          </w:p>
          <w:p w:rsidR="002908C6" w:rsidRPr="00CA5330" w:rsidRDefault="002908C6" w:rsidP="002908C6">
            <w:pPr>
              <w:pStyle w:val="Textpsmene"/>
              <w:numPr>
                <w:ilvl w:val="0"/>
                <w:numId w:val="0"/>
              </w:numPr>
              <w:spacing w:before="120" w:after="120"/>
              <w:rPr>
                <w:sz w:val="22"/>
                <w:szCs w:val="22"/>
              </w:rPr>
            </w:pPr>
            <w:r w:rsidRPr="00CA5330">
              <w:rPr>
                <w:sz w:val="22"/>
                <w:szCs w:val="22"/>
              </w:rPr>
              <w:t>c) přizvání třetích osob k výkonu interního auditu v zájmu dosažení jeho účelu,</w:t>
            </w:r>
          </w:p>
          <w:p w:rsidR="002908C6" w:rsidRPr="00CA5330" w:rsidRDefault="002908C6" w:rsidP="002908C6">
            <w:pPr>
              <w:pStyle w:val="Textpsmene"/>
              <w:numPr>
                <w:ilvl w:val="0"/>
                <w:numId w:val="0"/>
              </w:numPr>
              <w:spacing w:before="120" w:after="120"/>
              <w:rPr>
                <w:sz w:val="22"/>
                <w:szCs w:val="22"/>
              </w:rPr>
            </w:pPr>
            <w:r w:rsidRPr="00CA5330">
              <w:rPr>
                <w:sz w:val="22"/>
                <w:szCs w:val="22"/>
              </w:rPr>
              <w:t xml:space="preserve">d) práva a povinnosti vedoucího útvaru interního auditu, interního auditora a asistenta interního auditora, včetně povinnosti zachovávat mlčenlivost, </w:t>
            </w:r>
          </w:p>
          <w:p w:rsidR="002908C6" w:rsidRPr="00CA5330" w:rsidRDefault="002908C6" w:rsidP="002908C6">
            <w:pPr>
              <w:pStyle w:val="Textpsmene"/>
              <w:numPr>
                <w:ilvl w:val="0"/>
                <w:numId w:val="0"/>
              </w:numPr>
              <w:tabs>
                <w:tab w:val="num" w:pos="782"/>
              </w:tabs>
              <w:spacing w:before="120" w:after="120"/>
              <w:rPr>
                <w:sz w:val="22"/>
                <w:szCs w:val="22"/>
              </w:rPr>
            </w:pPr>
            <w:r w:rsidRPr="00CA5330">
              <w:rPr>
                <w:sz w:val="22"/>
                <w:szCs w:val="22"/>
              </w:rPr>
              <w:t xml:space="preserve">e) práva a povinnosti auditovaných.   </w:t>
            </w:r>
          </w:p>
          <w:p w:rsidR="004E6076" w:rsidRPr="00CA5330" w:rsidRDefault="004E6076" w:rsidP="004C2583">
            <w:pPr>
              <w:pStyle w:val="Textodstavce"/>
              <w:numPr>
                <w:ilvl w:val="0"/>
                <w:numId w:val="0"/>
              </w:numPr>
              <w:rPr>
                <w:sz w:val="22"/>
                <w:szCs w:val="22"/>
                <w:u w:val="single"/>
              </w:rPr>
            </w:pPr>
          </w:p>
        </w:tc>
        <w:tc>
          <w:tcPr>
            <w:tcW w:w="2088" w:type="dxa"/>
            <w:vMerge w:val="restart"/>
          </w:tcPr>
          <w:p w:rsidR="004E6076" w:rsidRPr="00CA5330" w:rsidRDefault="004E6076" w:rsidP="004C2583">
            <w:pPr>
              <w:pStyle w:val="Textlnku"/>
              <w:spacing w:before="120" w:after="120"/>
              <w:ind w:firstLine="0"/>
              <w:rPr>
                <w:sz w:val="22"/>
                <w:szCs w:val="22"/>
              </w:rPr>
            </w:pPr>
            <w:r w:rsidRPr="00CA5330">
              <w:rPr>
                <w:sz w:val="22"/>
                <w:szCs w:val="22"/>
              </w:rPr>
              <w:t>32013R1303</w:t>
            </w:r>
          </w:p>
        </w:tc>
        <w:tc>
          <w:tcPr>
            <w:tcW w:w="1531" w:type="dxa"/>
          </w:tcPr>
          <w:p w:rsidR="004E6076" w:rsidRPr="00CA5330" w:rsidRDefault="004E6076" w:rsidP="004C2583">
            <w:pPr>
              <w:pStyle w:val="Textlnku"/>
              <w:spacing w:before="120" w:after="120"/>
              <w:ind w:firstLine="0"/>
              <w:rPr>
                <w:sz w:val="22"/>
                <w:szCs w:val="22"/>
              </w:rPr>
            </w:pPr>
            <w:r w:rsidRPr="00CA5330">
              <w:rPr>
                <w:sz w:val="22"/>
                <w:szCs w:val="22"/>
              </w:rPr>
              <w:t>Preambule</w:t>
            </w:r>
          </w:p>
        </w:tc>
        <w:tc>
          <w:tcPr>
            <w:tcW w:w="4978" w:type="dxa"/>
          </w:tcPr>
          <w:tbl>
            <w:tblPr>
              <w:tblW w:w="5000" w:type="pct"/>
              <w:tblCellSpacing w:w="0" w:type="dxa"/>
              <w:tblCellMar>
                <w:left w:w="0" w:type="dxa"/>
                <w:right w:w="0" w:type="dxa"/>
              </w:tblCellMar>
              <w:tblLook w:val="04A0" w:firstRow="1" w:lastRow="0" w:firstColumn="1" w:lastColumn="0" w:noHBand="0" w:noVBand="1"/>
            </w:tblPr>
            <w:tblGrid>
              <w:gridCol w:w="76"/>
              <w:gridCol w:w="4686"/>
            </w:tblGrid>
            <w:tr w:rsidR="004E6076" w:rsidRPr="00CA5330" w:rsidTr="00A617F2">
              <w:trPr>
                <w:tblCellSpacing w:w="0" w:type="dxa"/>
              </w:trPr>
              <w:tc>
                <w:tcPr>
                  <w:tcW w:w="80" w:type="pct"/>
                  <w:hideMark/>
                </w:tcPr>
                <w:p w:rsidR="004E6076" w:rsidRPr="00CA5330" w:rsidRDefault="004E6076" w:rsidP="004C2583">
                  <w:pPr>
                    <w:spacing w:before="120" w:after="120" w:line="240" w:lineRule="auto"/>
                    <w:jc w:val="both"/>
                    <w:rPr>
                      <w:rFonts w:ascii="Times New Roman" w:eastAsia="Times New Roman" w:hAnsi="Times New Roman" w:cs="Times New Roman"/>
                      <w:color w:val="000000"/>
                      <w:lang w:eastAsia="cs-CZ"/>
                    </w:rPr>
                  </w:pPr>
                </w:p>
              </w:tc>
              <w:tc>
                <w:tcPr>
                  <w:tcW w:w="4920" w:type="pct"/>
                  <w:hideMark/>
                </w:tcPr>
                <w:p w:rsidR="004E6076" w:rsidRPr="00CA5330" w:rsidRDefault="004E6076" w:rsidP="004C2583">
                  <w:pPr>
                    <w:spacing w:before="120" w:after="120" w:line="240" w:lineRule="auto"/>
                    <w:jc w:val="both"/>
                    <w:rPr>
                      <w:rFonts w:ascii="Times New Roman" w:eastAsia="Times New Roman" w:hAnsi="Times New Roman" w:cs="Times New Roman"/>
                      <w:color w:val="000000"/>
                      <w:lang w:eastAsia="cs-CZ"/>
                    </w:rPr>
                  </w:pPr>
                  <w:r w:rsidRPr="00CA5330">
                    <w:rPr>
                      <w:rFonts w:ascii="Times New Roman" w:eastAsia="Times New Roman" w:hAnsi="Times New Roman" w:cs="Times New Roman"/>
                      <w:color w:val="000000"/>
                      <w:lang w:eastAsia="cs-CZ"/>
                    </w:rPr>
                    <w:t>(122) Četnost auditů operací by měla odpovídat rozsahu podpory Unie z fondů a ENRF. Zejména by se měl snížit počet provedených auditů, pokud celkové způsobilé výdaje na danou operaci nepřesahují 200 000 EUR v případě EFRR a Fondu soudržnosti, 150 000 EUR v případě ESF a 100 000 EUR v případě ENRF. Mělo by nicméně být možné provádět audity kdykoli, pokud existuje důkaz o nesrovnalosti nebo podvodu, nebo – v rámci auditního vzorku – po uzavření dokončené operace. Komise by měla mít možnost přezkoumat auditní stopu dotyčného auditního orgánu nebo se zúčastnit auditů na místě prováděných auditním orgánem. Pokud Komise nezíská nezbytnou jistotu ohledně účinného fungování auditního orgánu těmito prostředky, měla by mít možnost auditní výkon opakovat, pokud je to v souladu s mezinárodně uznávanými auditními standardy. Aby byla úroveň auditů prováděných Komisí úměrná riziku, měla by Komise mít možnost snížit úroveň auditní činnosti v souvislosti s operačními programy, pokud nebyly zjištěny žádné závažné nedostatky nebo pokud je auditní orgán spolehlivý. V zájmu snížení administrativní zátěže pro příjemce by měla být zavedena konkrétní pravidla pro snížení rizika překrývání auditů, které u stejných operací provádějí různé orgány, zejména Evropský účetní dvůr, Komise a auditní orgán.</w:t>
                  </w:r>
                </w:p>
              </w:tc>
            </w:tr>
          </w:tbl>
          <w:p w:rsidR="004E6076" w:rsidRPr="00CA5330" w:rsidRDefault="004E6076" w:rsidP="004C2583">
            <w:pPr>
              <w:pStyle w:val="Textodstavce"/>
              <w:numPr>
                <w:ilvl w:val="0"/>
                <w:numId w:val="0"/>
              </w:numPr>
              <w:tabs>
                <w:tab w:val="num" w:pos="2627"/>
              </w:tabs>
              <w:ind w:firstLine="425"/>
              <w:rPr>
                <w:sz w:val="22"/>
                <w:szCs w:val="22"/>
              </w:rPr>
            </w:pPr>
          </w:p>
        </w:tc>
      </w:tr>
      <w:tr w:rsidR="004E6076" w:rsidRPr="00CA5330" w:rsidTr="00702A4D">
        <w:tc>
          <w:tcPr>
            <w:tcW w:w="1626" w:type="dxa"/>
            <w:vMerge/>
          </w:tcPr>
          <w:p w:rsidR="004E6076" w:rsidRPr="00CA5330" w:rsidRDefault="004E6076" w:rsidP="004C2583">
            <w:pPr>
              <w:pStyle w:val="Textlnku"/>
              <w:spacing w:before="120" w:after="120"/>
              <w:ind w:firstLine="0"/>
              <w:rPr>
                <w:sz w:val="22"/>
                <w:szCs w:val="22"/>
              </w:rPr>
            </w:pPr>
          </w:p>
        </w:tc>
        <w:tc>
          <w:tcPr>
            <w:tcW w:w="3997" w:type="dxa"/>
            <w:vMerge/>
          </w:tcPr>
          <w:p w:rsidR="004E6076" w:rsidRPr="00CA5330" w:rsidRDefault="004E6076" w:rsidP="004C2583">
            <w:pPr>
              <w:pStyle w:val="Textodstavce"/>
              <w:numPr>
                <w:ilvl w:val="0"/>
                <w:numId w:val="0"/>
              </w:numPr>
              <w:tabs>
                <w:tab w:val="num" w:pos="566"/>
                <w:tab w:val="num" w:pos="2627"/>
                <w:tab w:val="num" w:pos="3198"/>
              </w:tabs>
              <w:rPr>
                <w:b/>
                <w:sz w:val="22"/>
                <w:szCs w:val="22"/>
              </w:rPr>
            </w:pPr>
          </w:p>
        </w:tc>
        <w:tc>
          <w:tcPr>
            <w:tcW w:w="2088" w:type="dxa"/>
            <w:vMerge/>
          </w:tcPr>
          <w:p w:rsidR="004E6076" w:rsidRPr="00CA5330" w:rsidRDefault="004E6076" w:rsidP="004C2583">
            <w:pPr>
              <w:pStyle w:val="Textlnku"/>
              <w:spacing w:before="120" w:after="120"/>
              <w:ind w:firstLine="0"/>
              <w:rPr>
                <w:sz w:val="22"/>
                <w:szCs w:val="22"/>
              </w:rPr>
            </w:pPr>
          </w:p>
        </w:tc>
        <w:tc>
          <w:tcPr>
            <w:tcW w:w="1531" w:type="dxa"/>
          </w:tcPr>
          <w:p w:rsidR="004E6076" w:rsidRPr="00CA5330" w:rsidRDefault="004E6076" w:rsidP="004C2583">
            <w:pPr>
              <w:pStyle w:val="Textlnku"/>
              <w:spacing w:before="120" w:after="120"/>
              <w:ind w:firstLine="0"/>
              <w:rPr>
                <w:sz w:val="22"/>
                <w:szCs w:val="22"/>
              </w:rPr>
            </w:pPr>
            <w:r w:rsidRPr="00CA5330">
              <w:rPr>
                <w:sz w:val="22"/>
                <w:szCs w:val="22"/>
              </w:rPr>
              <w:t>Čl. 124 odst. 2</w:t>
            </w:r>
          </w:p>
        </w:tc>
        <w:tc>
          <w:tcPr>
            <w:tcW w:w="4978" w:type="dxa"/>
          </w:tcPr>
          <w:p w:rsidR="004E6076" w:rsidRPr="00CA5330" w:rsidRDefault="004E6076" w:rsidP="004C2583">
            <w:pPr>
              <w:pStyle w:val="Textodstavce"/>
              <w:numPr>
                <w:ilvl w:val="0"/>
                <w:numId w:val="0"/>
              </w:numPr>
              <w:tabs>
                <w:tab w:val="num" w:pos="2627"/>
              </w:tabs>
              <w:rPr>
                <w:sz w:val="22"/>
                <w:szCs w:val="22"/>
              </w:rPr>
            </w:pPr>
            <w:r w:rsidRPr="00CA5330">
              <w:rPr>
                <w:color w:val="000000"/>
                <w:sz w:val="22"/>
                <w:szCs w:val="22"/>
              </w:rPr>
              <w:t>2.   Určení uvedené v odstavci 1 vychází ze zprávy a stanoviska nezávislého auditního subjektu, které hodnotí, zda orgány dodržují kritéria týkající se prostředí vnitřní kontroly, řízení rizik, řídící a kontrolní činnosti a monitorování stanovená v příloze XIII. Nezávislým auditním subjektem je auditní orgán nebo jiný veřejnoprávní či soukromoprávní subjekt, který má potřebnou auditorskou způsobilost, je nezávislý na řídicím orgánu, a případně i na certifikačním orgánu, a při výkonu své činnosti bere v úvahu mezinárodně uznávané auditorské standardy. Dospěje-li nezávislý auditní subjekt k závěru, že část řídícího a kontrolního systému, která se týká řídicího orgánu nebo certifikačního orgánu, je v zásadě stejná jako v předchozím programovém období a že na základě auditorské činnosti provedené v souladu s příslušnými ustanoveními nařízení (ES) č. 1083/2006 a nařízení Rady (ES) č. 1198/2006</w:t>
            </w:r>
            <w:hyperlink r:id="rId9" w:anchor="ntr38-L_2013347CS.01032001-E0038" w:history="1">
              <w:r w:rsidRPr="00CA5330">
                <w:rPr>
                  <w:rStyle w:val="Hypertextovodkaz"/>
                  <w:sz w:val="22"/>
                  <w:szCs w:val="22"/>
                </w:rPr>
                <w:t> (</w:t>
              </w:r>
              <w:r w:rsidRPr="00CA5330">
                <w:rPr>
                  <w:rStyle w:val="super"/>
                  <w:color w:val="0000FF"/>
                  <w:sz w:val="22"/>
                  <w:szCs w:val="22"/>
                  <w:u w:val="single"/>
                </w:rPr>
                <w:t>38</w:t>
              </w:r>
              <w:r w:rsidRPr="00CA5330">
                <w:rPr>
                  <w:rStyle w:val="Hypertextovodkaz"/>
                  <w:sz w:val="22"/>
                  <w:szCs w:val="22"/>
                </w:rPr>
                <w:t>)</w:t>
              </w:r>
            </w:hyperlink>
            <w:r w:rsidRPr="00CA5330">
              <w:rPr>
                <w:color w:val="000000"/>
                <w:sz w:val="22"/>
                <w:szCs w:val="22"/>
              </w:rPr>
              <w:t xml:space="preserve"> lze doložit jejich účinné fungování během tohoto období, může přijmout závěr, že příslušná kritéria jsou splněna, aniž by prováděl další auditorskou práci.</w:t>
            </w:r>
          </w:p>
        </w:tc>
      </w:tr>
      <w:tr w:rsidR="004E6076" w:rsidRPr="00CA5330" w:rsidTr="00702A4D">
        <w:tc>
          <w:tcPr>
            <w:tcW w:w="1626" w:type="dxa"/>
            <w:vMerge/>
          </w:tcPr>
          <w:p w:rsidR="004E6076" w:rsidRPr="00CA5330" w:rsidRDefault="004E6076" w:rsidP="004C2583">
            <w:pPr>
              <w:pStyle w:val="Textlnku"/>
              <w:spacing w:before="120" w:after="120"/>
              <w:ind w:firstLine="0"/>
              <w:rPr>
                <w:sz w:val="22"/>
                <w:szCs w:val="22"/>
              </w:rPr>
            </w:pPr>
          </w:p>
        </w:tc>
        <w:tc>
          <w:tcPr>
            <w:tcW w:w="3997" w:type="dxa"/>
            <w:vMerge/>
          </w:tcPr>
          <w:p w:rsidR="004E6076" w:rsidRPr="00CA5330" w:rsidRDefault="004E6076" w:rsidP="004C2583">
            <w:pPr>
              <w:pStyle w:val="Textodstavce"/>
              <w:numPr>
                <w:ilvl w:val="0"/>
                <w:numId w:val="0"/>
              </w:numPr>
              <w:tabs>
                <w:tab w:val="num" w:pos="566"/>
                <w:tab w:val="num" w:pos="2627"/>
                <w:tab w:val="num" w:pos="3198"/>
              </w:tabs>
              <w:rPr>
                <w:b/>
                <w:sz w:val="22"/>
                <w:szCs w:val="22"/>
              </w:rPr>
            </w:pPr>
          </w:p>
        </w:tc>
        <w:tc>
          <w:tcPr>
            <w:tcW w:w="2088" w:type="dxa"/>
            <w:vMerge/>
          </w:tcPr>
          <w:p w:rsidR="004E6076" w:rsidRPr="00CA5330" w:rsidRDefault="004E6076" w:rsidP="004C2583">
            <w:pPr>
              <w:pStyle w:val="Textlnku"/>
              <w:spacing w:before="120" w:after="120"/>
              <w:ind w:firstLine="0"/>
              <w:rPr>
                <w:sz w:val="22"/>
                <w:szCs w:val="22"/>
              </w:rPr>
            </w:pPr>
          </w:p>
        </w:tc>
        <w:tc>
          <w:tcPr>
            <w:tcW w:w="1531" w:type="dxa"/>
          </w:tcPr>
          <w:p w:rsidR="004E6076" w:rsidRPr="00CA5330" w:rsidRDefault="004E6076" w:rsidP="004C2583">
            <w:pPr>
              <w:pStyle w:val="Textlnku"/>
              <w:spacing w:before="120" w:after="120"/>
              <w:ind w:firstLine="0"/>
              <w:rPr>
                <w:sz w:val="22"/>
                <w:szCs w:val="22"/>
              </w:rPr>
            </w:pPr>
            <w:r w:rsidRPr="00CA5330">
              <w:rPr>
                <w:sz w:val="22"/>
                <w:szCs w:val="22"/>
              </w:rPr>
              <w:t>Čl. 148 odst. 4</w:t>
            </w:r>
          </w:p>
        </w:tc>
        <w:tc>
          <w:tcPr>
            <w:tcW w:w="4978" w:type="dxa"/>
          </w:tcPr>
          <w:p w:rsidR="004E6076" w:rsidRPr="00CA5330" w:rsidRDefault="004E6076" w:rsidP="004C2583">
            <w:pPr>
              <w:pStyle w:val="Textodstavce"/>
              <w:numPr>
                <w:ilvl w:val="0"/>
                <w:numId w:val="0"/>
              </w:numPr>
              <w:tabs>
                <w:tab w:val="num" w:pos="2627"/>
              </w:tabs>
              <w:rPr>
                <w:sz w:val="22"/>
                <w:szCs w:val="22"/>
              </w:rPr>
            </w:pPr>
            <w:r w:rsidRPr="00CA5330">
              <w:rPr>
                <w:color w:val="000000"/>
                <w:sz w:val="22"/>
                <w:szCs w:val="22"/>
              </w:rPr>
              <w:t>4.   Bez ohledu na odstavec 1 mohou, auditní orgán a Komise provádět audity operací v případě, že se při posuzování rizik nebo v rámci auditu ze strany Evropského účetního dvora zjistí zvláštní riziko nesrovnalostí či podvodu, v případě důkazů o závažných nedostatcích v účinném fungování systému řízení a kontroly daného operačního programu a po dobu uvedenou v čl. 140 odst. 1. Komise může za účelem hodnocení práce auditního orgánu přezkoumat auditní stopu dotyčného auditního orgánu nebo se zúčastnit auditů na místě prováděných auditním orgánem, a pokud je to z hlediska získání jistoty o účinném fungování auditního orgánu nutné v souladu s mezinárodně přijatými auditními standardy, může Komise provádět i audit operací.</w:t>
            </w:r>
          </w:p>
        </w:tc>
      </w:tr>
      <w:tr w:rsidR="003B69D7" w:rsidRPr="00CA5330" w:rsidTr="00702A4D">
        <w:tc>
          <w:tcPr>
            <w:tcW w:w="1626" w:type="dxa"/>
            <w:vMerge w:val="restart"/>
          </w:tcPr>
          <w:p w:rsidR="003B69D7" w:rsidRPr="00CA5330" w:rsidRDefault="003B69D7" w:rsidP="004C2583">
            <w:pPr>
              <w:pStyle w:val="Textlnku"/>
              <w:spacing w:before="120" w:after="120"/>
              <w:ind w:firstLine="0"/>
              <w:rPr>
                <w:sz w:val="22"/>
                <w:szCs w:val="22"/>
              </w:rPr>
            </w:pPr>
            <w:r w:rsidRPr="00CA5330">
              <w:rPr>
                <w:sz w:val="22"/>
                <w:szCs w:val="22"/>
              </w:rPr>
              <w:t xml:space="preserve">§ </w:t>
            </w:r>
            <w:r w:rsidR="00FF49E3" w:rsidRPr="00CA5330">
              <w:rPr>
                <w:sz w:val="22"/>
                <w:szCs w:val="22"/>
              </w:rPr>
              <w:t>42</w:t>
            </w:r>
          </w:p>
        </w:tc>
        <w:tc>
          <w:tcPr>
            <w:tcW w:w="3997" w:type="dxa"/>
            <w:vMerge w:val="restart"/>
          </w:tcPr>
          <w:p w:rsidR="00E2321D" w:rsidRPr="00CA5330" w:rsidRDefault="00E2321D" w:rsidP="004C2583">
            <w:pPr>
              <w:pStyle w:val="Nadpisparagrafu"/>
              <w:spacing w:before="120" w:after="120"/>
              <w:jc w:val="left"/>
              <w:rPr>
                <w:sz w:val="22"/>
                <w:szCs w:val="22"/>
              </w:rPr>
            </w:pPr>
            <w:r w:rsidRPr="00CA5330">
              <w:rPr>
                <w:sz w:val="22"/>
                <w:szCs w:val="22"/>
              </w:rPr>
              <w:t>Centrální kontaktní bod sítě Evropského úřadu pro boj proti podvodům</w:t>
            </w:r>
          </w:p>
          <w:p w:rsidR="00B17211" w:rsidRPr="00CA5330" w:rsidRDefault="00B17211" w:rsidP="00B17211">
            <w:pPr>
              <w:pStyle w:val="Textodstavce"/>
              <w:numPr>
                <w:ilvl w:val="0"/>
                <w:numId w:val="0"/>
              </w:numPr>
              <w:rPr>
                <w:sz w:val="22"/>
                <w:szCs w:val="22"/>
              </w:rPr>
            </w:pPr>
            <w:r w:rsidRPr="00CA5330">
              <w:rPr>
                <w:sz w:val="22"/>
                <w:szCs w:val="22"/>
              </w:rPr>
              <w:t>Ministerstvo financí plní povinnosti centrálního kontaktního bodu sítě Evropského úřadu pro boj proti podvodům a podává tomuto úřadu hlášení podle přímo použitelného předpisu Evropské unie upravujícího vyšetřování prováděné Evropským úřadem pro boj proti podvodům</w:t>
            </w:r>
            <w:r w:rsidRPr="00CA5330">
              <w:rPr>
                <w:rStyle w:val="Znakapoznpodarou"/>
                <w:sz w:val="22"/>
                <w:szCs w:val="22"/>
              </w:rPr>
              <w:footnoteReference w:customMarkFollows="1" w:id="6"/>
              <w:t>6)</w:t>
            </w:r>
            <w:r w:rsidR="00BD2DA6" w:rsidRPr="00CA5330">
              <w:rPr>
                <w:sz w:val="22"/>
                <w:szCs w:val="22"/>
              </w:rPr>
              <w:t xml:space="preserve"> .</w:t>
            </w:r>
          </w:p>
          <w:p w:rsidR="003B69D7" w:rsidRPr="00CA5330" w:rsidRDefault="003B69D7" w:rsidP="00B17211">
            <w:pPr>
              <w:pStyle w:val="Textodstavce"/>
              <w:numPr>
                <w:ilvl w:val="0"/>
                <w:numId w:val="0"/>
              </w:numPr>
              <w:rPr>
                <w:sz w:val="22"/>
                <w:szCs w:val="22"/>
              </w:rPr>
            </w:pPr>
          </w:p>
        </w:tc>
        <w:tc>
          <w:tcPr>
            <w:tcW w:w="2088" w:type="dxa"/>
            <w:vMerge w:val="restart"/>
          </w:tcPr>
          <w:p w:rsidR="003B69D7" w:rsidRPr="00CA5330" w:rsidRDefault="003B69D7" w:rsidP="004C2583">
            <w:pPr>
              <w:pStyle w:val="Textlnku"/>
              <w:spacing w:before="120" w:after="120"/>
              <w:ind w:firstLine="0"/>
              <w:rPr>
                <w:sz w:val="22"/>
                <w:szCs w:val="22"/>
              </w:rPr>
            </w:pPr>
            <w:r w:rsidRPr="00CA5330">
              <w:rPr>
                <w:sz w:val="22"/>
                <w:szCs w:val="22"/>
              </w:rPr>
              <w:t>32012R0966</w:t>
            </w:r>
          </w:p>
        </w:tc>
        <w:tc>
          <w:tcPr>
            <w:tcW w:w="1531" w:type="dxa"/>
          </w:tcPr>
          <w:p w:rsidR="003B69D7" w:rsidRPr="00CA5330" w:rsidRDefault="003B69D7" w:rsidP="004C2583">
            <w:pPr>
              <w:pStyle w:val="Textlnku"/>
              <w:spacing w:before="120" w:after="120"/>
              <w:ind w:firstLine="0"/>
              <w:rPr>
                <w:sz w:val="22"/>
                <w:szCs w:val="22"/>
              </w:rPr>
            </w:pPr>
            <w:r w:rsidRPr="00CA5330">
              <w:rPr>
                <w:sz w:val="22"/>
                <w:szCs w:val="22"/>
              </w:rPr>
              <w:t>čl. 175</w:t>
            </w:r>
          </w:p>
        </w:tc>
        <w:tc>
          <w:tcPr>
            <w:tcW w:w="4978" w:type="dxa"/>
          </w:tcPr>
          <w:p w:rsidR="003B69D7" w:rsidRPr="00CA5330" w:rsidRDefault="003B69D7" w:rsidP="004C2583">
            <w:pPr>
              <w:pStyle w:val="Textodstavce"/>
              <w:numPr>
                <w:ilvl w:val="0"/>
                <w:numId w:val="0"/>
              </w:numPr>
              <w:tabs>
                <w:tab w:val="num" w:pos="2627"/>
              </w:tabs>
              <w:rPr>
                <w:b/>
                <w:sz w:val="22"/>
                <w:szCs w:val="22"/>
              </w:rPr>
            </w:pPr>
            <w:r w:rsidRPr="00CA5330">
              <w:rPr>
                <w:b/>
                <w:sz w:val="22"/>
                <w:szCs w:val="22"/>
              </w:rPr>
              <w:t>Zvláštní ustanovení</w:t>
            </w:r>
          </w:p>
          <w:p w:rsidR="003B69D7" w:rsidRPr="00CA5330" w:rsidRDefault="003B69D7" w:rsidP="004C2583">
            <w:pPr>
              <w:pStyle w:val="Textodstavce"/>
              <w:numPr>
                <w:ilvl w:val="0"/>
                <w:numId w:val="0"/>
              </w:numPr>
              <w:tabs>
                <w:tab w:val="num" w:pos="2627"/>
              </w:tabs>
              <w:rPr>
                <w:sz w:val="22"/>
                <w:szCs w:val="22"/>
              </w:rPr>
            </w:pPr>
            <w:r w:rsidRPr="00CA5330">
              <w:rPr>
                <w:sz w:val="22"/>
                <w:szCs w:val="22"/>
              </w:rPr>
              <w:t>1.   Části první a třetí se použijí na příjmy a výdaje orgánů a subjektů uvedených v nařízení Rady (ES) č. 1698/2005 ze dne 20. září 2005 o podpoře pro rozvoj venkova z Evropského zemědělského fondu pro rozvoj venkova (EZFRV) (25), v nařízení Evropského parlamentu a Rady (ES) č. 1080/2006 ze dne 5. července 2006 o Evropském fondu pro regionální rozvoj (26), v nařízení Evropského parlamentu a Rady (ES) č. 1081/2006 ze dne 5. července 2006 o Evropském sociálním fondu (27), v nařízení Rady (ES) č. 1083/2006 ze dne 11. července 2006 o obecných ustanoveních o Evropském fondu pro regionální rozvoj, Evropském sociálním fondu a Fondu soudržnosti (28), v nařízení Rady (ES) č. 1084/2006 ze dne 11. července 2006, kterým se zřizuje Fond soudržnosti (29) a v nařízení Rady (ES) č. 1198/2006 ze dne 27. července 2006 o Evropském rybářském fondu (30), jakož i fondů pro oblast svobody, bezpečnosti a práva, včetně fondů v rámci programu „Solidarita a řízení migračních toků“, které jsou spravovány v rámci sdíleného řízení podle článku 59 (dále jen „fondy“), není-li v této hlavě stanoveno jinak.</w:t>
            </w:r>
          </w:p>
          <w:p w:rsidR="003B69D7" w:rsidRPr="00CA5330" w:rsidRDefault="003B69D7" w:rsidP="00DC33D7">
            <w:pPr>
              <w:pStyle w:val="Textodstavce"/>
              <w:numPr>
                <w:ilvl w:val="0"/>
                <w:numId w:val="0"/>
              </w:numPr>
              <w:tabs>
                <w:tab w:val="num" w:pos="2627"/>
              </w:tabs>
              <w:rPr>
                <w:sz w:val="22"/>
                <w:szCs w:val="22"/>
              </w:rPr>
            </w:pPr>
            <w:r w:rsidRPr="00CA5330">
              <w:rPr>
                <w:sz w:val="22"/>
                <w:szCs w:val="22"/>
              </w:rPr>
              <w:t>2. Operace řízené přímo Komisí se uskutečňují podle pravidel stanovených v částech první a třetí.</w:t>
            </w:r>
          </w:p>
        </w:tc>
      </w:tr>
      <w:tr w:rsidR="003B69D7" w:rsidRPr="00CA5330" w:rsidTr="00702A4D">
        <w:tc>
          <w:tcPr>
            <w:tcW w:w="1626" w:type="dxa"/>
            <w:vMerge/>
          </w:tcPr>
          <w:p w:rsidR="003B69D7" w:rsidRPr="00CA5330" w:rsidRDefault="003B69D7" w:rsidP="004C2583">
            <w:pPr>
              <w:spacing w:before="120" w:after="120"/>
              <w:rPr>
                <w:rFonts w:ascii="Times New Roman" w:hAnsi="Times New Roman" w:cs="Times New Roman"/>
              </w:rPr>
            </w:pPr>
          </w:p>
        </w:tc>
        <w:tc>
          <w:tcPr>
            <w:tcW w:w="3997" w:type="dxa"/>
            <w:vMerge/>
          </w:tcPr>
          <w:p w:rsidR="003B69D7" w:rsidRPr="00CA5330" w:rsidRDefault="003B69D7" w:rsidP="004C2583">
            <w:pPr>
              <w:pStyle w:val="Paragraf"/>
              <w:spacing w:before="120" w:after="120"/>
              <w:rPr>
                <w:sz w:val="22"/>
                <w:szCs w:val="22"/>
              </w:rPr>
            </w:pPr>
          </w:p>
        </w:tc>
        <w:tc>
          <w:tcPr>
            <w:tcW w:w="2088" w:type="dxa"/>
            <w:vMerge/>
          </w:tcPr>
          <w:p w:rsidR="003B69D7" w:rsidRPr="00CA5330" w:rsidRDefault="003B69D7" w:rsidP="004C2583">
            <w:pPr>
              <w:spacing w:before="120" w:after="120"/>
              <w:rPr>
                <w:rFonts w:ascii="Times New Roman" w:hAnsi="Times New Roman" w:cs="Times New Roman"/>
              </w:rPr>
            </w:pPr>
          </w:p>
        </w:tc>
        <w:tc>
          <w:tcPr>
            <w:tcW w:w="1531" w:type="dxa"/>
          </w:tcPr>
          <w:p w:rsidR="003B69D7" w:rsidRPr="00CA5330" w:rsidRDefault="003B69D7" w:rsidP="004C2583">
            <w:pPr>
              <w:pStyle w:val="Textlnku"/>
              <w:spacing w:before="120" w:after="120"/>
              <w:ind w:firstLine="0"/>
              <w:rPr>
                <w:sz w:val="22"/>
                <w:szCs w:val="22"/>
              </w:rPr>
            </w:pPr>
            <w:r w:rsidRPr="00CA5330">
              <w:rPr>
                <w:sz w:val="22"/>
                <w:szCs w:val="22"/>
              </w:rPr>
              <w:t>čl. 140 odst. 5</w:t>
            </w:r>
          </w:p>
        </w:tc>
        <w:tc>
          <w:tcPr>
            <w:tcW w:w="4978" w:type="dxa"/>
          </w:tcPr>
          <w:p w:rsidR="003B69D7" w:rsidRPr="00CA5330" w:rsidRDefault="00DC33D7" w:rsidP="00DC33D7">
            <w:pPr>
              <w:pStyle w:val="Textodstavce"/>
              <w:numPr>
                <w:ilvl w:val="0"/>
                <w:numId w:val="0"/>
              </w:numPr>
              <w:tabs>
                <w:tab w:val="num" w:pos="2627"/>
              </w:tabs>
              <w:rPr>
                <w:sz w:val="22"/>
                <w:szCs w:val="22"/>
              </w:rPr>
            </w:pPr>
            <w:r w:rsidRPr="00CA5330">
              <w:rPr>
                <w:sz w:val="22"/>
                <w:szCs w:val="22"/>
              </w:rPr>
              <w:t xml:space="preserve">5. </w:t>
            </w:r>
            <w:r w:rsidR="003B69D7" w:rsidRPr="00CA5330">
              <w:rPr>
                <w:sz w:val="22"/>
                <w:szCs w:val="22"/>
              </w:rPr>
              <w:t xml:space="preserve">Subjekty pověřené podle čl. 58 odst. 1 písm. c) bodů </w:t>
            </w:r>
            <w:proofErr w:type="spellStart"/>
            <w:r w:rsidR="003B69D7" w:rsidRPr="00CA5330">
              <w:rPr>
                <w:sz w:val="22"/>
                <w:szCs w:val="22"/>
              </w:rPr>
              <w:t>ii</w:t>
            </w:r>
            <w:proofErr w:type="spellEnd"/>
            <w:r w:rsidR="003B69D7" w:rsidRPr="00CA5330">
              <w:rPr>
                <w:sz w:val="22"/>
                <w:szCs w:val="22"/>
              </w:rPr>
              <w:t xml:space="preserve">), </w:t>
            </w:r>
            <w:proofErr w:type="spellStart"/>
            <w:r w:rsidR="003B69D7" w:rsidRPr="00CA5330">
              <w:rPr>
                <w:sz w:val="22"/>
                <w:szCs w:val="22"/>
              </w:rPr>
              <w:t>iii</w:t>
            </w:r>
            <w:proofErr w:type="spellEnd"/>
            <w:r w:rsidR="003B69D7" w:rsidRPr="00CA5330">
              <w:rPr>
                <w:sz w:val="22"/>
                <w:szCs w:val="22"/>
              </w:rPr>
              <w:t xml:space="preserve">), v) a </w:t>
            </w:r>
            <w:proofErr w:type="spellStart"/>
            <w:r w:rsidR="003B69D7" w:rsidRPr="00CA5330">
              <w:rPr>
                <w:sz w:val="22"/>
                <w:szCs w:val="22"/>
              </w:rPr>
              <w:t>vi</w:t>
            </w:r>
            <w:proofErr w:type="spellEnd"/>
            <w:r w:rsidR="003B69D7" w:rsidRPr="00CA5330">
              <w:rPr>
                <w:sz w:val="22"/>
                <w:szCs w:val="22"/>
              </w:rPr>
              <w:t>), finanční zprostředkovatelé uvedení v odstavci 4 tohoto článku, kteří jsou zapojeni do správy finančních nástrojů Unie, a koneční příjemci pomoci Unie podle této hlavy poskytují Účetnímu dvoru v souladu s článkem 161 veškerou podporu a informace, které Účetní dvůr považuje za nezbytné k plnění svých úkolů.</w:t>
            </w:r>
            <w:r w:rsidRPr="00CA5330">
              <w:rPr>
                <w:sz w:val="22"/>
                <w:szCs w:val="22"/>
              </w:rPr>
              <w:t xml:space="preserve"> </w:t>
            </w:r>
            <w:r w:rsidR="003B69D7" w:rsidRPr="00CA5330">
              <w:rPr>
                <w:sz w:val="22"/>
                <w:szCs w:val="22"/>
              </w:rPr>
              <w:t>Na pomoc Unie poskytovanou podle této hlavy se vztahují nařízení (Euratom, ES) č. 2185/96 a nařízení Evropského parlamentu a Rady (ES) č. 1073/1999 ze dne 25. května 1999 o vyšetřování prováděném Evropským úřadem pro boj proti podvodům (OLAF) (23).</w:t>
            </w:r>
          </w:p>
        </w:tc>
      </w:tr>
      <w:tr w:rsidR="003B69D7" w:rsidRPr="00CA5330" w:rsidTr="00702A4D">
        <w:tc>
          <w:tcPr>
            <w:tcW w:w="1626" w:type="dxa"/>
            <w:vMerge/>
          </w:tcPr>
          <w:p w:rsidR="003B69D7" w:rsidRPr="00CA5330" w:rsidRDefault="003B69D7" w:rsidP="004C2583">
            <w:pPr>
              <w:spacing w:before="120" w:after="120"/>
              <w:rPr>
                <w:rFonts w:ascii="Times New Roman" w:hAnsi="Times New Roman" w:cs="Times New Roman"/>
              </w:rPr>
            </w:pPr>
          </w:p>
        </w:tc>
        <w:tc>
          <w:tcPr>
            <w:tcW w:w="3997" w:type="dxa"/>
            <w:vMerge/>
          </w:tcPr>
          <w:p w:rsidR="003B69D7" w:rsidRPr="00CA5330" w:rsidRDefault="003B69D7" w:rsidP="004C2583">
            <w:pPr>
              <w:pStyle w:val="Paragraf"/>
              <w:spacing w:before="120" w:after="120"/>
              <w:rPr>
                <w:sz w:val="22"/>
                <w:szCs w:val="22"/>
              </w:rPr>
            </w:pPr>
          </w:p>
        </w:tc>
        <w:tc>
          <w:tcPr>
            <w:tcW w:w="2088" w:type="dxa"/>
          </w:tcPr>
          <w:p w:rsidR="003B69D7" w:rsidRPr="00CA5330" w:rsidRDefault="003B69D7" w:rsidP="004C2583">
            <w:pPr>
              <w:pStyle w:val="Textlnku"/>
              <w:spacing w:before="120" w:after="120"/>
              <w:ind w:firstLine="0"/>
              <w:rPr>
                <w:sz w:val="22"/>
                <w:szCs w:val="22"/>
              </w:rPr>
            </w:pPr>
            <w:r w:rsidRPr="00CA5330">
              <w:rPr>
                <w:sz w:val="22"/>
                <w:szCs w:val="22"/>
              </w:rPr>
              <w:t>32013R0883</w:t>
            </w:r>
          </w:p>
        </w:tc>
        <w:tc>
          <w:tcPr>
            <w:tcW w:w="1531" w:type="dxa"/>
          </w:tcPr>
          <w:p w:rsidR="003B69D7" w:rsidRPr="00CA5330" w:rsidRDefault="003B69D7" w:rsidP="004C2583">
            <w:pPr>
              <w:pStyle w:val="Textlnku"/>
              <w:spacing w:before="120" w:after="120"/>
              <w:ind w:firstLine="0"/>
              <w:rPr>
                <w:sz w:val="22"/>
                <w:szCs w:val="22"/>
              </w:rPr>
            </w:pPr>
            <w:r w:rsidRPr="00CA5330">
              <w:rPr>
                <w:sz w:val="22"/>
                <w:szCs w:val="22"/>
              </w:rPr>
              <w:t>čl. 3 odst. 4</w:t>
            </w:r>
          </w:p>
        </w:tc>
        <w:tc>
          <w:tcPr>
            <w:tcW w:w="4978" w:type="dxa"/>
          </w:tcPr>
          <w:p w:rsidR="003B69D7" w:rsidRPr="00CA5330" w:rsidRDefault="003B69D7" w:rsidP="00DC33D7">
            <w:pPr>
              <w:pStyle w:val="Textodstavce"/>
              <w:numPr>
                <w:ilvl w:val="0"/>
                <w:numId w:val="0"/>
              </w:numPr>
              <w:tabs>
                <w:tab w:val="num" w:pos="2627"/>
              </w:tabs>
              <w:rPr>
                <w:sz w:val="22"/>
                <w:szCs w:val="22"/>
              </w:rPr>
            </w:pPr>
            <w:r w:rsidRPr="00CA5330">
              <w:rPr>
                <w:sz w:val="22"/>
                <w:szCs w:val="22"/>
              </w:rPr>
              <w:t>4. Pro účely tohoto nařízení určí členské státy službu (dále jen „koordinační služba pro boj proti podvodům“), která bude napomáhat účinné spolupráci a výměně informací včetně informací operační povahy s úřadem. V příslušných případech a v souladu s vnitrostátním právem může být koordinační služba pro boj proti podvodům považována za příslušný orgán pro účely tohoto nařízení.</w:t>
            </w:r>
          </w:p>
        </w:tc>
      </w:tr>
      <w:tr w:rsidR="003B69D7" w:rsidRPr="00CA5330" w:rsidTr="00702A4D">
        <w:tc>
          <w:tcPr>
            <w:tcW w:w="1626" w:type="dxa"/>
            <w:vMerge/>
          </w:tcPr>
          <w:p w:rsidR="003B69D7" w:rsidRPr="00CA5330" w:rsidRDefault="003B69D7" w:rsidP="004C2583">
            <w:pPr>
              <w:spacing w:before="120" w:after="120"/>
              <w:rPr>
                <w:rFonts w:ascii="Times New Roman" w:hAnsi="Times New Roman" w:cs="Times New Roman"/>
              </w:rPr>
            </w:pPr>
          </w:p>
        </w:tc>
        <w:tc>
          <w:tcPr>
            <w:tcW w:w="3997" w:type="dxa"/>
            <w:vMerge/>
          </w:tcPr>
          <w:p w:rsidR="003B69D7" w:rsidRPr="00CA5330" w:rsidRDefault="003B69D7" w:rsidP="004C2583">
            <w:pPr>
              <w:pStyle w:val="Paragraf"/>
              <w:spacing w:before="120" w:after="120"/>
              <w:rPr>
                <w:sz w:val="22"/>
                <w:szCs w:val="22"/>
              </w:rPr>
            </w:pPr>
          </w:p>
        </w:tc>
        <w:tc>
          <w:tcPr>
            <w:tcW w:w="2088" w:type="dxa"/>
            <w:vMerge w:val="restart"/>
          </w:tcPr>
          <w:p w:rsidR="003B69D7" w:rsidRPr="00CA5330" w:rsidRDefault="003B69D7" w:rsidP="004C2583">
            <w:pPr>
              <w:pStyle w:val="Textlnku"/>
              <w:spacing w:before="120" w:after="120"/>
              <w:ind w:firstLine="0"/>
              <w:rPr>
                <w:sz w:val="22"/>
                <w:szCs w:val="22"/>
              </w:rPr>
            </w:pPr>
            <w:r w:rsidRPr="00CA5330">
              <w:rPr>
                <w:sz w:val="22"/>
                <w:szCs w:val="22"/>
              </w:rPr>
              <w:t>32013R1303</w:t>
            </w:r>
          </w:p>
        </w:tc>
        <w:tc>
          <w:tcPr>
            <w:tcW w:w="1531" w:type="dxa"/>
          </w:tcPr>
          <w:p w:rsidR="003B69D7" w:rsidRPr="00CA5330" w:rsidRDefault="003B69D7" w:rsidP="004C2583">
            <w:pPr>
              <w:pStyle w:val="Textlnku"/>
              <w:spacing w:before="120" w:after="120"/>
              <w:ind w:firstLine="0"/>
              <w:rPr>
                <w:sz w:val="22"/>
                <w:szCs w:val="22"/>
              </w:rPr>
            </w:pPr>
            <w:r w:rsidRPr="00CA5330">
              <w:rPr>
                <w:sz w:val="22"/>
                <w:szCs w:val="22"/>
              </w:rPr>
              <w:t>čl. 72 písm. h)</w:t>
            </w:r>
          </w:p>
        </w:tc>
        <w:tc>
          <w:tcPr>
            <w:tcW w:w="4978" w:type="dxa"/>
          </w:tcPr>
          <w:p w:rsidR="003B69D7" w:rsidRPr="00CA5330" w:rsidRDefault="003B69D7" w:rsidP="00DC33D7">
            <w:pPr>
              <w:pStyle w:val="Textodstavce"/>
              <w:numPr>
                <w:ilvl w:val="0"/>
                <w:numId w:val="0"/>
              </w:numPr>
              <w:tabs>
                <w:tab w:val="num" w:pos="2627"/>
              </w:tabs>
              <w:rPr>
                <w:sz w:val="22"/>
                <w:szCs w:val="22"/>
              </w:rPr>
            </w:pPr>
            <w:r w:rsidRPr="00CA5330">
              <w:rPr>
                <w:sz w:val="22"/>
                <w:szCs w:val="22"/>
              </w:rPr>
              <w:t>V souladu s čl. 4 odst. 8 systémy řízení a kontroly sestávají z:</w:t>
            </w:r>
          </w:p>
          <w:p w:rsidR="003B69D7" w:rsidRPr="00CA5330" w:rsidRDefault="003B69D7" w:rsidP="004C2583">
            <w:pPr>
              <w:pStyle w:val="Textodstavce"/>
              <w:numPr>
                <w:ilvl w:val="0"/>
                <w:numId w:val="0"/>
              </w:numPr>
              <w:tabs>
                <w:tab w:val="num" w:pos="2627"/>
              </w:tabs>
              <w:rPr>
                <w:sz w:val="22"/>
                <w:szCs w:val="22"/>
              </w:rPr>
            </w:pPr>
            <w:r w:rsidRPr="00CA5330">
              <w:rPr>
                <w:sz w:val="22"/>
                <w:szCs w:val="22"/>
              </w:rPr>
              <w:t>h) předcházení nesrovnalostem, včetně podvodů, jejich odhalování a náprava a vymáhání neoprávněně vyplacených částek spolu s případnými úroky z prodlení.</w:t>
            </w:r>
          </w:p>
        </w:tc>
      </w:tr>
      <w:tr w:rsidR="003B69D7" w:rsidRPr="00CA5330" w:rsidTr="00702A4D">
        <w:tc>
          <w:tcPr>
            <w:tcW w:w="1626" w:type="dxa"/>
            <w:vMerge/>
          </w:tcPr>
          <w:p w:rsidR="003B69D7" w:rsidRPr="00CA5330" w:rsidRDefault="003B69D7" w:rsidP="004C2583">
            <w:pPr>
              <w:spacing w:before="120" w:after="120"/>
              <w:rPr>
                <w:rFonts w:ascii="Times New Roman" w:hAnsi="Times New Roman" w:cs="Times New Roman"/>
              </w:rPr>
            </w:pPr>
          </w:p>
        </w:tc>
        <w:tc>
          <w:tcPr>
            <w:tcW w:w="3997" w:type="dxa"/>
            <w:vMerge/>
          </w:tcPr>
          <w:p w:rsidR="003B69D7" w:rsidRPr="00CA5330" w:rsidRDefault="003B69D7" w:rsidP="004C2583">
            <w:pPr>
              <w:pStyle w:val="Paragraf"/>
              <w:spacing w:before="120" w:after="120"/>
              <w:rPr>
                <w:sz w:val="22"/>
                <w:szCs w:val="22"/>
              </w:rPr>
            </w:pPr>
          </w:p>
        </w:tc>
        <w:tc>
          <w:tcPr>
            <w:tcW w:w="2088" w:type="dxa"/>
            <w:vMerge/>
          </w:tcPr>
          <w:p w:rsidR="003B69D7" w:rsidRPr="00CA5330" w:rsidRDefault="003B69D7" w:rsidP="004C2583">
            <w:pPr>
              <w:spacing w:before="120" w:after="120"/>
              <w:rPr>
                <w:rFonts w:ascii="Times New Roman" w:hAnsi="Times New Roman" w:cs="Times New Roman"/>
              </w:rPr>
            </w:pPr>
          </w:p>
        </w:tc>
        <w:tc>
          <w:tcPr>
            <w:tcW w:w="1531" w:type="dxa"/>
          </w:tcPr>
          <w:p w:rsidR="003B69D7" w:rsidRPr="00CA5330" w:rsidRDefault="003B69D7" w:rsidP="004C2583">
            <w:pPr>
              <w:pStyle w:val="Textlnku"/>
              <w:spacing w:before="120" w:after="120"/>
              <w:ind w:firstLine="0"/>
              <w:rPr>
                <w:sz w:val="22"/>
                <w:szCs w:val="22"/>
              </w:rPr>
            </w:pPr>
            <w:r w:rsidRPr="00CA5330">
              <w:rPr>
                <w:sz w:val="22"/>
                <w:szCs w:val="22"/>
              </w:rPr>
              <w:t>čl. 122 odst. 2</w:t>
            </w:r>
          </w:p>
        </w:tc>
        <w:tc>
          <w:tcPr>
            <w:tcW w:w="4978" w:type="dxa"/>
          </w:tcPr>
          <w:p w:rsidR="003B69D7" w:rsidRPr="00CA5330" w:rsidRDefault="003B69D7" w:rsidP="00DC33D7">
            <w:pPr>
              <w:pStyle w:val="Textodstavce"/>
              <w:numPr>
                <w:ilvl w:val="0"/>
                <w:numId w:val="0"/>
              </w:numPr>
              <w:tabs>
                <w:tab w:val="num" w:pos="2627"/>
              </w:tabs>
              <w:rPr>
                <w:sz w:val="22"/>
                <w:szCs w:val="22"/>
              </w:rPr>
            </w:pPr>
            <w:r w:rsidRPr="00CA5330">
              <w:rPr>
                <w:sz w:val="22"/>
                <w:szCs w:val="22"/>
              </w:rPr>
              <w:t>2. Členské státy předcházejí nesrovnalostem, odhalují je a zajišťují jejich nápravu a vymáhají neoprávněně vyplacené částky spolu s případnými úroky z prodlení. Oznámí Komisi nesrovnalosti v příspěvcích z fondů přesahující 10 000 EUR a průběžně ji informují o podstatném pokroku v souvisejících správních a soudních řízení.</w:t>
            </w:r>
          </w:p>
          <w:p w:rsidR="003B69D7" w:rsidRPr="00CA5330" w:rsidRDefault="003B69D7" w:rsidP="00DC33D7">
            <w:pPr>
              <w:pStyle w:val="Textodstavce"/>
              <w:numPr>
                <w:ilvl w:val="0"/>
                <w:numId w:val="0"/>
              </w:numPr>
              <w:tabs>
                <w:tab w:val="num" w:pos="2627"/>
              </w:tabs>
              <w:rPr>
                <w:sz w:val="22"/>
                <w:szCs w:val="22"/>
              </w:rPr>
            </w:pPr>
            <w:r w:rsidRPr="00CA5330">
              <w:rPr>
                <w:sz w:val="22"/>
                <w:szCs w:val="22"/>
              </w:rPr>
              <w:t>Členské státy neoznamují Komisi nesrovnalosti související s:</w:t>
            </w:r>
          </w:p>
          <w:p w:rsidR="003B69D7" w:rsidRPr="00CA5330" w:rsidRDefault="003B69D7" w:rsidP="004C2583">
            <w:pPr>
              <w:pStyle w:val="Textodstavce"/>
              <w:numPr>
                <w:ilvl w:val="0"/>
                <w:numId w:val="0"/>
              </w:numPr>
              <w:tabs>
                <w:tab w:val="num" w:pos="2627"/>
              </w:tabs>
              <w:rPr>
                <w:sz w:val="22"/>
                <w:szCs w:val="22"/>
              </w:rPr>
            </w:pPr>
            <w:r w:rsidRPr="00CA5330">
              <w:rPr>
                <w:sz w:val="22"/>
                <w:szCs w:val="22"/>
              </w:rPr>
              <w:t>a) případy, kdy nesrovnalost spočívá pouze v úplném nebo částečném neprovedení určité operace uvedené ve spolufinancovaném operačním programu z důvodu úpadku příjemce;</w:t>
            </w:r>
          </w:p>
          <w:p w:rsidR="003B69D7" w:rsidRPr="00CA5330" w:rsidRDefault="003B69D7" w:rsidP="004C2583">
            <w:pPr>
              <w:pStyle w:val="Textodstavce"/>
              <w:numPr>
                <w:ilvl w:val="0"/>
                <w:numId w:val="0"/>
              </w:numPr>
              <w:tabs>
                <w:tab w:val="num" w:pos="2627"/>
              </w:tabs>
              <w:rPr>
                <w:sz w:val="22"/>
                <w:szCs w:val="22"/>
              </w:rPr>
            </w:pPr>
            <w:r w:rsidRPr="00CA5330">
              <w:rPr>
                <w:sz w:val="22"/>
                <w:szCs w:val="22"/>
              </w:rPr>
              <w:t>b) případy, na něž příjemce upozornil řídicí či certifikační orgán dobrovolně a dříve, než je některý z těchto orgánů odhalil, ať již před nebo po vyplacení příspěvku z veřejných zdrojů;</w:t>
            </w:r>
          </w:p>
          <w:p w:rsidR="003B69D7" w:rsidRPr="00CA5330" w:rsidRDefault="003B69D7" w:rsidP="004C2583">
            <w:pPr>
              <w:pStyle w:val="Textodstavce"/>
              <w:numPr>
                <w:ilvl w:val="0"/>
                <w:numId w:val="0"/>
              </w:numPr>
              <w:tabs>
                <w:tab w:val="num" w:pos="2627"/>
              </w:tabs>
              <w:rPr>
                <w:sz w:val="22"/>
                <w:szCs w:val="22"/>
              </w:rPr>
            </w:pPr>
            <w:r w:rsidRPr="00CA5330">
              <w:rPr>
                <w:sz w:val="22"/>
                <w:szCs w:val="22"/>
              </w:rPr>
              <w:t>c) případy, které řídicí nebo certifikační orgán odhalil a napravil dříve, než byly příslušné výdaje zahrnuty do výkazu výdajů předkládaných Komisi.</w:t>
            </w:r>
          </w:p>
          <w:p w:rsidR="003B69D7" w:rsidRPr="00CA5330" w:rsidRDefault="003B69D7" w:rsidP="00DC33D7">
            <w:pPr>
              <w:pStyle w:val="Textodstavce"/>
              <w:numPr>
                <w:ilvl w:val="0"/>
                <w:numId w:val="0"/>
              </w:numPr>
              <w:tabs>
                <w:tab w:val="num" w:pos="2627"/>
              </w:tabs>
              <w:rPr>
                <w:sz w:val="22"/>
                <w:szCs w:val="22"/>
              </w:rPr>
            </w:pPr>
            <w:r w:rsidRPr="00CA5330">
              <w:rPr>
                <w:sz w:val="22"/>
                <w:szCs w:val="22"/>
              </w:rPr>
              <w:t>Ve všech ostatních případech, zejména před úpadkem nebo existuje-li podezření z podvodu, se zjištěné nesrovnalosti a související preventivní a nápravná opatření oznámí Komisi.</w:t>
            </w:r>
            <w:r w:rsidR="00DC33D7" w:rsidRPr="00CA5330">
              <w:rPr>
                <w:sz w:val="22"/>
                <w:szCs w:val="22"/>
              </w:rPr>
              <w:t xml:space="preserve"> </w:t>
            </w:r>
            <w:r w:rsidRPr="00CA5330">
              <w:rPr>
                <w:sz w:val="22"/>
                <w:szCs w:val="22"/>
              </w:rPr>
              <w:t>Nelze-li částky neoprávněně vyplacené příjemci získat zpět v důsledku pochybení nebo nedbalosti členského státu, zodpovídá za uhrazení dotčených částek zpět do rozpočtu Unie členský stát. Členské státy se mohou rozhodnout nevymáhat od příjemce neoprávněně vyplacenou částku příspěvku z fondů, pokud nepřesahuje 250 EUR bez zahrnutí úroku.</w:t>
            </w:r>
            <w:r w:rsidR="00DC33D7" w:rsidRPr="00CA5330">
              <w:rPr>
                <w:sz w:val="22"/>
                <w:szCs w:val="22"/>
              </w:rPr>
              <w:t xml:space="preserve"> </w:t>
            </w:r>
            <w:r w:rsidRPr="00CA5330">
              <w:rPr>
                <w:sz w:val="22"/>
                <w:szCs w:val="22"/>
              </w:rPr>
              <w:t>Komisi je svěřena pravomoc přijímat akty v přenesené pravomoci v souladu s článkem 149, kterými stanoví další podrobná pravidla týkající se kritérií pro určení případů nesrovnalostí, které je třeba oznámit, a údajů, jež je třeba poskytnout, a pro podmínky a postupy, jež se mají použít k rozhodnutí o tom, zda mají členské státy uhradit částky, které nelze získat zpět.</w:t>
            </w:r>
            <w:r w:rsidR="00DC33D7" w:rsidRPr="00CA5330">
              <w:rPr>
                <w:sz w:val="22"/>
                <w:szCs w:val="22"/>
              </w:rPr>
              <w:t xml:space="preserve"> </w:t>
            </w:r>
            <w:r w:rsidRPr="00CA5330">
              <w:rPr>
                <w:sz w:val="22"/>
                <w:szCs w:val="22"/>
              </w:rPr>
              <w:t>Komise přijme prováděcí akty, kterými stanoví četnost podávání zpráv o nesrovnalostech a jejich formát. Tyto prováděcí akty se přijímají poradním postupem podle čl. 150 odst. 2.</w:t>
            </w:r>
          </w:p>
        </w:tc>
      </w:tr>
    </w:tbl>
    <w:p w:rsidR="003E54BE" w:rsidRPr="00CA5330" w:rsidRDefault="003E54BE">
      <w:pPr>
        <w:rPr>
          <w:rFonts w:ascii="Times New Roman" w:hAnsi="Times New Roman" w:cs="Times New Roman"/>
        </w:rPr>
      </w:pPr>
    </w:p>
    <w:p w:rsidR="00845F98" w:rsidRPr="00CA5330" w:rsidRDefault="00845F98">
      <w:pPr>
        <w:rPr>
          <w:rFonts w:ascii="Times New Roman" w:hAnsi="Times New Roman" w:cs="Times New Roman"/>
        </w:rPr>
      </w:pPr>
    </w:p>
    <w:tbl>
      <w:tblPr>
        <w:tblStyle w:val="Mkatabulky"/>
        <w:tblW w:w="0" w:type="auto"/>
        <w:tblLook w:val="04A0" w:firstRow="1" w:lastRow="0" w:firstColumn="1" w:lastColumn="0" w:noHBand="0" w:noVBand="1"/>
      </w:tblPr>
      <w:tblGrid>
        <w:gridCol w:w="3794"/>
        <w:gridCol w:w="10350"/>
      </w:tblGrid>
      <w:tr w:rsidR="00415C43" w:rsidRPr="00CA5330" w:rsidTr="00305ABC">
        <w:tc>
          <w:tcPr>
            <w:tcW w:w="3794" w:type="dxa"/>
            <w:shd w:val="clear" w:color="auto" w:fill="FFFFFF" w:themeFill="background1"/>
          </w:tcPr>
          <w:p w:rsidR="00415C43" w:rsidRPr="00CA5330" w:rsidRDefault="00B03277" w:rsidP="00105309">
            <w:pPr>
              <w:tabs>
                <w:tab w:val="left" w:pos="360"/>
              </w:tabs>
              <w:suppressAutoHyphens/>
              <w:spacing w:line="276" w:lineRule="auto"/>
              <w:jc w:val="center"/>
              <w:rPr>
                <w:rFonts w:ascii="Times New Roman" w:hAnsi="Times New Roman" w:cs="Times New Roman"/>
              </w:rPr>
            </w:pPr>
            <w:r w:rsidRPr="00CA5330">
              <w:rPr>
                <w:rFonts w:ascii="Times New Roman" w:hAnsi="Times New Roman" w:cs="Times New Roman"/>
              </w:rPr>
              <w:br w:type="page"/>
            </w:r>
            <w:r w:rsidR="00415C43" w:rsidRPr="00CA5330">
              <w:rPr>
                <w:rFonts w:ascii="Times New Roman" w:eastAsia="Times New Roman" w:hAnsi="Times New Roman" w:cs="Times New Roman"/>
                <w:lang w:eastAsia="cs-CZ"/>
              </w:rPr>
              <w:t xml:space="preserve">Číslo předpisu EU (kód </w:t>
            </w:r>
            <w:proofErr w:type="spellStart"/>
            <w:r w:rsidR="00415C43" w:rsidRPr="00CA5330">
              <w:rPr>
                <w:rFonts w:ascii="Times New Roman" w:eastAsia="Times New Roman" w:hAnsi="Times New Roman" w:cs="Times New Roman"/>
                <w:lang w:eastAsia="cs-CZ"/>
              </w:rPr>
              <w:t>celex</w:t>
            </w:r>
            <w:proofErr w:type="spellEnd"/>
            <w:r w:rsidR="00415C43" w:rsidRPr="00CA5330">
              <w:rPr>
                <w:rFonts w:ascii="Times New Roman" w:eastAsia="Times New Roman" w:hAnsi="Times New Roman" w:cs="Times New Roman"/>
                <w:lang w:eastAsia="cs-CZ"/>
              </w:rPr>
              <w:t>)</w:t>
            </w:r>
          </w:p>
        </w:tc>
        <w:tc>
          <w:tcPr>
            <w:tcW w:w="10350" w:type="dxa"/>
            <w:shd w:val="clear" w:color="auto" w:fill="FFFFFF" w:themeFill="background1"/>
          </w:tcPr>
          <w:p w:rsidR="00415C43" w:rsidRPr="00CA5330" w:rsidRDefault="00415C43" w:rsidP="00105309">
            <w:pPr>
              <w:tabs>
                <w:tab w:val="left" w:pos="360"/>
              </w:tabs>
              <w:suppressAutoHyphens/>
              <w:spacing w:line="276" w:lineRule="auto"/>
              <w:jc w:val="center"/>
              <w:rPr>
                <w:rFonts w:ascii="Times New Roman" w:hAnsi="Times New Roman" w:cs="Times New Roman"/>
              </w:rPr>
            </w:pPr>
            <w:r w:rsidRPr="00CA5330">
              <w:rPr>
                <w:rFonts w:ascii="Times New Roman" w:eastAsia="Times New Roman" w:hAnsi="Times New Roman" w:cs="Times New Roman"/>
                <w:lang w:eastAsia="cs-CZ"/>
              </w:rPr>
              <w:t>Název předpisu EU</w:t>
            </w:r>
          </w:p>
        </w:tc>
      </w:tr>
      <w:tr w:rsidR="00415C43" w:rsidRPr="00CA5330" w:rsidTr="009848F3">
        <w:tc>
          <w:tcPr>
            <w:tcW w:w="3794" w:type="dxa"/>
          </w:tcPr>
          <w:p w:rsidR="00415C43" w:rsidRPr="00CA5330" w:rsidRDefault="00F74FD1"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32012R0966</w:t>
            </w:r>
          </w:p>
        </w:tc>
        <w:tc>
          <w:tcPr>
            <w:tcW w:w="10350" w:type="dxa"/>
          </w:tcPr>
          <w:p w:rsidR="00415C43" w:rsidRPr="00CA5330" w:rsidRDefault="00B03277"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Nařízení (EU, Euratom) č. 966/2012 Evropského parlamentu a Rady ze dne 25. října 2012, kterým se stanoví finanční pravidla o souhrnném rozpočtu Unie a o zrušení nařízení Rady (ES, Euratom) č. 1605/2002</w:t>
            </w:r>
          </w:p>
        </w:tc>
      </w:tr>
      <w:tr w:rsidR="009848F3" w:rsidRPr="00CA5330" w:rsidTr="009848F3">
        <w:tc>
          <w:tcPr>
            <w:tcW w:w="3794" w:type="dxa"/>
          </w:tcPr>
          <w:p w:rsidR="009848F3" w:rsidRPr="00CA5330" w:rsidRDefault="009848F3"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32013R0883</w:t>
            </w:r>
          </w:p>
        </w:tc>
        <w:tc>
          <w:tcPr>
            <w:tcW w:w="10350" w:type="dxa"/>
          </w:tcPr>
          <w:p w:rsidR="009848F3" w:rsidRPr="00CA5330" w:rsidRDefault="00B03277"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Nařízení Evropského parlamentu a Rady (EU, Euratom) č. 883/2013 ze dne 11. září 2013 o vyšetřování prováděném Evropským úřadem pro boj proti podvodům (OLAF) a o zrušení nařízení Evropského parlamentu a Rady (ES) č. 1073/1999 a nařízení Rady (Euratom) č. 1074/1999</w:t>
            </w:r>
          </w:p>
        </w:tc>
      </w:tr>
      <w:tr w:rsidR="009848F3" w:rsidRPr="00CA5330" w:rsidTr="009848F3">
        <w:tc>
          <w:tcPr>
            <w:tcW w:w="3794" w:type="dxa"/>
          </w:tcPr>
          <w:p w:rsidR="009848F3" w:rsidRPr="00CA5330" w:rsidRDefault="009848F3"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32013R1303</w:t>
            </w:r>
          </w:p>
        </w:tc>
        <w:tc>
          <w:tcPr>
            <w:tcW w:w="10350" w:type="dxa"/>
          </w:tcPr>
          <w:p w:rsidR="009848F3" w:rsidRPr="00CA5330" w:rsidRDefault="00B03277"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tc>
      </w:tr>
      <w:tr w:rsidR="009848F3" w:rsidRPr="00CA5330" w:rsidTr="009848F3">
        <w:tc>
          <w:tcPr>
            <w:tcW w:w="3794" w:type="dxa"/>
          </w:tcPr>
          <w:p w:rsidR="009848F3" w:rsidRPr="00CA5330" w:rsidRDefault="009848F3"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32014R0480</w:t>
            </w:r>
          </w:p>
        </w:tc>
        <w:tc>
          <w:tcPr>
            <w:tcW w:w="10350" w:type="dxa"/>
          </w:tcPr>
          <w:p w:rsidR="009848F3" w:rsidRPr="00CA5330" w:rsidRDefault="00B03277"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Nařízení Komise v přenesené pravomoci (EU) č. 480/2014 ze dne 3. března 2014 , kterým se doplňuje nařízení Evropského parlamentu a Rady (EU) č. 1303/2013 o společných ustanoveních o Evropském fondu pro regionální rozvoj, Evropském sociálním fondu, Fondu soudržnosti, Evropském zemědělském fondu pro rozvoj venkova a Evropském námořním a rybářském fondu a o obecných ustanoveních o Evropském fondu pro regionální rozvoj, Evropském sociálním fondu, Fondu soudržnosti a Evropském námořním a rybářském fondu</w:t>
            </w:r>
          </w:p>
        </w:tc>
      </w:tr>
      <w:tr w:rsidR="009848F3" w:rsidRPr="00CA5330" w:rsidTr="009848F3">
        <w:tc>
          <w:tcPr>
            <w:tcW w:w="3794" w:type="dxa"/>
          </w:tcPr>
          <w:p w:rsidR="009848F3" w:rsidRPr="00CA5330" w:rsidRDefault="009848F3"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32011L0085</w:t>
            </w:r>
          </w:p>
        </w:tc>
        <w:tc>
          <w:tcPr>
            <w:tcW w:w="10350" w:type="dxa"/>
          </w:tcPr>
          <w:p w:rsidR="009848F3" w:rsidRPr="00CA5330" w:rsidRDefault="00B03277"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Směrnice Rady 2011/85/EU ze dne 8. listopadu 2011 o požadavcích na rozpočtové rámce členských států</w:t>
            </w:r>
          </w:p>
        </w:tc>
      </w:tr>
      <w:tr w:rsidR="00506E7B" w:rsidRPr="00CA5330" w:rsidTr="009848F3">
        <w:tc>
          <w:tcPr>
            <w:tcW w:w="3794" w:type="dxa"/>
          </w:tcPr>
          <w:p w:rsidR="00506E7B" w:rsidRPr="00CA5330" w:rsidRDefault="00506E7B"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32012R1268</w:t>
            </w:r>
          </w:p>
        </w:tc>
        <w:tc>
          <w:tcPr>
            <w:tcW w:w="10350" w:type="dxa"/>
          </w:tcPr>
          <w:p w:rsidR="00506E7B" w:rsidRPr="00CA5330" w:rsidRDefault="00506E7B" w:rsidP="00105309">
            <w:pPr>
              <w:ind w:left="122"/>
              <w:rPr>
                <w:rFonts w:ascii="Times New Roman" w:eastAsia="Times New Roman" w:hAnsi="Times New Roman" w:cs="Times New Roman"/>
                <w:bCs/>
                <w:noProof/>
                <w:lang w:eastAsia="cs-CZ"/>
              </w:rPr>
            </w:pPr>
            <w:r w:rsidRPr="00CA5330">
              <w:rPr>
                <w:rFonts w:ascii="Times New Roman" w:eastAsia="Times New Roman" w:hAnsi="Times New Roman" w:cs="Times New Roman"/>
                <w:bCs/>
                <w:noProof/>
                <w:lang w:eastAsia="cs-CZ"/>
              </w:rPr>
              <w:t>NAŘÍZENÍ KOMISE V PŘENESENÉ PRAVOMOCI (EU) č. 1268/2012 ze dne 29. října 2012 o prováděcích pravidlech k nařízení Evropského parlamentu a Rady (EU, Euratom) č. 966/2012, kterým se stanoví finanční pravidla o souhrnném rozpočtu Unie</w:t>
            </w:r>
          </w:p>
        </w:tc>
      </w:tr>
    </w:tbl>
    <w:p w:rsidR="00415C43" w:rsidRPr="00CA5330" w:rsidRDefault="00415C43">
      <w:pPr>
        <w:rPr>
          <w:rFonts w:ascii="Times New Roman" w:hAnsi="Times New Roman" w:cs="Times New Roman"/>
        </w:rPr>
      </w:pPr>
    </w:p>
    <w:sectPr w:rsidR="00415C43" w:rsidRPr="00CA5330" w:rsidSect="000323A6">
      <w:footerReference w:type="default" r:id="rId10"/>
      <w:pgSz w:w="16838" w:h="11906" w:orient="landscape"/>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700" w:rsidRDefault="005C6700" w:rsidP="001719F4">
      <w:pPr>
        <w:spacing w:after="0" w:line="240" w:lineRule="auto"/>
      </w:pPr>
      <w:r>
        <w:separator/>
      </w:r>
    </w:p>
  </w:endnote>
  <w:endnote w:type="continuationSeparator" w:id="0">
    <w:p w:rsidR="005C6700" w:rsidRDefault="005C6700" w:rsidP="00171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598004"/>
      <w:docPartObj>
        <w:docPartGallery w:val="Page Numbers (Bottom of Page)"/>
        <w:docPartUnique/>
      </w:docPartObj>
    </w:sdtPr>
    <w:sdtEndPr/>
    <w:sdtContent>
      <w:p w:rsidR="000F7595" w:rsidRDefault="000F7595">
        <w:pPr>
          <w:pStyle w:val="Zpat"/>
          <w:jc w:val="center"/>
        </w:pPr>
        <w:r>
          <w:fldChar w:fldCharType="begin"/>
        </w:r>
        <w:r>
          <w:instrText>PAGE   \* MERGEFORMAT</w:instrText>
        </w:r>
        <w:r>
          <w:fldChar w:fldCharType="separate"/>
        </w:r>
        <w:r w:rsidR="00A32C2C">
          <w:rPr>
            <w:noProof/>
          </w:rPr>
          <w:t>39</w:t>
        </w:r>
        <w:r>
          <w:fldChar w:fldCharType="end"/>
        </w:r>
      </w:p>
    </w:sdtContent>
  </w:sdt>
  <w:p w:rsidR="000F7595" w:rsidRDefault="000F759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700" w:rsidRDefault="005C6700" w:rsidP="001719F4">
      <w:pPr>
        <w:spacing w:after="0" w:line="240" w:lineRule="auto"/>
      </w:pPr>
      <w:r>
        <w:separator/>
      </w:r>
    </w:p>
  </w:footnote>
  <w:footnote w:type="continuationSeparator" w:id="0">
    <w:p w:rsidR="005C6700" w:rsidRDefault="005C6700" w:rsidP="001719F4">
      <w:pPr>
        <w:spacing w:after="0" w:line="240" w:lineRule="auto"/>
      </w:pPr>
      <w:r>
        <w:continuationSeparator/>
      </w:r>
    </w:p>
  </w:footnote>
  <w:footnote w:id="1">
    <w:p w:rsidR="002B6EC5" w:rsidRPr="00A32C2C" w:rsidRDefault="002B6EC5" w:rsidP="002B6EC5">
      <w:pPr>
        <w:pStyle w:val="Textpoznpodarou"/>
        <w:tabs>
          <w:tab w:val="clear" w:pos="425"/>
          <w:tab w:val="left" w:pos="0"/>
        </w:tabs>
        <w:ind w:left="0" w:firstLine="0"/>
      </w:pPr>
      <w:bookmarkStart w:id="0" w:name="_GoBack"/>
      <w:r w:rsidRPr="00A32C2C">
        <w:rPr>
          <w:rStyle w:val="Znakapoznpodarou"/>
        </w:rPr>
        <w:t>1)</w:t>
      </w:r>
      <w:r w:rsidRPr="00A32C2C">
        <w:t xml:space="preserve"> Například nařízení Evropského parlamentu a Rady (EU, Euratom) č. 966/2012 ze dne 25. října 2012, kterým se stanoví finanční pravidla o souhrnném rozpočtu</w:t>
      </w:r>
      <w:r w:rsidR="00F268CD" w:rsidRPr="00A32C2C">
        <w:t xml:space="preserve"> Unie</w:t>
      </w:r>
      <w:r w:rsidRPr="00A32C2C">
        <w:t xml:space="preserve"> a o zrušení nařízení Rady (ES, Euratom) č. 1605/2002, v platném znění,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v platném znění.</w:t>
      </w:r>
    </w:p>
  </w:footnote>
  <w:footnote w:id="2">
    <w:p w:rsidR="002B6EC5" w:rsidRPr="00A32C2C" w:rsidRDefault="002B6EC5" w:rsidP="002B6EC5">
      <w:pPr>
        <w:pStyle w:val="Textpoznpodarou"/>
        <w:tabs>
          <w:tab w:val="clear" w:pos="425"/>
          <w:tab w:val="left" w:pos="0"/>
        </w:tabs>
        <w:ind w:left="0" w:firstLine="0"/>
      </w:pPr>
      <w:r w:rsidRPr="00A32C2C">
        <w:rPr>
          <w:rStyle w:val="Znakapoznpodarou"/>
        </w:rPr>
        <w:t>2)</w:t>
      </w:r>
      <w:r w:rsidRPr="00A32C2C" w:rsidDel="00374CBC">
        <w:t xml:space="preserve"> Čl. 3 odst. 1 směrnice Rady 2011/85/EU ze dne 8. listopadu 2011 o požadavcích na rozpočtové rámce členských států.</w:t>
      </w:r>
    </w:p>
  </w:footnote>
  <w:footnote w:id="3">
    <w:p w:rsidR="00516E17" w:rsidRPr="00A32C2C" w:rsidRDefault="00516E17" w:rsidP="00516E17">
      <w:pPr>
        <w:pStyle w:val="Textpoznpodarou"/>
        <w:ind w:left="0" w:firstLine="0"/>
      </w:pPr>
      <w:r w:rsidRPr="00A32C2C">
        <w:rPr>
          <w:rStyle w:val="Znakapoznpodarou"/>
        </w:rPr>
        <w:t>3)</w:t>
      </w:r>
      <w:r w:rsidRPr="00A32C2C">
        <w:t xml:space="preserve">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nařízení Evropského parlamentu a Rady (EU) č. 129</w:t>
      </w:r>
      <w:r w:rsidR="004573CA" w:rsidRPr="00A32C2C">
        <w:t>9/2013 ze dne 17. prosince 2013</w:t>
      </w:r>
      <w:r w:rsidRPr="00A32C2C">
        <w:t xml:space="preserve"> o zvláštních ustanoveních, týkajících se podpory z Evropského fondu pro regionální rozvoj pro cíl Evropská územní spolupráce, nařízení Evropského parlamentu a Rady (EU) č. 1300</w:t>
      </w:r>
      <w:r w:rsidR="004573CA" w:rsidRPr="00A32C2C">
        <w:t>/2013  ze dne 17. prosince 2013</w:t>
      </w:r>
      <w:r w:rsidRPr="00A32C2C">
        <w:t xml:space="preserve"> o Fondu soudržnosti a </w:t>
      </w:r>
      <w:r w:rsidR="004573CA" w:rsidRPr="00A32C2C">
        <w:t>o zrušení nařízení Rady (ES) č. </w:t>
      </w:r>
      <w:r w:rsidRPr="00A32C2C">
        <w:t>1084/2006, nařízení Evropského parlamentu a Rady (EU) č. 130</w:t>
      </w:r>
      <w:r w:rsidR="0069198D" w:rsidRPr="00A32C2C">
        <w:t>1/2013 ze dne 17. prosince 2013</w:t>
      </w:r>
      <w:r w:rsidRPr="00A32C2C">
        <w:t xml:space="preserve"> o Evropském fondu pro regionální rozvoj, o zvláštních ustanoveních týkajících se cíle Investice pro růst a zaměstnanost a o zrušení nařízení (ES) č. 1080/2006, nařízení Evropského parlamentu a Rady (EU) č. 1302/2013 ze dne 17. prosince 2013, kterým se mění nařízení (ES) č. 1082/2006 o evropském seskupení pro územní spolupráci (ESÚS), pokud jde o vyjasnění, zjednodušení a zlepšení zřizování a fungování takovýchto seskupení, nařízení Evropského parlamentu a Rady (EU) č. 130</w:t>
      </w:r>
      <w:r w:rsidR="0069198D" w:rsidRPr="00A32C2C">
        <w:t>4/2013 ze dne 17. prosince 2013</w:t>
      </w:r>
      <w:r w:rsidRPr="00A32C2C">
        <w:t xml:space="preserve"> o Evropském sociálním fondu a o zrušení nařízení Rady (ES) č. 1081/2006, nařízení Evropského parlamentu a Rady (EU) č. 130</w:t>
      </w:r>
      <w:r w:rsidR="0069198D" w:rsidRPr="00A32C2C">
        <w:t>5/2013 ze dne 17. prosince 2013</w:t>
      </w:r>
      <w:r w:rsidRPr="00A32C2C">
        <w:t xml:space="preserve"> o podpoře pro rozvoj venkova z Evropského zemědělského fondu pro rozvoj venkova (EZFRV) a o zrušení nařízení Rady (ES) č. 1698/2005, nařízení Evropského parlamentu a Rady (EU) č. 130</w:t>
      </w:r>
      <w:r w:rsidR="0069198D" w:rsidRPr="00A32C2C">
        <w:t>6/2013 ze dne 17. prosince 2013 o </w:t>
      </w:r>
      <w:r w:rsidRPr="00A32C2C">
        <w:t>financování, řízení a sledování společné zemědělské politiky a o zrušení nařízení Rady (EHS) č. 352/78, (ES) č. 165/94, (ES) č. 279</w:t>
      </w:r>
      <w:r w:rsidR="007D13DF" w:rsidRPr="00A32C2C">
        <w:t>9/98, (ES) č. 814/2000, (ES) č. </w:t>
      </w:r>
      <w:r w:rsidRPr="00A32C2C">
        <w:t xml:space="preserve">1290/2005 a (ES) č. 485/2008, nařízení Evropského parlamentu a Rady (EU) č. 508/2014 ze dne 15. května 2014 o Evropském námořním a rybářském fondu a o zrušení nařízení Rady (ES) č. 2328/2003, (ES) č. 861/2006, (ES) č. 1198/2006 a (ES) č. 791/2007 a nařízení Evropského parlamentu a Rady (EU) č. 1255/2011, </w:t>
      </w:r>
      <w:r w:rsidR="0044031D" w:rsidRPr="00A32C2C">
        <w:t xml:space="preserve">nařízení EP a Rady (EU) č. 223/2014 ze dne 11. března 2014 o Fondu evropské pomoci nejchudším osobám, </w:t>
      </w:r>
      <w:r w:rsidRPr="00A32C2C">
        <w:t xml:space="preserve">nařízení EP a Rady (EU) č. 514/2014 ze dne 16. dubna 2014 o obecných ustanoveních týkajících se Azylového, migračního a integračního fondu a nástroje pro finanční podporu policejní spolupráce, předcházení trestné činnosti, boje proti </w:t>
      </w:r>
      <w:r w:rsidR="0044031D" w:rsidRPr="00A32C2C">
        <w:t>trestné činnosti a řešení krizí</w:t>
      </w:r>
      <w:r w:rsidRPr="00A32C2C">
        <w:t>.</w:t>
      </w:r>
    </w:p>
  </w:footnote>
  <w:footnote w:id="4">
    <w:p w:rsidR="00CB5C7A" w:rsidRPr="00A32C2C" w:rsidRDefault="00CB5C7A" w:rsidP="00CB5C7A">
      <w:pPr>
        <w:pStyle w:val="Textpoznpodarou"/>
        <w:ind w:left="0" w:firstLine="0"/>
      </w:pPr>
      <w:r w:rsidRPr="00A32C2C">
        <w:rPr>
          <w:rStyle w:val="Znakapoznpodarou"/>
        </w:rPr>
        <w:t>4)</w:t>
      </w:r>
      <w:r w:rsidRPr="00A32C2C">
        <w:t xml:space="preserve"> Například čl. 32 nařízení Komise v přenesené pravomoci (EU) č. 1268/2012 ze dne 29. října 2012 o prováděcích pravidlech k nařízení Evropského parlamentu a Rady (EU, Euratom) č. 966/2012, kterým se stanoví finanční pravidla o souhrnném rozpočtu Unie.</w:t>
      </w:r>
    </w:p>
  </w:footnote>
  <w:footnote w:id="5">
    <w:p w:rsidR="00BA3B14" w:rsidRPr="00A32C2C" w:rsidRDefault="00BA3B14" w:rsidP="00BA3B14">
      <w:pPr>
        <w:pStyle w:val="Textpoznpodarou"/>
        <w:ind w:left="0" w:firstLine="0"/>
      </w:pPr>
      <w:r w:rsidRPr="00A32C2C">
        <w:rPr>
          <w:rStyle w:val="Znakapoznpodarou"/>
        </w:rPr>
        <w:t>5)</w:t>
      </w:r>
      <w:r w:rsidRPr="00A32C2C">
        <w:t xml:space="preserve"> Například čl. 25 nařízení Komise v přenesené pravomoci (EU) č. 480/2014 ze dne 3. března 2014, kterým se doplňuje nařízení Evropského parlamentu a Rady (EU) č. 1303/2013 o společných ustanoveních o Evropském fondu pro regionální rozvoj, Evropském sociálním fondu, Fondu soudržnosti, Evropském zemědělském fondu pro rozvoj venkova a Evropském námořním a rybářském fondu a o obecných ustanoveních o Evropském fondu pro regionální rozvoj, Evropském sociálním fondu, Fondu soudržnosti a Evropském námořním a rybářském fondu, v platném znění.</w:t>
      </w:r>
    </w:p>
  </w:footnote>
  <w:footnote w:id="6">
    <w:p w:rsidR="00B17211" w:rsidRPr="00A32C2C" w:rsidRDefault="00B17211" w:rsidP="00B17211">
      <w:pPr>
        <w:pStyle w:val="Textpoznpodarou"/>
        <w:ind w:left="0" w:firstLine="0"/>
      </w:pPr>
      <w:r w:rsidRPr="00A32C2C">
        <w:rPr>
          <w:rStyle w:val="Znakapoznpodarou"/>
        </w:rPr>
        <w:t>6)</w:t>
      </w:r>
      <w:r w:rsidRPr="00A32C2C">
        <w:t xml:space="preserve"> Čl. 3 odst. 4 nařízení Evropského parlamentu a Rady (EU, Euratom) č. 883/2013 ze dne 11. září 2013 o vyšetřování prováděném Evropským úřadem pro boj proti podvodům (OLAF) a o zrušení nařízení Evropského parlamentu a Rady (ES) č. 1073/1999 a nařízení Rady (Euratom) č. 1074/1999.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D0526"/>
    <w:multiLevelType w:val="hybridMultilevel"/>
    <w:tmpl w:val="CC300836"/>
    <w:lvl w:ilvl="0" w:tplc="6542317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2125048"/>
    <w:multiLevelType w:val="hybridMultilevel"/>
    <w:tmpl w:val="6EA40646"/>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3">
    <w:nsid w:val="6AAF1A1F"/>
    <w:multiLevelType w:val="multilevel"/>
    <w:tmpl w:val="CF24362E"/>
    <w:lvl w:ilvl="0">
      <w:start w:val="1"/>
      <w:numFmt w:val="decimal"/>
      <w:pStyle w:val="Textodstavce"/>
      <w:isLgl/>
      <w:lvlText w:val="(%1)"/>
      <w:lvlJc w:val="left"/>
      <w:pPr>
        <w:tabs>
          <w:tab w:val="num" w:pos="1210"/>
        </w:tabs>
        <w:ind w:left="284" w:firstLine="425"/>
      </w:pPr>
      <w:rPr>
        <w:rFonts w:hint="default"/>
        <w:b w:val="0"/>
      </w:rPr>
    </w:lvl>
    <w:lvl w:ilvl="1">
      <w:start w:val="1"/>
      <w:numFmt w:val="lowerLetter"/>
      <w:pStyle w:val="Textpsmene"/>
      <w:lvlText w:val="%2)"/>
      <w:lvlJc w:val="left"/>
      <w:pPr>
        <w:tabs>
          <w:tab w:val="num" w:pos="425"/>
        </w:tabs>
        <w:ind w:left="425" w:hanging="425"/>
      </w:pPr>
      <w:rPr>
        <w:rFonts w:ascii="Arial" w:eastAsia="Times New Roman" w:hAnsi="Arial" w:cs="Arial" w:hint="default"/>
      </w:rPr>
    </w:lvl>
    <w:lvl w:ilvl="2">
      <w:start w:val="1"/>
      <w:numFmt w:val="decimal"/>
      <w:pStyle w:val="Textbodu"/>
      <w:isLgl/>
      <w:lvlText w:val="%3."/>
      <w:lvlJc w:val="left"/>
      <w:pPr>
        <w:tabs>
          <w:tab w:val="num" w:pos="994"/>
        </w:tabs>
        <w:ind w:left="994" w:hanging="425"/>
      </w:pPr>
      <w:rPr>
        <w:rFonts w:hint="default"/>
      </w:rPr>
    </w:lvl>
    <w:lvl w:ilvl="3">
      <w:start w:val="1"/>
      <w:numFmt w:val="decimal"/>
      <w:lvlText w:val="(%4)"/>
      <w:lvlJc w:val="left"/>
      <w:pPr>
        <w:tabs>
          <w:tab w:val="num" w:pos="1584"/>
        </w:tabs>
        <w:ind w:left="1584" w:hanging="360"/>
      </w:pPr>
      <w:rPr>
        <w:rFonts w:hint="default"/>
      </w:rPr>
    </w:lvl>
    <w:lvl w:ilvl="4">
      <w:start w:val="1"/>
      <w:numFmt w:val="lowerLetter"/>
      <w:lvlText w:val="(%5)"/>
      <w:lvlJc w:val="left"/>
      <w:pPr>
        <w:tabs>
          <w:tab w:val="num" w:pos="1944"/>
        </w:tabs>
        <w:ind w:left="1944" w:hanging="360"/>
      </w:pPr>
      <w:rPr>
        <w:rFonts w:hint="default"/>
      </w:rPr>
    </w:lvl>
    <w:lvl w:ilvl="5">
      <w:start w:val="1"/>
      <w:numFmt w:val="lowerRoman"/>
      <w:lvlText w:val="(%6)"/>
      <w:lvlJc w:val="left"/>
      <w:pPr>
        <w:tabs>
          <w:tab w:val="num" w:pos="2664"/>
        </w:tabs>
        <w:ind w:left="2304" w:hanging="360"/>
      </w:pPr>
      <w:rPr>
        <w:rFonts w:hint="default"/>
      </w:rPr>
    </w:lvl>
    <w:lvl w:ilvl="6">
      <w:start w:val="1"/>
      <w:numFmt w:val="decimal"/>
      <w:lvlText w:val="%7."/>
      <w:lvlJc w:val="left"/>
      <w:pPr>
        <w:tabs>
          <w:tab w:val="num" w:pos="2664"/>
        </w:tabs>
        <w:ind w:left="2664" w:hanging="360"/>
      </w:pPr>
      <w:rPr>
        <w:rFonts w:hint="default"/>
      </w:rPr>
    </w:lvl>
    <w:lvl w:ilvl="7">
      <w:start w:val="1"/>
      <w:numFmt w:val="lowerLetter"/>
      <w:lvlText w:val="%8."/>
      <w:lvlJc w:val="left"/>
      <w:pPr>
        <w:tabs>
          <w:tab w:val="num" w:pos="3024"/>
        </w:tabs>
        <w:ind w:left="3024" w:hanging="360"/>
      </w:pPr>
      <w:rPr>
        <w:rFonts w:hint="default"/>
      </w:rPr>
    </w:lvl>
    <w:lvl w:ilvl="8">
      <w:start w:val="1"/>
      <w:numFmt w:val="lowerRoman"/>
      <w:lvlText w:val="%9."/>
      <w:lvlJc w:val="left"/>
      <w:pPr>
        <w:tabs>
          <w:tab w:val="num" w:pos="3744"/>
        </w:tabs>
        <w:ind w:left="3384" w:hanging="36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0"/>
  </w:num>
  <w:num w:numId="23">
    <w:abstractNumId w:val="1"/>
  </w:num>
  <w:num w:numId="24">
    <w:abstractNumId w:val="3"/>
  </w:num>
  <w:num w:numId="25">
    <w:abstractNumId w:val="3"/>
    <w:lvlOverride w:ilvl="0">
      <w:startOverride w:val="1"/>
    </w:lvlOverride>
    <w:lvlOverride w:ilvl="1">
      <w:startOverride w:val="2"/>
    </w:lvlOverride>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C43"/>
    <w:rsid w:val="00007338"/>
    <w:rsid w:val="00011238"/>
    <w:rsid w:val="00017858"/>
    <w:rsid w:val="000323A6"/>
    <w:rsid w:val="00042645"/>
    <w:rsid w:val="00050B2F"/>
    <w:rsid w:val="000544F2"/>
    <w:rsid w:val="0006560A"/>
    <w:rsid w:val="0007529C"/>
    <w:rsid w:val="00076834"/>
    <w:rsid w:val="0009270D"/>
    <w:rsid w:val="0009518C"/>
    <w:rsid w:val="000B3537"/>
    <w:rsid w:val="000C608F"/>
    <w:rsid w:val="000C627B"/>
    <w:rsid w:val="000D7EE2"/>
    <w:rsid w:val="000E3F0C"/>
    <w:rsid w:val="000F43A1"/>
    <w:rsid w:val="000F6979"/>
    <w:rsid w:val="000F7595"/>
    <w:rsid w:val="00105309"/>
    <w:rsid w:val="00122558"/>
    <w:rsid w:val="0012327E"/>
    <w:rsid w:val="001256AD"/>
    <w:rsid w:val="00134A7E"/>
    <w:rsid w:val="00135557"/>
    <w:rsid w:val="00142717"/>
    <w:rsid w:val="001506FD"/>
    <w:rsid w:val="001518EA"/>
    <w:rsid w:val="001719F4"/>
    <w:rsid w:val="00174ED5"/>
    <w:rsid w:val="00181565"/>
    <w:rsid w:val="00192D49"/>
    <w:rsid w:val="001A0DFF"/>
    <w:rsid w:val="001A1153"/>
    <w:rsid w:val="001A2867"/>
    <w:rsid w:val="001A65CC"/>
    <w:rsid w:val="001B34D7"/>
    <w:rsid w:val="001C34FE"/>
    <w:rsid w:val="001C4671"/>
    <w:rsid w:val="001C6E8D"/>
    <w:rsid w:val="001D51FE"/>
    <w:rsid w:val="001E14D1"/>
    <w:rsid w:val="0021597A"/>
    <w:rsid w:val="002235A5"/>
    <w:rsid w:val="002447FE"/>
    <w:rsid w:val="002515CE"/>
    <w:rsid w:val="0026201A"/>
    <w:rsid w:val="00264BB2"/>
    <w:rsid w:val="0028179E"/>
    <w:rsid w:val="002908C6"/>
    <w:rsid w:val="002A2A01"/>
    <w:rsid w:val="002B43E5"/>
    <w:rsid w:val="002B6EC5"/>
    <w:rsid w:val="002D14C1"/>
    <w:rsid w:val="002D2A46"/>
    <w:rsid w:val="002E1017"/>
    <w:rsid w:val="002F52B7"/>
    <w:rsid w:val="00304AE1"/>
    <w:rsid w:val="00304E85"/>
    <w:rsid w:val="00305ABC"/>
    <w:rsid w:val="003102EA"/>
    <w:rsid w:val="00316330"/>
    <w:rsid w:val="00322E13"/>
    <w:rsid w:val="00327AFF"/>
    <w:rsid w:val="00344DCC"/>
    <w:rsid w:val="00345C4A"/>
    <w:rsid w:val="00347F2A"/>
    <w:rsid w:val="00357868"/>
    <w:rsid w:val="00373FD5"/>
    <w:rsid w:val="00377800"/>
    <w:rsid w:val="003A2441"/>
    <w:rsid w:val="003A2A50"/>
    <w:rsid w:val="003A3A44"/>
    <w:rsid w:val="003A7B7A"/>
    <w:rsid w:val="003B69D7"/>
    <w:rsid w:val="003E54BE"/>
    <w:rsid w:val="003E6724"/>
    <w:rsid w:val="003F1F14"/>
    <w:rsid w:val="003F2CCC"/>
    <w:rsid w:val="003F3495"/>
    <w:rsid w:val="00410AC0"/>
    <w:rsid w:val="004154C4"/>
    <w:rsid w:val="00415C43"/>
    <w:rsid w:val="00417983"/>
    <w:rsid w:val="00417999"/>
    <w:rsid w:val="00433653"/>
    <w:rsid w:val="004354DE"/>
    <w:rsid w:val="0043692C"/>
    <w:rsid w:val="0044031D"/>
    <w:rsid w:val="00442D06"/>
    <w:rsid w:val="00456001"/>
    <w:rsid w:val="004573CA"/>
    <w:rsid w:val="00473F6D"/>
    <w:rsid w:val="00480A6B"/>
    <w:rsid w:val="0048723C"/>
    <w:rsid w:val="004A2AED"/>
    <w:rsid w:val="004A73AB"/>
    <w:rsid w:val="004B2912"/>
    <w:rsid w:val="004C2583"/>
    <w:rsid w:val="004C77C0"/>
    <w:rsid w:val="004D4D31"/>
    <w:rsid w:val="004D52BB"/>
    <w:rsid w:val="004E2868"/>
    <w:rsid w:val="004E3444"/>
    <w:rsid w:val="004E6076"/>
    <w:rsid w:val="00506E7B"/>
    <w:rsid w:val="00510A0B"/>
    <w:rsid w:val="00516E17"/>
    <w:rsid w:val="005227C3"/>
    <w:rsid w:val="00535D4E"/>
    <w:rsid w:val="0054144F"/>
    <w:rsid w:val="005427D1"/>
    <w:rsid w:val="005429D3"/>
    <w:rsid w:val="005477BC"/>
    <w:rsid w:val="00564923"/>
    <w:rsid w:val="00564E81"/>
    <w:rsid w:val="00583165"/>
    <w:rsid w:val="00594005"/>
    <w:rsid w:val="00597141"/>
    <w:rsid w:val="005A0A5A"/>
    <w:rsid w:val="005B2CCE"/>
    <w:rsid w:val="005C2D67"/>
    <w:rsid w:val="005C6700"/>
    <w:rsid w:val="005D4F8E"/>
    <w:rsid w:val="005D526E"/>
    <w:rsid w:val="005F3999"/>
    <w:rsid w:val="005F7383"/>
    <w:rsid w:val="00600CA8"/>
    <w:rsid w:val="00607802"/>
    <w:rsid w:val="00620475"/>
    <w:rsid w:val="00622074"/>
    <w:rsid w:val="006351B2"/>
    <w:rsid w:val="00637043"/>
    <w:rsid w:val="006542FF"/>
    <w:rsid w:val="00665D18"/>
    <w:rsid w:val="00670F55"/>
    <w:rsid w:val="0067245E"/>
    <w:rsid w:val="0069198D"/>
    <w:rsid w:val="00691F16"/>
    <w:rsid w:val="006B06E0"/>
    <w:rsid w:val="006B13BD"/>
    <w:rsid w:val="006C3A2C"/>
    <w:rsid w:val="006C42D2"/>
    <w:rsid w:val="006D13C4"/>
    <w:rsid w:val="006D40F4"/>
    <w:rsid w:val="006E3D95"/>
    <w:rsid w:val="006F297E"/>
    <w:rsid w:val="00702A4D"/>
    <w:rsid w:val="0071644A"/>
    <w:rsid w:val="00740070"/>
    <w:rsid w:val="0074028A"/>
    <w:rsid w:val="00760D0D"/>
    <w:rsid w:val="007624F6"/>
    <w:rsid w:val="00771945"/>
    <w:rsid w:val="007770E6"/>
    <w:rsid w:val="0077745D"/>
    <w:rsid w:val="0078312F"/>
    <w:rsid w:val="00784973"/>
    <w:rsid w:val="00793958"/>
    <w:rsid w:val="007A6681"/>
    <w:rsid w:val="007B412A"/>
    <w:rsid w:val="007B4D34"/>
    <w:rsid w:val="007B5892"/>
    <w:rsid w:val="007B65DD"/>
    <w:rsid w:val="007C0292"/>
    <w:rsid w:val="007C48CD"/>
    <w:rsid w:val="007D011E"/>
    <w:rsid w:val="007D13DF"/>
    <w:rsid w:val="007F1BAB"/>
    <w:rsid w:val="007F3BF2"/>
    <w:rsid w:val="00803B63"/>
    <w:rsid w:val="008147E7"/>
    <w:rsid w:val="00830248"/>
    <w:rsid w:val="00831443"/>
    <w:rsid w:val="00834F82"/>
    <w:rsid w:val="008358D4"/>
    <w:rsid w:val="00845F98"/>
    <w:rsid w:val="008607E6"/>
    <w:rsid w:val="00864C09"/>
    <w:rsid w:val="00866699"/>
    <w:rsid w:val="00871865"/>
    <w:rsid w:val="00885F89"/>
    <w:rsid w:val="00897B73"/>
    <w:rsid w:val="008A482C"/>
    <w:rsid w:val="008B57B6"/>
    <w:rsid w:val="008B5C0A"/>
    <w:rsid w:val="008C0271"/>
    <w:rsid w:val="008C119E"/>
    <w:rsid w:val="008C128B"/>
    <w:rsid w:val="008C5D9B"/>
    <w:rsid w:val="008D0C9A"/>
    <w:rsid w:val="008F317A"/>
    <w:rsid w:val="00907D3A"/>
    <w:rsid w:val="00923899"/>
    <w:rsid w:val="00925E78"/>
    <w:rsid w:val="0092657F"/>
    <w:rsid w:val="009346F6"/>
    <w:rsid w:val="00946C6A"/>
    <w:rsid w:val="00953731"/>
    <w:rsid w:val="0096714D"/>
    <w:rsid w:val="00970C87"/>
    <w:rsid w:val="009848F3"/>
    <w:rsid w:val="00986FF6"/>
    <w:rsid w:val="009A075C"/>
    <w:rsid w:val="009B0D37"/>
    <w:rsid w:val="009B22C5"/>
    <w:rsid w:val="009B5D66"/>
    <w:rsid w:val="009C18E3"/>
    <w:rsid w:val="009E11CE"/>
    <w:rsid w:val="009E2003"/>
    <w:rsid w:val="009F2CE7"/>
    <w:rsid w:val="009F2EE2"/>
    <w:rsid w:val="009F3ECD"/>
    <w:rsid w:val="00A12C20"/>
    <w:rsid w:val="00A178CF"/>
    <w:rsid w:val="00A22E0B"/>
    <w:rsid w:val="00A32C2C"/>
    <w:rsid w:val="00A53AFD"/>
    <w:rsid w:val="00A617F2"/>
    <w:rsid w:val="00A67A04"/>
    <w:rsid w:val="00A8501F"/>
    <w:rsid w:val="00A95A95"/>
    <w:rsid w:val="00A96957"/>
    <w:rsid w:val="00A97C5A"/>
    <w:rsid w:val="00AA0DA4"/>
    <w:rsid w:val="00AC1B1C"/>
    <w:rsid w:val="00AC5AF2"/>
    <w:rsid w:val="00B03277"/>
    <w:rsid w:val="00B03843"/>
    <w:rsid w:val="00B06991"/>
    <w:rsid w:val="00B17211"/>
    <w:rsid w:val="00B32BBB"/>
    <w:rsid w:val="00B32C82"/>
    <w:rsid w:val="00B373EA"/>
    <w:rsid w:val="00B419CF"/>
    <w:rsid w:val="00B551CF"/>
    <w:rsid w:val="00B75CDF"/>
    <w:rsid w:val="00BA0F48"/>
    <w:rsid w:val="00BA3B14"/>
    <w:rsid w:val="00BA6D23"/>
    <w:rsid w:val="00BB72B7"/>
    <w:rsid w:val="00BC344D"/>
    <w:rsid w:val="00BC3C60"/>
    <w:rsid w:val="00BC6972"/>
    <w:rsid w:val="00BD0208"/>
    <w:rsid w:val="00BD2DA6"/>
    <w:rsid w:val="00BD4181"/>
    <w:rsid w:val="00BE58CA"/>
    <w:rsid w:val="00BF0034"/>
    <w:rsid w:val="00BF012E"/>
    <w:rsid w:val="00BF068B"/>
    <w:rsid w:val="00BF5B62"/>
    <w:rsid w:val="00C11557"/>
    <w:rsid w:val="00C16DBC"/>
    <w:rsid w:val="00C2272D"/>
    <w:rsid w:val="00C24CE7"/>
    <w:rsid w:val="00C36D7B"/>
    <w:rsid w:val="00C43382"/>
    <w:rsid w:val="00C54AAC"/>
    <w:rsid w:val="00C6626D"/>
    <w:rsid w:val="00CA5330"/>
    <w:rsid w:val="00CB5C7A"/>
    <w:rsid w:val="00CB7570"/>
    <w:rsid w:val="00CC4EA8"/>
    <w:rsid w:val="00CE3753"/>
    <w:rsid w:val="00CE737B"/>
    <w:rsid w:val="00D070BB"/>
    <w:rsid w:val="00D10601"/>
    <w:rsid w:val="00D129D4"/>
    <w:rsid w:val="00D31D7F"/>
    <w:rsid w:val="00D47543"/>
    <w:rsid w:val="00D57738"/>
    <w:rsid w:val="00D57B73"/>
    <w:rsid w:val="00D61953"/>
    <w:rsid w:val="00D63C8F"/>
    <w:rsid w:val="00D71B71"/>
    <w:rsid w:val="00D724A8"/>
    <w:rsid w:val="00D9538A"/>
    <w:rsid w:val="00DA29F8"/>
    <w:rsid w:val="00DC26BE"/>
    <w:rsid w:val="00DC33D7"/>
    <w:rsid w:val="00DE168A"/>
    <w:rsid w:val="00DE1927"/>
    <w:rsid w:val="00DE4746"/>
    <w:rsid w:val="00DF3030"/>
    <w:rsid w:val="00DF6778"/>
    <w:rsid w:val="00DF7532"/>
    <w:rsid w:val="00E01A42"/>
    <w:rsid w:val="00E01AD5"/>
    <w:rsid w:val="00E02B3C"/>
    <w:rsid w:val="00E109E6"/>
    <w:rsid w:val="00E1470D"/>
    <w:rsid w:val="00E155D5"/>
    <w:rsid w:val="00E159E4"/>
    <w:rsid w:val="00E2321D"/>
    <w:rsid w:val="00E34C58"/>
    <w:rsid w:val="00E350D0"/>
    <w:rsid w:val="00E36CE5"/>
    <w:rsid w:val="00E74A0D"/>
    <w:rsid w:val="00E76238"/>
    <w:rsid w:val="00E83CA5"/>
    <w:rsid w:val="00E94EE8"/>
    <w:rsid w:val="00E96619"/>
    <w:rsid w:val="00E96AF3"/>
    <w:rsid w:val="00E97C65"/>
    <w:rsid w:val="00EA013C"/>
    <w:rsid w:val="00EA4EB1"/>
    <w:rsid w:val="00ED181D"/>
    <w:rsid w:val="00ED4147"/>
    <w:rsid w:val="00EE0885"/>
    <w:rsid w:val="00EE1C27"/>
    <w:rsid w:val="00EE2E3D"/>
    <w:rsid w:val="00EE43BE"/>
    <w:rsid w:val="00F1322B"/>
    <w:rsid w:val="00F172ED"/>
    <w:rsid w:val="00F20A4C"/>
    <w:rsid w:val="00F268CD"/>
    <w:rsid w:val="00F30407"/>
    <w:rsid w:val="00F34044"/>
    <w:rsid w:val="00F4124F"/>
    <w:rsid w:val="00F51FC7"/>
    <w:rsid w:val="00F7309B"/>
    <w:rsid w:val="00F74FD1"/>
    <w:rsid w:val="00F84B6D"/>
    <w:rsid w:val="00FB1041"/>
    <w:rsid w:val="00FB3A13"/>
    <w:rsid w:val="00FB3BC3"/>
    <w:rsid w:val="00FB73DB"/>
    <w:rsid w:val="00FD669E"/>
    <w:rsid w:val="00FD67B8"/>
    <w:rsid w:val="00FE4B2D"/>
    <w:rsid w:val="00FE50A5"/>
    <w:rsid w:val="00FF08C5"/>
    <w:rsid w:val="00FF49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415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u">
    <w:name w:val="Text bodu"/>
    <w:basedOn w:val="Normln"/>
    <w:rsid w:val="00597141"/>
    <w:pPr>
      <w:numPr>
        <w:ilvl w:val="2"/>
        <w:numId w:val="1"/>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link w:val="TextpsmeneChar"/>
    <w:rsid w:val="00597141"/>
    <w:pPr>
      <w:numPr>
        <w:ilvl w:val="1"/>
        <w:numId w:val="1"/>
      </w:numPr>
      <w:spacing w:after="0" w:line="240" w:lineRule="auto"/>
      <w:jc w:val="both"/>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link w:val="TextodstavceChar"/>
    <w:rsid w:val="00597141"/>
    <w:pPr>
      <w:numPr>
        <w:numId w:val="1"/>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character" w:customStyle="1" w:styleId="TextpsmeneChar">
    <w:name w:val="Text písmene Char"/>
    <w:link w:val="Textpsmene"/>
    <w:rsid w:val="00597141"/>
    <w:rPr>
      <w:rFonts w:ascii="Times New Roman" w:eastAsia="Times New Roman" w:hAnsi="Times New Roman" w:cs="Times New Roman"/>
      <w:sz w:val="24"/>
      <w:szCs w:val="24"/>
      <w:lang w:eastAsia="cs-CZ"/>
    </w:rPr>
  </w:style>
  <w:style w:type="paragraph" w:customStyle="1" w:styleId="Textlnku">
    <w:name w:val="Text článku"/>
    <w:basedOn w:val="Normln"/>
    <w:uiPriority w:val="99"/>
    <w:rsid w:val="009346F6"/>
    <w:pPr>
      <w:spacing w:before="240" w:after="0" w:line="240" w:lineRule="auto"/>
      <w:ind w:firstLine="425"/>
      <w:jc w:val="both"/>
      <w:outlineLvl w:val="5"/>
    </w:pPr>
    <w:rPr>
      <w:rFonts w:ascii="Times New Roman" w:eastAsia="Times New Roman" w:hAnsi="Times New Roman" w:cs="Times New Roman"/>
      <w:sz w:val="24"/>
      <w:szCs w:val="24"/>
      <w:lang w:eastAsia="cs-CZ"/>
    </w:rPr>
  </w:style>
  <w:style w:type="paragraph" w:customStyle="1" w:styleId="Nadpisparagrafu">
    <w:name w:val="Nadpis paragrafu"/>
    <w:basedOn w:val="Normln"/>
    <w:next w:val="Textodstavce"/>
    <w:rsid w:val="009346F6"/>
    <w:pPr>
      <w:keepNext/>
      <w:keepLines/>
      <w:spacing w:before="240" w:after="0" w:line="240" w:lineRule="auto"/>
      <w:jc w:val="center"/>
      <w:outlineLvl w:val="5"/>
    </w:pPr>
    <w:rPr>
      <w:rFonts w:ascii="Times New Roman" w:eastAsia="Times New Roman" w:hAnsi="Times New Roman" w:cs="Times New Roman"/>
      <w:b/>
      <w:bCs/>
      <w:sz w:val="24"/>
      <w:szCs w:val="24"/>
      <w:lang w:eastAsia="cs-CZ"/>
    </w:rPr>
  </w:style>
  <w:style w:type="paragraph" w:customStyle="1" w:styleId="Paragraf">
    <w:name w:val="Paragraf"/>
    <w:basedOn w:val="Normln"/>
    <w:next w:val="Textodstavce"/>
    <w:uiPriority w:val="99"/>
    <w:rsid w:val="001518EA"/>
    <w:pPr>
      <w:keepNext/>
      <w:keepLines/>
      <w:spacing w:before="240" w:after="0" w:line="240" w:lineRule="auto"/>
      <w:jc w:val="center"/>
      <w:outlineLvl w:val="5"/>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518E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518EA"/>
    <w:rPr>
      <w:rFonts w:ascii="Tahoma" w:hAnsi="Tahoma" w:cs="Tahoma"/>
      <w:sz w:val="16"/>
      <w:szCs w:val="16"/>
    </w:rPr>
  </w:style>
  <w:style w:type="paragraph" w:customStyle="1" w:styleId="Dl">
    <w:name w:val="Díl"/>
    <w:basedOn w:val="Normln"/>
    <w:next w:val="Normln"/>
    <w:uiPriority w:val="99"/>
    <w:rsid w:val="001518EA"/>
    <w:pPr>
      <w:keepNext/>
      <w:keepLines/>
      <w:spacing w:before="240" w:after="0" w:line="240" w:lineRule="auto"/>
      <w:jc w:val="center"/>
      <w:outlineLvl w:val="3"/>
    </w:pPr>
    <w:rPr>
      <w:rFonts w:ascii="Times New Roman" w:eastAsia="Times New Roman" w:hAnsi="Times New Roman" w:cs="Times New Roman"/>
      <w:sz w:val="24"/>
      <w:szCs w:val="24"/>
      <w:lang w:eastAsia="cs-CZ"/>
    </w:rPr>
  </w:style>
  <w:style w:type="character" w:styleId="Odkaznakoment">
    <w:name w:val="annotation reference"/>
    <w:uiPriority w:val="99"/>
    <w:unhideWhenUsed/>
    <w:rsid w:val="008A482C"/>
    <w:rPr>
      <w:sz w:val="16"/>
      <w:szCs w:val="16"/>
    </w:rPr>
  </w:style>
  <w:style w:type="paragraph" w:styleId="Textkomente">
    <w:name w:val="annotation text"/>
    <w:basedOn w:val="Normln"/>
    <w:link w:val="TextkomenteChar"/>
    <w:uiPriority w:val="99"/>
    <w:unhideWhenUsed/>
    <w:rsid w:val="008A482C"/>
    <w:pPr>
      <w:spacing w:after="0" w:line="240" w:lineRule="auto"/>
      <w:jc w:val="both"/>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8A482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01AD5"/>
    <w:pPr>
      <w:spacing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E01AD5"/>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1719F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719F4"/>
  </w:style>
  <w:style w:type="paragraph" w:styleId="Zpat">
    <w:name w:val="footer"/>
    <w:basedOn w:val="Normln"/>
    <w:link w:val="ZpatChar"/>
    <w:uiPriority w:val="99"/>
    <w:unhideWhenUsed/>
    <w:rsid w:val="001719F4"/>
    <w:pPr>
      <w:tabs>
        <w:tab w:val="center" w:pos="4536"/>
        <w:tab w:val="right" w:pos="9072"/>
      </w:tabs>
      <w:spacing w:after="0" w:line="240" w:lineRule="auto"/>
    </w:pPr>
  </w:style>
  <w:style w:type="character" w:customStyle="1" w:styleId="ZpatChar">
    <w:name w:val="Zápatí Char"/>
    <w:basedOn w:val="Standardnpsmoodstavce"/>
    <w:link w:val="Zpat"/>
    <w:uiPriority w:val="99"/>
    <w:rsid w:val="001719F4"/>
  </w:style>
  <w:style w:type="paragraph" w:customStyle="1" w:styleId="Textparagrafu">
    <w:name w:val="Text paragrafu"/>
    <w:basedOn w:val="Normln"/>
    <w:uiPriority w:val="99"/>
    <w:rsid w:val="00017858"/>
    <w:pPr>
      <w:spacing w:before="240" w:after="0" w:line="240" w:lineRule="auto"/>
      <w:ind w:firstLine="425"/>
      <w:jc w:val="both"/>
      <w:outlineLvl w:val="5"/>
    </w:pPr>
    <w:rPr>
      <w:rFonts w:ascii="Times New Roman" w:eastAsia="Times New Roman" w:hAnsi="Times New Roman" w:cs="Times New Roman"/>
      <w:sz w:val="24"/>
      <w:szCs w:val="24"/>
      <w:lang w:eastAsia="cs-CZ"/>
    </w:rPr>
  </w:style>
  <w:style w:type="paragraph" w:customStyle="1" w:styleId="Novelizanbodvpozmn">
    <w:name w:val="Novelizační bod v pozm.n."/>
    <w:basedOn w:val="Normln"/>
    <w:next w:val="Normln"/>
    <w:uiPriority w:val="99"/>
    <w:rsid w:val="00017858"/>
    <w:pPr>
      <w:keepNext/>
      <w:keepLines/>
      <w:numPr>
        <w:numId w:val="3"/>
      </w:numPr>
      <w:tabs>
        <w:tab w:val="left" w:pos="1418"/>
      </w:tabs>
      <w:spacing w:before="240" w:after="0" w:line="240" w:lineRule="auto"/>
      <w:ind w:left="1418" w:hanging="567"/>
      <w:jc w:val="both"/>
    </w:pPr>
    <w:rPr>
      <w:rFonts w:ascii="Times New Roman" w:eastAsia="Times New Roman" w:hAnsi="Times New Roman" w:cs="Times New Roman"/>
      <w:sz w:val="24"/>
      <w:szCs w:val="24"/>
      <w:lang w:eastAsia="cs-CZ"/>
    </w:rPr>
  </w:style>
  <w:style w:type="paragraph" w:styleId="Textpoznpodarou">
    <w:name w:val="footnote text"/>
    <w:aliases w:val="Footnote Text Char1,Footnote Text Char Char,Footnote Text Char3 Char Char,Footnote Text Char2 Char Char Char,Footnote Text Char1 Char Char Char Char,Footnote Text Char Char Char Char Char Char,Footnote Text Char"/>
    <w:basedOn w:val="Normln"/>
    <w:link w:val="TextpoznpodarouChar"/>
    <w:rsid w:val="00C43382"/>
    <w:pPr>
      <w:tabs>
        <w:tab w:val="left" w:pos="425"/>
      </w:tabs>
      <w:spacing w:after="0" w:line="240" w:lineRule="auto"/>
      <w:ind w:left="425" w:hanging="425"/>
      <w:jc w:val="both"/>
    </w:pPr>
    <w:rPr>
      <w:rFonts w:ascii="Times New Roman" w:eastAsia="Times New Roman" w:hAnsi="Times New Roman" w:cs="Times New Roman"/>
      <w:sz w:val="20"/>
      <w:szCs w:val="20"/>
      <w:lang w:eastAsia="cs-CZ"/>
    </w:rPr>
  </w:style>
  <w:style w:type="character" w:customStyle="1" w:styleId="TextpoznpodarouChar">
    <w:name w:val="Text pozn. pod čarou Char"/>
    <w:aliases w:val="Footnote Text Char1 Char,Footnote Text Char Char Char,Footnote Text Char3 Char Char Char,Footnote Text Char2 Char Char Char Char,Footnote Text Char1 Char Char Char Char Char,Footnote Text Char Char Char Char Char Char Char"/>
    <w:basedOn w:val="Standardnpsmoodstavce"/>
    <w:link w:val="Textpoznpodarou"/>
    <w:uiPriority w:val="99"/>
    <w:rsid w:val="00C43382"/>
    <w:rPr>
      <w:rFonts w:ascii="Times New Roman" w:eastAsia="Times New Roman" w:hAnsi="Times New Roman" w:cs="Times New Roman"/>
      <w:sz w:val="20"/>
      <w:szCs w:val="20"/>
      <w:lang w:eastAsia="cs-CZ"/>
    </w:rPr>
  </w:style>
  <w:style w:type="character" w:styleId="Znakapoznpodarou">
    <w:name w:val="footnote reference"/>
    <w:rsid w:val="00C43382"/>
    <w:rPr>
      <w:vertAlign w:val="superscript"/>
    </w:rPr>
  </w:style>
  <w:style w:type="paragraph" w:customStyle="1" w:styleId="CM1">
    <w:name w:val="CM1"/>
    <w:basedOn w:val="Normln"/>
    <w:next w:val="Normln"/>
    <w:uiPriority w:val="99"/>
    <w:rsid w:val="00DE1927"/>
    <w:pPr>
      <w:autoSpaceDE w:val="0"/>
      <w:autoSpaceDN w:val="0"/>
      <w:adjustRightInd w:val="0"/>
      <w:spacing w:after="0" w:line="240" w:lineRule="auto"/>
    </w:pPr>
    <w:rPr>
      <w:rFonts w:ascii="EUAlbertina" w:hAnsi="EUAlbertina"/>
      <w:sz w:val="24"/>
      <w:szCs w:val="24"/>
    </w:rPr>
  </w:style>
  <w:style w:type="paragraph" w:customStyle="1" w:styleId="CM3">
    <w:name w:val="CM3"/>
    <w:basedOn w:val="Normln"/>
    <w:next w:val="Normln"/>
    <w:uiPriority w:val="99"/>
    <w:rsid w:val="00DE1927"/>
    <w:pPr>
      <w:autoSpaceDE w:val="0"/>
      <w:autoSpaceDN w:val="0"/>
      <w:adjustRightInd w:val="0"/>
      <w:spacing w:after="0" w:line="240" w:lineRule="auto"/>
    </w:pPr>
    <w:rPr>
      <w:rFonts w:ascii="EUAlbertina" w:hAnsi="EUAlbertina"/>
      <w:sz w:val="24"/>
      <w:szCs w:val="24"/>
    </w:rPr>
  </w:style>
  <w:style w:type="paragraph" w:customStyle="1" w:styleId="CM4">
    <w:name w:val="CM4"/>
    <w:basedOn w:val="Normln"/>
    <w:next w:val="Normln"/>
    <w:uiPriority w:val="99"/>
    <w:rsid w:val="00DE1927"/>
    <w:pPr>
      <w:autoSpaceDE w:val="0"/>
      <w:autoSpaceDN w:val="0"/>
      <w:adjustRightInd w:val="0"/>
      <w:spacing w:after="0" w:line="240" w:lineRule="auto"/>
    </w:pPr>
    <w:rPr>
      <w:rFonts w:ascii="EUAlbertina" w:hAnsi="EUAlbertina"/>
      <w:sz w:val="24"/>
      <w:szCs w:val="24"/>
    </w:rPr>
  </w:style>
  <w:style w:type="paragraph" w:customStyle="1" w:styleId="Normln1">
    <w:name w:val="Normální1"/>
    <w:basedOn w:val="Normln"/>
    <w:rsid w:val="001506FD"/>
    <w:pPr>
      <w:spacing w:before="120" w:after="0" w:line="240" w:lineRule="auto"/>
      <w:jc w:val="both"/>
    </w:pPr>
    <w:rPr>
      <w:rFonts w:ascii="Times New Roman" w:eastAsia="Times New Roman" w:hAnsi="Times New Roman" w:cs="Times New Roman"/>
      <w:sz w:val="24"/>
      <w:szCs w:val="24"/>
      <w:lang w:eastAsia="cs-CZ"/>
    </w:rPr>
  </w:style>
  <w:style w:type="character" w:customStyle="1" w:styleId="super">
    <w:name w:val="super"/>
    <w:basedOn w:val="Standardnpsmoodstavce"/>
    <w:rsid w:val="001506FD"/>
    <w:rPr>
      <w:sz w:val="17"/>
      <w:szCs w:val="17"/>
      <w:vertAlign w:val="superscript"/>
    </w:rPr>
  </w:style>
  <w:style w:type="character" w:styleId="Hypertextovodkaz">
    <w:name w:val="Hyperlink"/>
    <w:basedOn w:val="Standardnpsmoodstavce"/>
    <w:uiPriority w:val="99"/>
    <w:semiHidden/>
    <w:unhideWhenUsed/>
    <w:rsid w:val="001506FD"/>
    <w:rPr>
      <w:color w:val="0000FF"/>
      <w:u w:val="single"/>
    </w:rPr>
  </w:style>
  <w:style w:type="paragraph" w:styleId="Textvysvtlivek">
    <w:name w:val="endnote text"/>
    <w:basedOn w:val="Normln"/>
    <w:link w:val="TextvysvtlivekChar"/>
    <w:uiPriority w:val="99"/>
    <w:semiHidden/>
    <w:unhideWhenUsed/>
    <w:rsid w:val="00CC4EA8"/>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C4EA8"/>
    <w:rPr>
      <w:sz w:val="20"/>
      <w:szCs w:val="20"/>
    </w:rPr>
  </w:style>
  <w:style w:type="character" w:styleId="Odkaznavysvtlivky">
    <w:name w:val="endnote reference"/>
    <w:basedOn w:val="Standardnpsmoodstavce"/>
    <w:uiPriority w:val="99"/>
    <w:semiHidden/>
    <w:unhideWhenUsed/>
    <w:rsid w:val="00CC4EA8"/>
    <w:rPr>
      <w:vertAlign w:val="superscript"/>
    </w:rPr>
  </w:style>
  <w:style w:type="paragraph" w:styleId="Odstavecseseznamem">
    <w:name w:val="List Paragraph"/>
    <w:basedOn w:val="Normln"/>
    <w:uiPriority w:val="34"/>
    <w:qFormat/>
    <w:rsid w:val="00740070"/>
    <w:pPr>
      <w:ind w:left="720"/>
      <w:contextualSpacing/>
    </w:pPr>
  </w:style>
  <w:style w:type="character" w:customStyle="1" w:styleId="Odkaznapoznpodarou">
    <w:name w:val="Odkaz na pozn. pod čarou"/>
    <w:basedOn w:val="Standardnpsmoodstavce"/>
    <w:rsid w:val="002B6EC5"/>
    <w:rPr>
      <w:vertAlign w:val="superscript"/>
    </w:rPr>
  </w:style>
  <w:style w:type="paragraph" w:customStyle="1" w:styleId="Oddl">
    <w:name w:val="Oddíl"/>
    <w:basedOn w:val="Normln"/>
    <w:next w:val="Normln"/>
    <w:rsid w:val="00516E17"/>
    <w:pPr>
      <w:keepNext/>
      <w:keepLines/>
      <w:spacing w:before="240" w:after="0" w:line="240" w:lineRule="auto"/>
      <w:jc w:val="center"/>
      <w:outlineLvl w:val="4"/>
    </w:pPr>
    <w:rPr>
      <w:rFonts w:ascii="Times New Roman" w:eastAsia="Times New Roman" w:hAnsi="Times New Roman" w:cs="Times New Roman"/>
      <w:sz w:val="24"/>
      <w:szCs w:val="20"/>
      <w:lang w:eastAsia="cs-CZ"/>
    </w:rPr>
  </w:style>
  <w:style w:type="character" w:customStyle="1" w:styleId="TextodstavceChar">
    <w:name w:val="Text odstavce Char"/>
    <w:link w:val="Textodstavce"/>
    <w:locked/>
    <w:rsid w:val="00E74A0D"/>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415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u">
    <w:name w:val="Text bodu"/>
    <w:basedOn w:val="Normln"/>
    <w:rsid w:val="00597141"/>
    <w:pPr>
      <w:numPr>
        <w:ilvl w:val="2"/>
        <w:numId w:val="1"/>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link w:val="TextpsmeneChar"/>
    <w:rsid w:val="00597141"/>
    <w:pPr>
      <w:numPr>
        <w:ilvl w:val="1"/>
        <w:numId w:val="1"/>
      </w:numPr>
      <w:spacing w:after="0" w:line="240" w:lineRule="auto"/>
      <w:jc w:val="both"/>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link w:val="TextodstavceChar"/>
    <w:rsid w:val="00597141"/>
    <w:pPr>
      <w:numPr>
        <w:numId w:val="1"/>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character" w:customStyle="1" w:styleId="TextpsmeneChar">
    <w:name w:val="Text písmene Char"/>
    <w:link w:val="Textpsmene"/>
    <w:rsid w:val="00597141"/>
    <w:rPr>
      <w:rFonts w:ascii="Times New Roman" w:eastAsia="Times New Roman" w:hAnsi="Times New Roman" w:cs="Times New Roman"/>
      <w:sz w:val="24"/>
      <w:szCs w:val="24"/>
      <w:lang w:eastAsia="cs-CZ"/>
    </w:rPr>
  </w:style>
  <w:style w:type="paragraph" w:customStyle="1" w:styleId="Textlnku">
    <w:name w:val="Text článku"/>
    <w:basedOn w:val="Normln"/>
    <w:uiPriority w:val="99"/>
    <w:rsid w:val="009346F6"/>
    <w:pPr>
      <w:spacing w:before="240" w:after="0" w:line="240" w:lineRule="auto"/>
      <w:ind w:firstLine="425"/>
      <w:jc w:val="both"/>
      <w:outlineLvl w:val="5"/>
    </w:pPr>
    <w:rPr>
      <w:rFonts w:ascii="Times New Roman" w:eastAsia="Times New Roman" w:hAnsi="Times New Roman" w:cs="Times New Roman"/>
      <w:sz w:val="24"/>
      <w:szCs w:val="24"/>
      <w:lang w:eastAsia="cs-CZ"/>
    </w:rPr>
  </w:style>
  <w:style w:type="paragraph" w:customStyle="1" w:styleId="Nadpisparagrafu">
    <w:name w:val="Nadpis paragrafu"/>
    <w:basedOn w:val="Normln"/>
    <w:next w:val="Textodstavce"/>
    <w:rsid w:val="009346F6"/>
    <w:pPr>
      <w:keepNext/>
      <w:keepLines/>
      <w:spacing w:before="240" w:after="0" w:line="240" w:lineRule="auto"/>
      <w:jc w:val="center"/>
      <w:outlineLvl w:val="5"/>
    </w:pPr>
    <w:rPr>
      <w:rFonts w:ascii="Times New Roman" w:eastAsia="Times New Roman" w:hAnsi="Times New Roman" w:cs="Times New Roman"/>
      <w:b/>
      <w:bCs/>
      <w:sz w:val="24"/>
      <w:szCs w:val="24"/>
      <w:lang w:eastAsia="cs-CZ"/>
    </w:rPr>
  </w:style>
  <w:style w:type="paragraph" w:customStyle="1" w:styleId="Paragraf">
    <w:name w:val="Paragraf"/>
    <w:basedOn w:val="Normln"/>
    <w:next w:val="Textodstavce"/>
    <w:uiPriority w:val="99"/>
    <w:rsid w:val="001518EA"/>
    <w:pPr>
      <w:keepNext/>
      <w:keepLines/>
      <w:spacing w:before="240" w:after="0" w:line="240" w:lineRule="auto"/>
      <w:jc w:val="center"/>
      <w:outlineLvl w:val="5"/>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518E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518EA"/>
    <w:rPr>
      <w:rFonts w:ascii="Tahoma" w:hAnsi="Tahoma" w:cs="Tahoma"/>
      <w:sz w:val="16"/>
      <w:szCs w:val="16"/>
    </w:rPr>
  </w:style>
  <w:style w:type="paragraph" w:customStyle="1" w:styleId="Dl">
    <w:name w:val="Díl"/>
    <w:basedOn w:val="Normln"/>
    <w:next w:val="Normln"/>
    <w:uiPriority w:val="99"/>
    <w:rsid w:val="001518EA"/>
    <w:pPr>
      <w:keepNext/>
      <w:keepLines/>
      <w:spacing w:before="240" w:after="0" w:line="240" w:lineRule="auto"/>
      <w:jc w:val="center"/>
      <w:outlineLvl w:val="3"/>
    </w:pPr>
    <w:rPr>
      <w:rFonts w:ascii="Times New Roman" w:eastAsia="Times New Roman" w:hAnsi="Times New Roman" w:cs="Times New Roman"/>
      <w:sz w:val="24"/>
      <w:szCs w:val="24"/>
      <w:lang w:eastAsia="cs-CZ"/>
    </w:rPr>
  </w:style>
  <w:style w:type="character" w:styleId="Odkaznakoment">
    <w:name w:val="annotation reference"/>
    <w:uiPriority w:val="99"/>
    <w:unhideWhenUsed/>
    <w:rsid w:val="008A482C"/>
    <w:rPr>
      <w:sz w:val="16"/>
      <w:szCs w:val="16"/>
    </w:rPr>
  </w:style>
  <w:style w:type="paragraph" w:styleId="Textkomente">
    <w:name w:val="annotation text"/>
    <w:basedOn w:val="Normln"/>
    <w:link w:val="TextkomenteChar"/>
    <w:uiPriority w:val="99"/>
    <w:unhideWhenUsed/>
    <w:rsid w:val="008A482C"/>
    <w:pPr>
      <w:spacing w:after="0" w:line="240" w:lineRule="auto"/>
      <w:jc w:val="both"/>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8A482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01AD5"/>
    <w:pPr>
      <w:spacing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E01AD5"/>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1719F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719F4"/>
  </w:style>
  <w:style w:type="paragraph" w:styleId="Zpat">
    <w:name w:val="footer"/>
    <w:basedOn w:val="Normln"/>
    <w:link w:val="ZpatChar"/>
    <w:uiPriority w:val="99"/>
    <w:unhideWhenUsed/>
    <w:rsid w:val="001719F4"/>
    <w:pPr>
      <w:tabs>
        <w:tab w:val="center" w:pos="4536"/>
        <w:tab w:val="right" w:pos="9072"/>
      </w:tabs>
      <w:spacing w:after="0" w:line="240" w:lineRule="auto"/>
    </w:pPr>
  </w:style>
  <w:style w:type="character" w:customStyle="1" w:styleId="ZpatChar">
    <w:name w:val="Zápatí Char"/>
    <w:basedOn w:val="Standardnpsmoodstavce"/>
    <w:link w:val="Zpat"/>
    <w:uiPriority w:val="99"/>
    <w:rsid w:val="001719F4"/>
  </w:style>
  <w:style w:type="paragraph" w:customStyle="1" w:styleId="Textparagrafu">
    <w:name w:val="Text paragrafu"/>
    <w:basedOn w:val="Normln"/>
    <w:uiPriority w:val="99"/>
    <w:rsid w:val="00017858"/>
    <w:pPr>
      <w:spacing w:before="240" w:after="0" w:line="240" w:lineRule="auto"/>
      <w:ind w:firstLine="425"/>
      <w:jc w:val="both"/>
      <w:outlineLvl w:val="5"/>
    </w:pPr>
    <w:rPr>
      <w:rFonts w:ascii="Times New Roman" w:eastAsia="Times New Roman" w:hAnsi="Times New Roman" w:cs="Times New Roman"/>
      <w:sz w:val="24"/>
      <w:szCs w:val="24"/>
      <w:lang w:eastAsia="cs-CZ"/>
    </w:rPr>
  </w:style>
  <w:style w:type="paragraph" w:customStyle="1" w:styleId="Novelizanbodvpozmn">
    <w:name w:val="Novelizační bod v pozm.n."/>
    <w:basedOn w:val="Normln"/>
    <w:next w:val="Normln"/>
    <w:uiPriority w:val="99"/>
    <w:rsid w:val="00017858"/>
    <w:pPr>
      <w:keepNext/>
      <w:keepLines/>
      <w:numPr>
        <w:numId w:val="3"/>
      </w:numPr>
      <w:tabs>
        <w:tab w:val="left" w:pos="1418"/>
      </w:tabs>
      <w:spacing w:before="240" w:after="0" w:line="240" w:lineRule="auto"/>
      <w:ind w:left="1418" w:hanging="567"/>
      <w:jc w:val="both"/>
    </w:pPr>
    <w:rPr>
      <w:rFonts w:ascii="Times New Roman" w:eastAsia="Times New Roman" w:hAnsi="Times New Roman" w:cs="Times New Roman"/>
      <w:sz w:val="24"/>
      <w:szCs w:val="24"/>
      <w:lang w:eastAsia="cs-CZ"/>
    </w:rPr>
  </w:style>
  <w:style w:type="paragraph" w:styleId="Textpoznpodarou">
    <w:name w:val="footnote text"/>
    <w:aliases w:val="Footnote Text Char1,Footnote Text Char Char,Footnote Text Char3 Char Char,Footnote Text Char2 Char Char Char,Footnote Text Char1 Char Char Char Char,Footnote Text Char Char Char Char Char Char,Footnote Text Char"/>
    <w:basedOn w:val="Normln"/>
    <w:link w:val="TextpoznpodarouChar"/>
    <w:rsid w:val="00C43382"/>
    <w:pPr>
      <w:tabs>
        <w:tab w:val="left" w:pos="425"/>
      </w:tabs>
      <w:spacing w:after="0" w:line="240" w:lineRule="auto"/>
      <w:ind w:left="425" w:hanging="425"/>
      <w:jc w:val="both"/>
    </w:pPr>
    <w:rPr>
      <w:rFonts w:ascii="Times New Roman" w:eastAsia="Times New Roman" w:hAnsi="Times New Roman" w:cs="Times New Roman"/>
      <w:sz w:val="20"/>
      <w:szCs w:val="20"/>
      <w:lang w:eastAsia="cs-CZ"/>
    </w:rPr>
  </w:style>
  <w:style w:type="character" w:customStyle="1" w:styleId="TextpoznpodarouChar">
    <w:name w:val="Text pozn. pod čarou Char"/>
    <w:aliases w:val="Footnote Text Char1 Char,Footnote Text Char Char Char,Footnote Text Char3 Char Char Char,Footnote Text Char2 Char Char Char Char,Footnote Text Char1 Char Char Char Char Char,Footnote Text Char Char Char Char Char Char Char"/>
    <w:basedOn w:val="Standardnpsmoodstavce"/>
    <w:link w:val="Textpoznpodarou"/>
    <w:uiPriority w:val="99"/>
    <w:rsid w:val="00C43382"/>
    <w:rPr>
      <w:rFonts w:ascii="Times New Roman" w:eastAsia="Times New Roman" w:hAnsi="Times New Roman" w:cs="Times New Roman"/>
      <w:sz w:val="20"/>
      <w:szCs w:val="20"/>
      <w:lang w:eastAsia="cs-CZ"/>
    </w:rPr>
  </w:style>
  <w:style w:type="character" w:styleId="Znakapoznpodarou">
    <w:name w:val="footnote reference"/>
    <w:rsid w:val="00C43382"/>
    <w:rPr>
      <w:vertAlign w:val="superscript"/>
    </w:rPr>
  </w:style>
  <w:style w:type="paragraph" w:customStyle="1" w:styleId="CM1">
    <w:name w:val="CM1"/>
    <w:basedOn w:val="Normln"/>
    <w:next w:val="Normln"/>
    <w:uiPriority w:val="99"/>
    <w:rsid w:val="00DE1927"/>
    <w:pPr>
      <w:autoSpaceDE w:val="0"/>
      <w:autoSpaceDN w:val="0"/>
      <w:adjustRightInd w:val="0"/>
      <w:spacing w:after="0" w:line="240" w:lineRule="auto"/>
    </w:pPr>
    <w:rPr>
      <w:rFonts w:ascii="EUAlbertina" w:hAnsi="EUAlbertina"/>
      <w:sz w:val="24"/>
      <w:szCs w:val="24"/>
    </w:rPr>
  </w:style>
  <w:style w:type="paragraph" w:customStyle="1" w:styleId="CM3">
    <w:name w:val="CM3"/>
    <w:basedOn w:val="Normln"/>
    <w:next w:val="Normln"/>
    <w:uiPriority w:val="99"/>
    <w:rsid w:val="00DE1927"/>
    <w:pPr>
      <w:autoSpaceDE w:val="0"/>
      <w:autoSpaceDN w:val="0"/>
      <w:adjustRightInd w:val="0"/>
      <w:spacing w:after="0" w:line="240" w:lineRule="auto"/>
    </w:pPr>
    <w:rPr>
      <w:rFonts w:ascii="EUAlbertina" w:hAnsi="EUAlbertina"/>
      <w:sz w:val="24"/>
      <w:szCs w:val="24"/>
    </w:rPr>
  </w:style>
  <w:style w:type="paragraph" w:customStyle="1" w:styleId="CM4">
    <w:name w:val="CM4"/>
    <w:basedOn w:val="Normln"/>
    <w:next w:val="Normln"/>
    <w:uiPriority w:val="99"/>
    <w:rsid w:val="00DE1927"/>
    <w:pPr>
      <w:autoSpaceDE w:val="0"/>
      <w:autoSpaceDN w:val="0"/>
      <w:adjustRightInd w:val="0"/>
      <w:spacing w:after="0" w:line="240" w:lineRule="auto"/>
    </w:pPr>
    <w:rPr>
      <w:rFonts w:ascii="EUAlbertina" w:hAnsi="EUAlbertina"/>
      <w:sz w:val="24"/>
      <w:szCs w:val="24"/>
    </w:rPr>
  </w:style>
  <w:style w:type="paragraph" w:customStyle="1" w:styleId="Normln1">
    <w:name w:val="Normální1"/>
    <w:basedOn w:val="Normln"/>
    <w:rsid w:val="001506FD"/>
    <w:pPr>
      <w:spacing w:before="120" w:after="0" w:line="240" w:lineRule="auto"/>
      <w:jc w:val="both"/>
    </w:pPr>
    <w:rPr>
      <w:rFonts w:ascii="Times New Roman" w:eastAsia="Times New Roman" w:hAnsi="Times New Roman" w:cs="Times New Roman"/>
      <w:sz w:val="24"/>
      <w:szCs w:val="24"/>
      <w:lang w:eastAsia="cs-CZ"/>
    </w:rPr>
  </w:style>
  <w:style w:type="character" w:customStyle="1" w:styleId="super">
    <w:name w:val="super"/>
    <w:basedOn w:val="Standardnpsmoodstavce"/>
    <w:rsid w:val="001506FD"/>
    <w:rPr>
      <w:sz w:val="17"/>
      <w:szCs w:val="17"/>
      <w:vertAlign w:val="superscript"/>
    </w:rPr>
  </w:style>
  <w:style w:type="character" w:styleId="Hypertextovodkaz">
    <w:name w:val="Hyperlink"/>
    <w:basedOn w:val="Standardnpsmoodstavce"/>
    <w:uiPriority w:val="99"/>
    <w:semiHidden/>
    <w:unhideWhenUsed/>
    <w:rsid w:val="001506FD"/>
    <w:rPr>
      <w:color w:val="0000FF"/>
      <w:u w:val="single"/>
    </w:rPr>
  </w:style>
  <w:style w:type="paragraph" w:styleId="Textvysvtlivek">
    <w:name w:val="endnote text"/>
    <w:basedOn w:val="Normln"/>
    <w:link w:val="TextvysvtlivekChar"/>
    <w:uiPriority w:val="99"/>
    <w:semiHidden/>
    <w:unhideWhenUsed/>
    <w:rsid w:val="00CC4EA8"/>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C4EA8"/>
    <w:rPr>
      <w:sz w:val="20"/>
      <w:szCs w:val="20"/>
    </w:rPr>
  </w:style>
  <w:style w:type="character" w:styleId="Odkaznavysvtlivky">
    <w:name w:val="endnote reference"/>
    <w:basedOn w:val="Standardnpsmoodstavce"/>
    <w:uiPriority w:val="99"/>
    <w:semiHidden/>
    <w:unhideWhenUsed/>
    <w:rsid w:val="00CC4EA8"/>
    <w:rPr>
      <w:vertAlign w:val="superscript"/>
    </w:rPr>
  </w:style>
  <w:style w:type="paragraph" w:styleId="Odstavecseseznamem">
    <w:name w:val="List Paragraph"/>
    <w:basedOn w:val="Normln"/>
    <w:uiPriority w:val="34"/>
    <w:qFormat/>
    <w:rsid w:val="00740070"/>
    <w:pPr>
      <w:ind w:left="720"/>
      <w:contextualSpacing/>
    </w:pPr>
  </w:style>
  <w:style w:type="character" w:customStyle="1" w:styleId="Odkaznapoznpodarou">
    <w:name w:val="Odkaz na pozn. pod čarou"/>
    <w:basedOn w:val="Standardnpsmoodstavce"/>
    <w:rsid w:val="002B6EC5"/>
    <w:rPr>
      <w:vertAlign w:val="superscript"/>
    </w:rPr>
  </w:style>
  <w:style w:type="paragraph" w:customStyle="1" w:styleId="Oddl">
    <w:name w:val="Oddíl"/>
    <w:basedOn w:val="Normln"/>
    <w:next w:val="Normln"/>
    <w:rsid w:val="00516E17"/>
    <w:pPr>
      <w:keepNext/>
      <w:keepLines/>
      <w:spacing w:before="240" w:after="0" w:line="240" w:lineRule="auto"/>
      <w:jc w:val="center"/>
      <w:outlineLvl w:val="4"/>
    </w:pPr>
    <w:rPr>
      <w:rFonts w:ascii="Times New Roman" w:eastAsia="Times New Roman" w:hAnsi="Times New Roman" w:cs="Times New Roman"/>
      <w:sz w:val="24"/>
      <w:szCs w:val="20"/>
      <w:lang w:eastAsia="cs-CZ"/>
    </w:rPr>
  </w:style>
  <w:style w:type="character" w:customStyle="1" w:styleId="TextodstavceChar">
    <w:name w:val="Text odstavce Char"/>
    <w:link w:val="Textodstavce"/>
    <w:locked/>
    <w:rsid w:val="00E74A0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43017">
      <w:bodyDiv w:val="1"/>
      <w:marLeft w:val="0"/>
      <w:marRight w:val="0"/>
      <w:marTop w:val="0"/>
      <w:marBottom w:val="0"/>
      <w:divBdr>
        <w:top w:val="none" w:sz="0" w:space="0" w:color="auto"/>
        <w:left w:val="none" w:sz="0" w:space="0" w:color="auto"/>
        <w:bottom w:val="none" w:sz="0" w:space="0" w:color="auto"/>
        <w:right w:val="none" w:sz="0" w:space="0" w:color="auto"/>
      </w:divBdr>
      <w:divsChild>
        <w:div w:id="1432553873">
          <w:marLeft w:val="0"/>
          <w:marRight w:val="0"/>
          <w:marTop w:val="0"/>
          <w:marBottom w:val="0"/>
          <w:divBdr>
            <w:top w:val="none" w:sz="0" w:space="0" w:color="auto"/>
            <w:left w:val="none" w:sz="0" w:space="0" w:color="auto"/>
            <w:bottom w:val="none" w:sz="0" w:space="0" w:color="auto"/>
            <w:right w:val="none" w:sz="0" w:space="0" w:color="auto"/>
          </w:divBdr>
          <w:divsChild>
            <w:div w:id="1465076810">
              <w:marLeft w:val="0"/>
              <w:marRight w:val="0"/>
              <w:marTop w:val="0"/>
              <w:marBottom w:val="0"/>
              <w:divBdr>
                <w:top w:val="none" w:sz="0" w:space="0" w:color="auto"/>
                <w:left w:val="none" w:sz="0" w:space="0" w:color="auto"/>
                <w:bottom w:val="none" w:sz="0" w:space="0" w:color="auto"/>
                <w:right w:val="none" w:sz="0" w:space="0" w:color="auto"/>
              </w:divBdr>
              <w:divsChild>
                <w:div w:id="469325035">
                  <w:marLeft w:val="0"/>
                  <w:marRight w:val="0"/>
                  <w:marTop w:val="0"/>
                  <w:marBottom w:val="0"/>
                  <w:divBdr>
                    <w:top w:val="none" w:sz="0" w:space="0" w:color="auto"/>
                    <w:left w:val="none" w:sz="0" w:space="0" w:color="auto"/>
                    <w:bottom w:val="none" w:sz="0" w:space="0" w:color="auto"/>
                    <w:right w:val="none" w:sz="0" w:space="0" w:color="auto"/>
                  </w:divBdr>
                  <w:divsChild>
                    <w:div w:id="2089380312">
                      <w:marLeft w:val="1"/>
                      <w:marRight w:val="1"/>
                      <w:marTop w:val="0"/>
                      <w:marBottom w:val="0"/>
                      <w:divBdr>
                        <w:top w:val="none" w:sz="0" w:space="0" w:color="auto"/>
                        <w:left w:val="none" w:sz="0" w:space="0" w:color="auto"/>
                        <w:bottom w:val="none" w:sz="0" w:space="0" w:color="auto"/>
                        <w:right w:val="none" w:sz="0" w:space="0" w:color="auto"/>
                      </w:divBdr>
                      <w:divsChild>
                        <w:div w:id="624191869">
                          <w:marLeft w:val="0"/>
                          <w:marRight w:val="0"/>
                          <w:marTop w:val="0"/>
                          <w:marBottom w:val="0"/>
                          <w:divBdr>
                            <w:top w:val="none" w:sz="0" w:space="0" w:color="auto"/>
                            <w:left w:val="none" w:sz="0" w:space="0" w:color="auto"/>
                            <w:bottom w:val="none" w:sz="0" w:space="0" w:color="auto"/>
                            <w:right w:val="none" w:sz="0" w:space="0" w:color="auto"/>
                          </w:divBdr>
                          <w:divsChild>
                            <w:div w:id="1506096136">
                              <w:marLeft w:val="0"/>
                              <w:marRight w:val="0"/>
                              <w:marTop w:val="0"/>
                              <w:marBottom w:val="360"/>
                              <w:divBdr>
                                <w:top w:val="none" w:sz="0" w:space="0" w:color="auto"/>
                                <w:left w:val="none" w:sz="0" w:space="0" w:color="auto"/>
                                <w:bottom w:val="none" w:sz="0" w:space="0" w:color="auto"/>
                                <w:right w:val="none" w:sz="0" w:space="0" w:color="auto"/>
                              </w:divBdr>
                              <w:divsChild>
                                <w:div w:id="789468782">
                                  <w:marLeft w:val="0"/>
                                  <w:marRight w:val="0"/>
                                  <w:marTop w:val="0"/>
                                  <w:marBottom w:val="0"/>
                                  <w:divBdr>
                                    <w:top w:val="none" w:sz="0" w:space="0" w:color="auto"/>
                                    <w:left w:val="none" w:sz="0" w:space="0" w:color="auto"/>
                                    <w:bottom w:val="none" w:sz="0" w:space="0" w:color="auto"/>
                                    <w:right w:val="none" w:sz="0" w:space="0" w:color="auto"/>
                                  </w:divBdr>
                                  <w:divsChild>
                                    <w:div w:id="1438063929">
                                      <w:marLeft w:val="0"/>
                                      <w:marRight w:val="0"/>
                                      <w:marTop w:val="0"/>
                                      <w:marBottom w:val="0"/>
                                      <w:divBdr>
                                        <w:top w:val="none" w:sz="0" w:space="0" w:color="auto"/>
                                        <w:left w:val="none" w:sz="0" w:space="0" w:color="auto"/>
                                        <w:bottom w:val="none" w:sz="0" w:space="0" w:color="auto"/>
                                        <w:right w:val="none" w:sz="0" w:space="0" w:color="auto"/>
                                      </w:divBdr>
                                      <w:divsChild>
                                        <w:div w:id="15393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7746979">
      <w:bodyDiv w:val="1"/>
      <w:marLeft w:val="390"/>
      <w:marRight w:val="390"/>
      <w:marTop w:val="0"/>
      <w:marBottom w:val="0"/>
      <w:divBdr>
        <w:top w:val="none" w:sz="0" w:space="0" w:color="auto"/>
        <w:left w:val="none" w:sz="0" w:space="0" w:color="auto"/>
        <w:bottom w:val="none" w:sz="0" w:space="0" w:color="auto"/>
        <w:right w:val="none" w:sz="0" w:space="0" w:color="auto"/>
      </w:divBdr>
    </w:div>
    <w:div w:id="483159185">
      <w:bodyDiv w:val="1"/>
      <w:marLeft w:val="0"/>
      <w:marRight w:val="0"/>
      <w:marTop w:val="0"/>
      <w:marBottom w:val="0"/>
      <w:divBdr>
        <w:top w:val="none" w:sz="0" w:space="0" w:color="auto"/>
        <w:left w:val="none" w:sz="0" w:space="0" w:color="auto"/>
        <w:bottom w:val="none" w:sz="0" w:space="0" w:color="auto"/>
        <w:right w:val="none" w:sz="0" w:space="0" w:color="auto"/>
      </w:divBdr>
      <w:divsChild>
        <w:div w:id="1812600190">
          <w:marLeft w:val="0"/>
          <w:marRight w:val="0"/>
          <w:marTop w:val="0"/>
          <w:marBottom w:val="0"/>
          <w:divBdr>
            <w:top w:val="none" w:sz="0" w:space="0" w:color="auto"/>
            <w:left w:val="none" w:sz="0" w:space="0" w:color="auto"/>
            <w:bottom w:val="none" w:sz="0" w:space="0" w:color="auto"/>
            <w:right w:val="none" w:sz="0" w:space="0" w:color="auto"/>
          </w:divBdr>
          <w:divsChild>
            <w:div w:id="205725791">
              <w:marLeft w:val="0"/>
              <w:marRight w:val="0"/>
              <w:marTop w:val="0"/>
              <w:marBottom w:val="0"/>
              <w:divBdr>
                <w:top w:val="none" w:sz="0" w:space="0" w:color="auto"/>
                <w:left w:val="none" w:sz="0" w:space="0" w:color="auto"/>
                <w:bottom w:val="none" w:sz="0" w:space="0" w:color="auto"/>
                <w:right w:val="none" w:sz="0" w:space="0" w:color="auto"/>
              </w:divBdr>
              <w:divsChild>
                <w:div w:id="657726853">
                  <w:marLeft w:val="0"/>
                  <w:marRight w:val="0"/>
                  <w:marTop w:val="0"/>
                  <w:marBottom w:val="0"/>
                  <w:divBdr>
                    <w:top w:val="none" w:sz="0" w:space="0" w:color="auto"/>
                    <w:left w:val="none" w:sz="0" w:space="0" w:color="auto"/>
                    <w:bottom w:val="none" w:sz="0" w:space="0" w:color="auto"/>
                    <w:right w:val="none" w:sz="0" w:space="0" w:color="auto"/>
                  </w:divBdr>
                  <w:divsChild>
                    <w:div w:id="196940652">
                      <w:marLeft w:val="1"/>
                      <w:marRight w:val="1"/>
                      <w:marTop w:val="0"/>
                      <w:marBottom w:val="0"/>
                      <w:divBdr>
                        <w:top w:val="none" w:sz="0" w:space="0" w:color="auto"/>
                        <w:left w:val="none" w:sz="0" w:space="0" w:color="auto"/>
                        <w:bottom w:val="none" w:sz="0" w:space="0" w:color="auto"/>
                        <w:right w:val="none" w:sz="0" w:space="0" w:color="auto"/>
                      </w:divBdr>
                      <w:divsChild>
                        <w:div w:id="817916552">
                          <w:marLeft w:val="0"/>
                          <w:marRight w:val="0"/>
                          <w:marTop w:val="0"/>
                          <w:marBottom w:val="0"/>
                          <w:divBdr>
                            <w:top w:val="none" w:sz="0" w:space="0" w:color="auto"/>
                            <w:left w:val="none" w:sz="0" w:space="0" w:color="auto"/>
                            <w:bottom w:val="none" w:sz="0" w:space="0" w:color="auto"/>
                            <w:right w:val="none" w:sz="0" w:space="0" w:color="auto"/>
                          </w:divBdr>
                          <w:divsChild>
                            <w:div w:id="1883396434">
                              <w:marLeft w:val="0"/>
                              <w:marRight w:val="0"/>
                              <w:marTop w:val="0"/>
                              <w:marBottom w:val="360"/>
                              <w:divBdr>
                                <w:top w:val="none" w:sz="0" w:space="0" w:color="auto"/>
                                <w:left w:val="none" w:sz="0" w:space="0" w:color="auto"/>
                                <w:bottom w:val="none" w:sz="0" w:space="0" w:color="auto"/>
                                <w:right w:val="none" w:sz="0" w:space="0" w:color="auto"/>
                              </w:divBdr>
                              <w:divsChild>
                                <w:div w:id="1397820813">
                                  <w:marLeft w:val="0"/>
                                  <w:marRight w:val="0"/>
                                  <w:marTop w:val="0"/>
                                  <w:marBottom w:val="360"/>
                                  <w:divBdr>
                                    <w:top w:val="none" w:sz="0" w:space="0" w:color="auto"/>
                                    <w:left w:val="none" w:sz="0" w:space="0" w:color="auto"/>
                                    <w:bottom w:val="none" w:sz="0" w:space="0" w:color="auto"/>
                                    <w:right w:val="none" w:sz="0" w:space="0" w:color="auto"/>
                                  </w:divBdr>
                                  <w:divsChild>
                                    <w:div w:id="738744595">
                                      <w:marLeft w:val="0"/>
                                      <w:marRight w:val="0"/>
                                      <w:marTop w:val="0"/>
                                      <w:marBottom w:val="0"/>
                                      <w:divBdr>
                                        <w:top w:val="none" w:sz="0" w:space="0" w:color="auto"/>
                                        <w:left w:val="none" w:sz="0" w:space="0" w:color="auto"/>
                                        <w:bottom w:val="none" w:sz="0" w:space="0" w:color="auto"/>
                                        <w:right w:val="none" w:sz="0" w:space="0" w:color="auto"/>
                                      </w:divBdr>
                                      <w:divsChild>
                                        <w:div w:id="355932023">
                                          <w:marLeft w:val="0"/>
                                          <w:marRight w:val="0"/>
                                          <w:marTop w:val="0"/>
                                          <w:marBottom w:val="0"/>
                                          <w:divBdr>
                                            <w:top w:val="none" w:sz="0" w:space="0" w:color="auto"/>
                                            <w:left w:val="none" w:sz="0" w:space="0" w:color="auto"/>
                                            <w:bottom w:val="none" w:sz="0" w:space="0" w:color="auto"/>
                                            <w:right w:val="none" w:sz="0" w:space="0" w:color="auto"/>
                                          </w:divBdr>
                                          <w:divsChild>
                                            <w:div w:id="16510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798035">
      <w:bodyDiv w:val="1"/>
      <w:marLeft w:val="0"/>
      <w:marRight w:val="0"/>
      <w:marTop w:val="0"/>
      <w:marBottom w:val="0"/>
      <w:divBdr>
        <w:top w:val="none" w:sz="0" w:space="0" w:color="auto"/>
        <w:left w:val="none" w:sz="0" w:space="0" w:color="auto"/>
        <w:bottom w:val="none" w:sz="0" w:space="0" w:color="auto"/>
        <w:right w:val="none" w:sz="0" w:space="0" w:color="auto"/>
      </w:divBdr>
      <w:divsChild>
        <w:div w:id="639119034">
          <w:marLeft w:val="0"/>
          <w:marRight w:val="0"/>
          <w:marTop w:val="0"/>
          <w:marBottom w:val="0"/>
          <w:divBdr>
            <w:top w:val="none" w:sz="0" w:space="0" w:color="auto"/>
            <w:left w:val="none" w:sz="0" w:space="0" w:color="auto"/>
            <w:bottom w:val="none" w:sz="0" w:space="0" w:color="auto"/>
            <w:right w:val="none" w:sz="0" w:space="0" w:color="auto"/>
          </w:divBdr>
          <w:divsChild>
            <w:div w:id="1823964300">
              <w:marLeft w:val="0"/>
              <w:marRight w:val="0"/>
              <w:marTop w:val="0"/>
              <w:marBottom w:val="0"/>
              <w:divBdr>
                <w:top w:val="none" w:sz="0" w:space="0" w:color="auto"/>
                <w:left w:val="none" w:sz="0" w:space="0" w:color="auto"/>
                <w:bottom w:val="none" w:sz="0" w:space="0" w:color="auto"/>
                <w:right w:val="none" w:sz="0" w:space="0" w:color="auto"/>
              </w:divBdr>
              <w:divsChild>
                <w:div w:id="470365944">
                  <w:marLeft w:val="0"/>
                  <w:marRight w:val="0"/>
                  <w:marTop w:val="0"/>
                  <w:marBottom w:val="0"/>
                  <w:divBdr>
                    <w:top w:val="none" w:sz="0" w:space="0" w:color="auto"/>
                    <w:left w:val="none" w:sz="0" w:space="0" w:color="auto"/>
                    <w:bottom w:val="none" w:sz="0" w:space="0" w:color="auto"/>
                    <w:right w:val="none" w:sz="0" w:space="0" w:color="auto"/>
                  </w:divBdr>
                  <w:divsChild>
                    <w:div w:id="216012262">
                      <w:marLeft w:val="1"/>
                      <w:marRight w:val="1"/>
                      <w:marTop w:val="0"/>
                      <w:marBottom w:val="0"/>
                      <w:divBdr>
                        <w:top w:val="none" w:sz="0" w:space="0" w:color="auto"/>
                        <w:left w:val="none" w:sz="0" w:space="0" w:color="auto"/>
                        <w:bottom w:val="none" w:sz="0" w:space="0" w:color="auto"/>
                        <w:right w:val="none" w:sz="0" w:space="0" w:color="auto"/>
                      </w:divBdr>
                      <w:divsChild>
                        <w:div w:id="525295376">
                          <w:marLeft w:val="0"/>
                          <w:marRight w:val="0"/>
                          <w:marTop w:val="0"/>
                          <w:marBottom w:val="0"/>
                          <w:divBdr>
                            <w:top w:val="none" w:sz="0" w:space="0" w:color="auto"/>
                            <w:left w:val="none" w:sz="0" w:space="0" w:color="auto"/>
                            <w:bottom w:val="none" w:sz="0" w:space="0" w:color="auto"/>
                            <w:right w:val="none" w:sz="0" w:space="0" w:color="auto"/>
                          </w:divBdr>
                          <w:divsChild>
                            <w:div w:id="2002467288">
                              <w:marLeft w:val="0"/>
                              <w:marRight w:val="0"/>
                              <w:marTop w:val="0"/>
                              <w:marBottom w:val="360"/>
                              <w:divBdr>
                                <w:top w:val="none" w:sz="0" w:space="0" w:color="auto"/>
                                <w:left w:val="none" w:sz="0" w:space="0" w:color="auto"/>
                                <w:bottom w:val="none" w:sz="0" w:space="0" w:color="auto"/>
                                <w:right w:val="none" w:sz="0" w:space="0" w:color="auto"/>
                              </w:divBdr>
                              <w:divsChild>
                                <w:div w:id="944534696">
                                  <w:marLeft w:val="0"/>
                                  <w:marRight w:val="0"/>
                                  <w:marTop w:val="0"/>
                                  <w:marBottom w:val="360"/>
                                  <w:divBdr>
                                    <w:top w:val="none" w:sz="0" w:space="0" w:color="auto"/>
                                    <w:left w:val="none" w:sz="0" w:space="0" w:color="auto"/>
                                    <w:bottom w:val="none" w:sz="0" w:space="0" w:color="auto"/>
                                    <w:right w:val="none" w:sz="0" w:space="0" w:color="auto"/>
                                  </w:divBdr>
                                  <w:divsChild>
                                    <w:div w:id="539318176">
                                      <w:marLeft w:val="0"/>
                                      <w:marRight w:val="0"/>
                                      <w:marTop w:val="0"/>
                                      <w:marBottom w:val="0"/>
                                      <w:divBdr>
                                        <w:top w:val="none" w:sz="0" w:space="0" w:color="auto"/>
                                        <w:left w:val="none" w:sz="0" w:space="0" w:color="auto"/>
                                        <w:bottom w:val="none" w:sz="0" w:space="0" w:color="auto"/>
                                        <w:right w:val="none" w:sz="0" w:space="0" w:color="auto"/>
                                      </w:divBdr>
                                      <w:divsChild>
                                        <w:div w:id="1049954499">
                                          <w:marLeft w:val="0"/>
                                          <w:marRight w:val="0"/>
                                          <w:marTop w:val="0"/>
                                          <w:marBottom w:val="0"/>
                                          <w:divBdr>
                                            <w:top w:val="none" w:sz="0" w:space="0" w:color="auto"/>
                                            <w:left w:val="none" w:sz="0" w:space="0" w:color="auto"/>
                                            <w:bottom w:val="none" w:sz="0" w:space="0" w:color="auto"/>
                                            <w:right w:val="none" w:sz="0" w:space="0" w:color="auto"/>
                                          </w:divBdr>
                                          <w:divsChild>
                                            <w:div w:id="52162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6114644">
      <w:bodyDiv w:val="1"/>
      <w:marLeft w:val="0"/>
      <w:marRight w:val="0"/>
      <w:marTop w:val="0"/>
      <w:marBottom w:val="0"/>
      <w:divBdr>
        <w:top w:val="none" w:sz="0" w:space="0" w:color="auto"/>
        <w:left w:val="none" w:sz="0" w:space="0" w:color="auto"/>
        <w:bottom w:val="none" w:sz="0" w:space="0" w:color="auto"/>
        <w:right w:val="none" w:sz="0" w:space="0" w:color="auto"/>
      </w:divBdr>
      <w:divsChild>
        <w:div w:id="1150050378">
          <w:marLeft w:val="0"/>
          <w:marRight w:val="0"/>
          <w:marTop w:val="0"/>
          <w:marBottom w:val="0"/>
          <w:divBdr>
            <w:top w:val="none" w:sz="0" w:space="0" w:color="auto"/>
            <w:left w:val="none" w:sz="0" w:space="0" w:color="auto"/>
            <w:bottom w:val="none" w:sz="0" w:space="0" w:color="auto"/>
            <w:right w:val="none" w:sz="0" w:space="0" w:color="auto"/>
          </w:divBdr>
          <w:divsChild>
            <w:div w:id="2140343419">
              <w:marLeft w:val="0"/>
              <w:marRight w:val="0"/>
              <w:marTop w:val="0"/>
              <w:marBottom w:val="0"/>
              <w:divBdr>
                <w:top w:val="none" w:sz="0" w:space="0" w:color="auto"/>
                <w:left w:val="none" w:sz="0" w:space="0" w:color="auto"/>
                <w:bottom w:val="none" w:sz="0" w:space="0" w:color="auto"/>
                <w:right w:val="none" w:sz="0" w:space="0" w:color="auto"/>
              </w:divBdr>
              <w:divsChild>
                <w:div w:id="1629819485">
                  <w:marLeft w:val="0"/>
                  <w:marRight w:val="0"/>
                  <w:marTop w:val="0"/>
                  <w:marBottom w:val="0"/>
                  <w:divBdr>
                    <w:top w:val="none" w:sz="0" w:space="0" w:color="auto"/>
                    <w:left w:val="none" w:sz="0" w:space="0" w:color="auto"/>
                    <w:bottom w:val="none" w:sz="0" w:space="0" w:color="auto"/>
                    <w:right w:val="none" w:sz="0" w:space="0" w:color="auto"/>
                  </w:divBdr>
                  <w:divsChild>
                    <w:div w:id="1497768931">
                      <w:marLeft w:val="1"/>
                      <w:marRight w:val="1"/>
                      <w:marTop w:val="0"/>
                      <w:marBottom w:val="0"/>
                      <w:divBdr>
                        <w:top w:val="none" w:sz="0" w:space="0" w:color="auto"/>
                        <w:left w:val="none" w:sz="0" w:space="0" w:color="auto"/>
                        <w:bottom w:val="none" w:sz="0" w:space="0" w:color="auto"/>
                        <w:right w:val="none" w:sz="0" w:space="0" w:color="auto"/>
                      </w:divBdr>
                      <w:divsChild>
                        <w:div w:id="1410955098">
                          <w:marLeft w:val="0"/>
                          <w:marRight w:val="0"/>
                          <w:marTop w:val="0"/>
                          <w:marBottom w:val="0"/>
                          <w:divBdr>
                            <w:top w:val="none" w:sz="0" w:space="0" w:color="auto"/>
                            <w:left w:val="none" w:sz="0" w:space="0" w:color="auto"/>
                            <w:bottom w:val="none" w:sz="0" w:space="0" w:color="auto"/>
                            <w:right w:val="none" w:sz="0" w:space="0" w:color="auto"/>
                          </w:divBdr>
                          <w:divsChild>
                            <w:div w:id="117842088">
                              <w:marLeft w:val="0"/>
                              <w:marRight w:val="0"/>
                              <w:marTop w:val="0"/>
                              <w:marBottom w:val="360"/>
                              <w:divBdr>
                                <w:top w:val="none" w:sz="0" w:space="0" w:color="auto"/>
                                <w:left w:val="none" w:sz="0" w:space="0" w:color="auto"/>
                                <w:bottom w:val="none" w:sz="0" w:space="0" w:color="auto"/>
                                <w:right w:val="none" w:sz="0" w:space="0" w:color="auto"/>
                              </w:divBdr>
                              <w:divsChild>
                                <w:div w:id="392511816">
                                  <w:marLeft w:val="0"/>
                                  <w:marRight w:val="0"/>
                                  <w:marTop w:val="0"/>
                                  <w:marBottom w:val="360"/>
                                  <w:divBdr>
                                    <w:top w:val="none" w:sz="0" w:space="0" w:color="auto"/>
                                    <w:left w:val="none" w:sz="0" w:space="0" w:color="auto"/>
                                    <w:bottom w:val="none" w:sz="0" w:space="0" w:color="auto"/>
                                    <w:right w:val="none" w:sz="0" w:space="0" w:color="auto"/>
                                  </w:divBdr>
                                  <w:divsChild>
                                    <w:div w:id="42601390">
                                      <w:marLeft w:val="0"/>
                                      <w:marRight w:val="0"/>
                                      <w:marTop w:val="0"/>
                                      <w:marBottom w:val="0"/>
                                      <w:divBdr>
                                        <w:top w:val="none" w:sz="0" w:space="0" w:color="auto"/>
                                        <w:left w:val="none" w:sz="0" w:space="0" w:color="auto"/>
                                        <w:bottom w:val="none" w:sz="0" w:space="0" w:color="auto"/>
                                        <w:right w:val="none" w:sz="0" w:space="0" w:color="auto"/>
                                      </w:divBdr>
                                      <w:divsChild>
                                        <w:div w:id="1862234443">
                                          <w:marLeft w:val="0"/>
                                          <w:marRight w:val="0"/>
                                          <w:marTop w:val="0"/>
                                          <w:marBottom w:val="0"/>
                                          <w:divBdr>
                                            <w:top w:val="none" w:sz="0" w:space="0" w:color="auto"/>
                                            <w:left w:val="none" w:sz="0" w:space="0" w:color="auto"/>
                                            <w:bottom w:val="none" w:sz="0" w:space="0" w:color="auto"/>
                                            <w:right w:val="none" w:sz="0" w:space="0" w:color="auto"/>
                                          </w:divBdr>
                                          <w:divsChild>
                                            <w:div w:id="199802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595221">
      <w:bodyDiv w:val="1"/>
      <w:marLeft w:val="0"/>
      <w:marRight w:val="0"/>
      <w:marTop w:val="0"/>
      <w:marBottom w:val="0"/>
      <w:divBdr>
        <w:top w:val="none" w:sz="0" w:space="0" w:color="auto"/>
        <w:left w:val="none" w:sz="0" w:space="0" w:color="auto"/>
        <w:bottom w:val="none" w:sz="0" w:space="0" w:color="auto"/>
        <w:right w:val="none" w:sz="0" w:space="0" w:color="auto"/>
      </w:divBdr>
      <w:divsChild>
        <w:div w:id="1886485290">
          <w:marLeft w:val="0"/>
          <w:marRight w:val="0"/>
          <w:marTop w:val="0"/>
          <w:marBottom w:val="0"/>
          <w:divBdr>
            <w:top w:val="none" w:sz="0" w:space="0" w:color="auto"/>
            <w:left w:val="none" w:sz="0" w:space="0" w:color="auto"/>
            <w:bottom w:val="none" w:sz="0" w:space="0" w:color="auto"/>
            <w:right w:val="none" w:sz="0" w:space="0" w:color="auto"/>
          </w:divBdr>
          <w:divsChild>
            <w:div w:id="1795245944">
              <w:marLeft w:val="0"/>
              <w:marRight w:val="0"/>
              <w:marTop w:val="0"/>
              <w:marBottom w:val="0"/>
              <w:divBdr>
                <w:top w:val="none" w:sz="0" w:space="0" w:color="auto"/>
                <w:left w:val="none" w:sz="0" w:space="0" w:color="auto"/>
                <w:bottom w:val="none" w:sz="0" w:space="0" w:color="auto"/>
                <w:right w:val="none" w:sz="0" w:space="0" w:color="auto"/>
              </w:divBdr>
              <w:divsChild>
                <w:div w:id="2052223891">
                  <w:marLeft w:val="0"/>
                  <w:marRight w:val="0"/>
                  <w:marTop w:val="0"/>
                  <w:marBottom w:val="0"/>
                  <w:divBdr>
                    <w:top w:val="none" w:sz="0" w:space="0" w:color="auto"/>
                    <w:left w:val="none" w:sz="0" w:space="0" w:color="auto"/>
                    <w:bottom w:val="none" w:sz="0" w:space="0" w:color="auto"/>
                    <w:right w:val="none" w:sz="0" w:space="0" w:color="auto"/>
                  </w:divBdr>
                  <w:divsChild>
                    <w:div w:id="180046436">
                      <w:marLeft w:val="1"/>
                      <w:marRight w:val="1"/>
                      <w:marTop w:val="0"/>
                      <w:marBottom w:val="0"/>
                      <w:divBdr>
                        <w:top w:val="none" w:sz="0" w:space="0" w:color="auto"/>
                        <w:left w:val="none" w:sz="0" w:space="0" w:color="auto"/>
                        <w:bottom w:val="none" w:sz="0" w:space="0" w:color="auto"/>
                        <w:right w:val="none" w:sz="0" w:space="0" w:color="auto"/>
                      </w:divBdr>
                      <w:divsChild>
                        <w:div w:id="1793816478">
                          <w:marLeft w:val="0"/>
                          <w:marRight w:val="0"/>
                          <w:marTop w:val="0"/>
                          <w:marBottom w:val="0"/>
                          <w:divBdr>
                            <w:top w:val="none" w:sz="0" w:space="0" w:color="auto"/>
                            <w:left w:val="none" w:sz="0" w:space="0" w:color="auto"/>
                            <w:bottom w:val="none" w:sz="0" w:space="0" w:color="auto"/>
                            <w:right w:val="none" w:sz="0" w:space="0" w:color="auto"/>
                          </w:divBdr>
                          <w:divsChild>
                            <w:div w:id="2047557482">
                              <w:marLeft w:val="0"/>
                              <w:marRight w:val="0"/>
                              <w:marTop w:val="0"/>
                              <w:marBottom w:val="360"/>
                              <w:divBdr>
                                <w:top w:val="none" w:sz="0" w:space="0" w:color="auto"/>
                                <w:left w:val="none" w:sz="0" w:space="0" w:color="auto"/>
                                <w:bottom w:val="none" w:sz="0" w:space="0" w:color="auto"/>
                                <w:right w:val="none" w:sz="0" w:space="0" w:color="auto"/>
                              </w:divBdr>
                              <w:divsChild>
                                <w:div w:id="1272780861">
                                  <w:marLeft w:val="0"/>
                                  <w:marRight w:val="0"/>
                                  <w:marTop w:val="0"/>
                                  <w:marBottom w:val="0"/>
                                  <w:divBdr>
                                    <w:top w:val="none" w:sz="0" w:space="0" w:color="auto"/>
                                    <w:left w:val="none" w:sz="0" w:space="0" w:color="auto"/>
                                    <w:bottom w:val="none" w:sz="0" w:space="0" w:color="auto"/>
                                    <w:right w:val="none" w:sz="0" w:space="0" w:color="auto"/>
                                  </w:divBdr>
                                  <w:divsChild>
                                    <w:div w:id="1938901109">
                                      <w:marLeft w:val="0"/>
                                      <w:marRight w:val="0"/>
                                      <w:marTop w:val="0"/>
                                      <w:marBottom w:val="0"/>
                                      <w:divBdr>
                                        <w:top w:val="none" w:sz="0" w:space="0" w:color="auto"/>
                                        <w:left w:val="none" w:sz="0" w:space="0" w:color="auto"/>
                                        <w:bottom w:val="none" w:sz="0" w:space="0" w:color="auto"/>
                                        <w:right w:val="none" w:sz="0" w:space="0" w:color="auto"/>
                                      </w:divBdr>
                                      <w:divsChild>
                                        <w:div w:id="40365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4108421">
      <w:bodyDiv w:val="1"/>
      <w:marLeft w:val="0"/>
      <w:marRight w:val="0"/>
      <w:marTop w:val="0"/>
      <w:marBottom w:val="0"/>
      <w:divBdr>
        <w:top w:val="none" w:sz="0" w:space="0" w:color="auto"/>
        <w:left w:val="none" w:sz="0" w:space="0" w:color="auto"/>
        <w:bottom w:val="none" w:sz="0" w:space="0" w:color="auto"/>
        <w:right w:val="none" w:sz="0" w:space="0" w:color="auto"/>
      </w:divBdr>
      <w:divsChild>
        <w:div w:id="873730210">
          <w:marLeft w:val="0"/>
          <w:marRight w:val="0"/>
          <w:marTop w:val="0"/>
          <w:marBottom w:val="0"/>
          <w:divBdr>
            <w:top w:val="none" w:sz="0" w:space="0" w:color="auto"/>
            <w:left w:val="none" w:sz="0" w:space="0" w:color="auto"/>
            <w:bottom w:val="none" w:sz="0" w:space="0" w:color="auto"/>
            <w:right w:val="none" w:sz="0" w:space="0" w:color="auto"/>
          </w:divBdr>
          <w:divsChild>
            <w:div w:id="1485969744">
              <w:marLeft w:val="0"/>
              <w:marRight w:val="0"/>
              <w:marTop w:val="0"/>
              <w:marBottom w:val="0"/>
              <w:divBdr>
                <w:top w:val="none" w:sz="0" w:space="0" w:color="auto"/>
                <w:left w:val="none" w:sz="0" w:space="0" w:color="auto"/>
                <w:bottom w:val="none" w:sz="0" w:space="0" w:color="auto"/>
                <w:right w:val="none" w:sz="0" w:space="0" w:color="auto"/>
              </w:divBdr>
              <w:divsChild>
                <w:div w:id="385884074">
                  <w:marLeft w:val="0"/>
                  <w:marRight w:val="0"/>
                  <w:marTop w:val="0"/>
                  <w:marBottom w:val="0"/>
                  <w:divBdr>
                    <w:top w:val="none" w:sz="0" w:space="0" w:color="auto"/>
                    <w:left w:val="none" w:sz="0" w:space="0" w:color="auto"/>
                    <w:bottom w:val="none" w:sz="0" w:space="0" w:color="auto"/>
                    <w:right w:val="none" w:sz="0" w:space="0" w:color="auto"/>
                  </w:divBdr>
                  <w:divsChild>
                    <w:div w:id="155845005">
                      <w:marLeft w:val="1"/>
                      <w:marRight w:val="1"/>
                      <w:marTop w:val="0"/>
                      <w:marBottom w:val="0"/>
                      <w:divBdr>
                        <w:top w:val="none" w:sz="0" w:space="0" w:color="auto"/>
                        <w:left w:val="none" w:sz="0" w:space="0" w:color="auto"/>
                        <w:bottom w:val="none" w:sz="0" w:space="0" w:color="auto"/>
                        <w:right w:val="none" w:sz="0" w:space="0" w:color="auto"/>
                      </w:divBdr>
                      <w:divsChild>
                        <w:div w:id="343559587">
                          <w:marLeft w:val="0"/>
                          <w:marRight w:val="0"/>
                          <w:marTop w:val="0"/>
                          <w:marBottom w:val="0"/>
                          <w:divBdr>
                            <w:top w:val="none" w:sz="0" w:space="0" w:color="auto"/>
                            <w:left w:val="none" w:sz="0" w:space="0" w:color="auto"/>
                            <w:bottom w:val="none" w:sz="0" w:space="0" w:color="auto"/>
                            <w:right w:val="none" w:sz="0" w:space="0" w:color="auto"/>
                          </w:divBdr>
                          <w:divsChild>
                            <w:div w:id="408698117">
                              <w:marLeft w:val="0"/>
                              <w:marRight w:val="0"/>
                              <w:marTop w:val="0"/>
                              <w:marBottom w:val="360"/>
                              <w:divBdr>
                                <w:top w:val="none" w:sz="0" w:space="0" w:color="auto"/>
                                <w:left w:val="none" w:sz="0" w:space="0" w:color="auto"/>
                                <w:bottom w:val="none" w:sz="0" w:space="0" w:color="auto"/>
                                <w:right w:val="none" w:sz="0" w:space="0" w:color="auto"/>
                              </w:divBdr>
                              <w:divsChild>
                                <w:div w:id="422847194">
                                  <w:marLeft w:val="0"/>
                                  <w:marRight w:val="0"/>
                                  <w:marTop w:val="0"/>
                                  <w:marBottom w:val="0"/>
                                  <w:divBdr>
                                    <w:top w:val="none" w:sz="0" w:space="0" w:color="auto"/>
                                    <w:left w:val="none" w:sz="0" w:space="0" w:color="auto"/>
                                    <w:bottom w:val="none" w:sz="0" w:space="0" w:color="auto"/>
                                    <w:right w:val="none" w:sz="0" w:space="0" w:color="auto"/>
                                  </w:divBdr>
                                  <w:divsChild>
                                    <w:div w:id="44649625">
                                      <w:marLeft w:val="0"/>
                                      <w:marRight w:val="0"/>
                                      <w:marTop w:val="0"/>
                                      <w:marBottom w:val="0"/>
                                      <w:divBdr>
                                        <w:top w:val="none" w:sz="0" w:space="0" w:color="auto"/>
                                        <w:left w:val="none" w:sz="0" w:space="0" w:color="auto"/>
                                        <w:bottom w:val="none" w:sz="0" w:space="0" w:color="auto"/>
                                        <w:right w:val="none" w:sz="0" w:space="0" w:color="auto"/>
                                      </w:divBdr>
                                      <w:divsChild>
                                        <w:div w:id="169892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6378611">
      <w:bodyDiv w:val="1"/>
      <w:marLeft w:val="0"/>
      <w:marRight w:val="0"/>
      <w:marTop w:val="0"/>
      <w:marBottom w:val="0"/>
      <w:divBdr>
        <w:top w:val="none" w:sz="0" w:space="0" w:color="auto"/>
        <w:left w:val="none" w:sz="0" w:space="0" w:color="auto"/>
        <w:bottom w:val="none" w:sz="0" w:space="0" w:color="auto"/>
        <w:right w:val="none" w:sz="0" w:space="0" w:color="auto"/>
      </w:divBdr>
      <w:divsChild>
        <w:div w:id="477041506">
          <w:marLeft w:val="0"/>
          <w:marRight w:val="0"/>
          <w:marTop w:val="0"/>
          <w:marBottom w:val="0"/>
          <w:divBdr>
            <w:top w:val="none" w:sz="0" w:space="0" w:color="auto"/>
            <w:left w:val="none" w:sz="0" w:space="0" w:color="auto"/>
            <w:bottom w:val="none" w:sz="0" w:space="0" w:color="auto"/>
            <w:right w:val="none" w:sz="0" w:space="0" w:color="auto"/>
          </w:divBdr>
          <w:divsChild>
            <w:div w:id="1875731934">
              <w:marLeft w:val="0"/>
              <w:marRight w:val="0"/>
              <w:marTop w:val="0"/>
              <w:marBottom w:val="0"/>
              <w:divBdr>
                <w:top w:val="none" w:sz="0" w:space="0" w:color="auto"/>
                <w:left w:val="none" w:sz="0" w:space="0" w:color="auto"/>
                <w:bottom w:val="none" w:sz="0" w:space="0" w:color="auto"/>
                <w:right w:val="none" w:sz="0" w:space="0" w:color="auto"/>
              </w:divBdr>
              <w:divsChild>
                <w:div w:id="1626229261">
                  <w:marLeft w:val="0"/>
                  <w:marRight w:val="0"/>
                  <w:marTop w:val="0"/>
                  <w:marBottom w:val="0"/>
                  <w:divBdr>
                    <w:top w:val="none" w:sz="0" w:space="0" w:color="auto"/>
                    <w:left w:val="none" w:sz="0" w:space="0" w:color="auto"/>
                    <w:bottom w:val="none" w:sz="0" w:space="0" w:color="auto"/>
                    <w:right w:val="none" w:sz="0" w:space="0" w:color="auto"/>
                  </w:divBdr>
                  <w:divsChild>
                    <w:div w:id="1401781346">
                      <w:marLeft w:val="1"/>
                      <w:marRight w:val="1"/>
                      <w:marTop w:val="0"/>
                      <w:marBottom w:val="0"/>
                      <w:divBdr>
                        <w:top w:val="none" w:sz="0" w:space="0" w:color="auto"/>
                        <w:left w:val="none" w:sz="0" w:space="0" w:color="auto"/>
                        <w:bottom w:val="none" w:sz="0" w:space="0" w:color="auto"/>
                        <w:right w:val="none" w:sz="0" w:space="0" w:color="auto"/>
                      </w:divBdr>
                      <w:divsChild>
                        <w:div w:id="483013464">
                          <w:marLeft w:val="0"/>
                          <w:marRight w:val="0"/>
                          <w:marTop w:val="0"/>
                          <w:marBottom w:val="0"/>
                          <w:divBdr>
                            <w:top w:val="none" w:sz="0" w:space="0" w:color="auto"/>
                            <w:left w:val="none" w:sz="0" w:space="0" w:color="auto"/>
                            <w:bottom w:val="none" w:sz="0" w:space="0" w:color="auto"/>
                            <w:right w:val="none" w:sz="0" w:space="0" w:color="auto"/>
                          </w:divBdr>
                          <w:divsChild>
                            <w:div w:id="380785847">
                              <w:marLeft w:val="0"/>
                              <w:marRight w:val="0"/>
                              <w:marTop w:val="0"/>
                              <w:marBottom w:val="360"/>
                              <w:divBdr>
                                <w:top w:val="none" w:sz="0" w:space="0" w:color="auto"/>
                                <w:left w:val="none" w:sz="0" w:space="0" w:color="auto"/>
                                <w:bottom w:val="none" w:sz="0" w:space="0" w:color="auto"/>
                                <w:right w:val="none" w:sz="0" w:space="0" w:color="auto"/>
                              </w:divBdr>
                              <w:divsChild>
                                <w:div w:id="577404904">
                                  <w:marLeft w:val="0"/>
                                  <w:marRight w:val="0"/>
                                  <w:marTop w:val="0"/>
                                  <w:marBottom w:val="360"/>
                                  <w:divBdr>
                                    <w:top w:val="none" w:sz="0" w:space="0" w:color="auto"/>
                                    <w:left w:val="none" w:sz="0" w:space="0" w:color="auto"/>
                                    <w:bottom w:val="none" w:sz="0" w:space="0" w:color="auto"/>
                                    <w:right w:val="none" w:sz="0" w:space="0" w:color="auto"/>
                                  </w:divBdr>
                                  <w:divsChild>
                                    <w:div w:id="643894220">
                                      <w:marLeft w:val="0"/>
                                      <w:marRight w:val="0"/>
                                      <w:marTop w:val="0"/>
                                      <w:marBottom w:val="0"/>
                                      <w:divBdr>
                                        <w:top w:val="none" w:sz="0" w:space="0" w:color="auto"/>
                                        <w:left w:val="none" w:sz="0" w:space="0" w:color="auto"/>
                                        <w:bottom w:val="none" w:sz="0" w:space="0" w:color="auto"/>
                                        <w:right w:val="none" w:sz="0" w:space="0" w:color="auto"/>
                                      </w:divBdr>
                                      <w:divsChild>
                                        <w:div w:id="1447001465">
                                          <w:marLeft w:val="0"/>
                                          <w:marRight w:val="0"/>
                                          <w:marTop w:val="0"/>
                                          <w:marBottom w:val="0"/>
                                          <w:divBdr>
                                            <w:top w:val="none" w:sz="0" w:space="0" w:color="auto"/>
                                            <w:left w:val="none" w:sz="0" w:space="0" w:color="auto"/>
                                            <w:bottom w:val="none" w:sz="0" w:space="0" w:color="auto"/>
                                            <w:right w:val="none" w:sz="0" w:space="0" w:color="auto"/>
                                          </w:divBdr>
                                          <w:divsChild>
                                            <w:div w:id="19358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6074093">
      <w:bodyDiv w:val="1"/>
      <w:marLeft w:val="0"/>
      <w:marRight w:val="0"/>
      <w:marTop w:val="0"/>
      <w:marBottom w:val="0"/>
      <w:divBdr>
        <w:top w:val="none" w:sz="0" w:space="0" w:color="auto"/>
        <w:left w:val="none" w:sz="0" w:space="0" w:color="auto"/>
        <w:bottom w:val="none" w:sz="0" w:space="0" w:color="auto"/>
        <w:right w:val="none" w:sz="0" w:space="0" w:color="auto"/>
      </w:divBdr>
      <w:divsChild>
        <w:div w:id="1739011147">
          <w:marLeft w:val="0"/>
          <w:marRight w:val="0"/>
          <w:marTop w:val="0"/>
          <w:marBottom w:val="0"/>
          <w:divBdr>
            <w:top w:val="none" w:sz="0" w:space="0" w:color="auto"/>
            <w:left w:val="none" w:sz="0" w:space="0" w:color="auto"/>
            <w:bottom w:val="none" w:sz="0" w:space="0" w:color="auto"/>
            <w:right w:val="none" w:sz="0" w:space="0" w:color="auto"/>
          </w:divBdr>
          <w:divsChild>
            <w:div w:id="2013679164">
              <w:marLeft w:val="0"/>
              <w:marRight w:val="0"/>
              <w:marTop w:val="0"/>
              <w:marBottom w:val="0"/>
              <w:divBdr>
                <w:top w:val="none" w:sz="0" w:space="0" w:color="auto"/>
                <w:left w:val="none" w:sz="0" w:space="0" w:color="auto"/>
                <w:bottom w:val="none" w:sz="0" w:space="0" w:color="auto"/>
                <w:right w:val="none" w:sz="0" w:space="0" w:color="auto"/>
              </w:divBdr>
              <w:divsChild>
                <w:div w:id="1805194431">
                  <w:marLeft w:val="0"/>
                  <w:marRight w:val="0"/>
                  <w:marTop w:val="0"/>
                  <w:marBottom w:val="0"/>
                  <w:divBdr>
                    <w:top w:val="none" w:sz="0" w:space="0" w:color="auto"/>
                    <w:left w:val="none" w:sz="0" w:space="0" w:color="auto"/>
                    <w:bottom w:val="none" w:sz="0" w:space="0" w:color="auto"/>
                    <w:right w:val="none" w:sz="0" w:space="0" w:color="auto"/>
                  </w:divBdr>
                  <w:divsChild>
                    <w:div w:id="1560901063">
                      <w:marLeft w:val="1"/>
                      <w:marRight w:val="1"/>
                      <w:marTop w:val="0"/>
                      <w:marBottom w:val="0"/>
                      <w:divBdr>
                        <w:top w:val="none" w:sz="0" w:space="0" w:color="auto"/>
                        <w:left w:val="none" w:sz="0" w:space="0" w:color="auto"/>
                        <w:bottom w:val="none" w:sz="0" w:space="0" w:color="auto"/>
                        <w:right w:val="none" w:sz="0" w:space="0" w:color="auto"/>
                      </w:divBdr>
                      <w:divsChild>
                        <w:div w:id="126245123">
                          <w:marLeft w:val="0"/>
                          <w:marRight w:val="0"/>
                          <w:marTop w:val="0"/>
                          <w:marBottom w:val="0"/>
                          <w:divBdr>
                            <w:top w:val="none" w:sz="0" w:space="0" w:color="auto"/>
                            <w:left w:val="none" w:sz="0" w:space="0" w:color="auto"/>
                            <w:bottom w:val="none" w:sz="0" w:space="0" w:color="auto"/>
                            <w:right w:val="none" w:sz="0" w:space="0" w:color="auto"/>
                          </w:divBdr>
                          <w:divsChild>
                            <w:div w:id="1329333335">
                              <w:marLeft w:val="0"/>
                              <w:marRight w:val="0"/>
                              <w:marTop w:val="0"/>
                              <w:marBottom w:val="360"/>
                              <w:divBdr>
                                <w:top w:val="none" w:sz="0" w:space="0" w:color="auto"/>
                                <w:left w:val="none" w:sz="0" w:space="0" w:color="auto"/>
                                <w:bottom w:val="none" w:sz="0" w:space="0" w:color="auto"/>
                                <w:right w:val="none" w:sz="0" w:space="0" w:color="auto"/>
                              </w:divBdr>
                              <w:divsChild>
                                <w:div w:id="1762679459">
                                  <w:marLeft w:val="0"/>
                                  <w:marRight w:val="0"/>
                                  <w:marTop w:val="0"/>
                                  <w:marBottom w:val="360"/>
                                  <w:divBdr>
                                    <w:top w:val="none" w:sz="0" w:space="0" w:color="auto"/>
                                    <w:left w:val="none" w:sz="0" w:space="0" w:color="auto"/>
                                    <w:bottom w:val="none" w:sz="0" w:space="0" w:color="auto"/>
                                    <w:right w:val="none" w:sz="0" w:space="0" w:color="auto"/>
                                  </w:divBdr>
                                  <w:divsChild>
                                    <w:div w:id="1716273663">
                                      <w:marLeft w:val="0"/>
                                      <w:marRight w:val="0"/>
                                      <w:marTop w:val="0"/>
                                      <w:marBottom w:val="0"/>
                                      <w:divBdr>
                                        <w:top w:val="none" w:sz="0" w:space="0" w:color="auto"/>
                                        <w:left w:val="none" w:sz="0" w:space="0" w:color="auto"/>
                                        <w:bottom w:val="none" w:sz="0" w:space="0" w:color="auto"/>
                                        <w:right w:val="none" w:sz="0" w:space="0" w:color="auto"/>
                                      </w:divBdr>
                                      <w:divsChild>
                                        <w:div w:id="982008439">
                                          <w:marLeft w:val="0"/>
                                          <w:marRight w:val="0"/>
                                          <w:marTop w:val="0"/>
                                          <w:marBottom w:val="0"/>
                                          <w:divBdr>
                                            <w:top w:val="none" w:sz="0" w:space="0" w:color="auto"/>
                                            <w:left w:val="none" w:sz="0" w:space="0" w:color="auto"/>
                                            <w:bottom w:val="none" w:sz="0" w:space="0" w:color="auto"/>
                                            <w:right w:val="none" w:sz="0" w:space="0" w:color="auto"/>
                                          </w:divBdr>
                                          <w:divsChild>
                                            <w:div w:id="17958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2622543">
      <w:bodyDiv w:val="1"/>
      <w:marLeft w:val="0"/>
      <w:marRight w:val="0"/>
      <w:marTop w:val="0"/>
      <w:marBottom w:val="0"/>
      <w:divBdr>
        <w:top w:val="none" w:sz="0" w:space="0" w:color="auto"/>
        <w:left w:val="none" w:sz="0" w:space="0" w:color="auto"/>
        <w:bottom w:val="none" w:sz="0" w:space="0" w:color="auto"/>
        <w:right w:val="none" w:sz="0" w:space="0" w:color="auto"/>
      </w:divBdr>
      <w:divsChild>
        <w:div w:id="1054891486">
          <w:marLeft w:val="0"/>
          <w:marRight w:val="0"/>
          <w:marTop w:val="0"/>
          <w:marBottom w:val="0"/>
          <w:divBdr>
            <w:top w:val="none" w:sz="0" w:space="0" w:color="auto"/>
            <w:left w:val="none" w:sz="0" w:space="0" w:color="auto"/>
            <w:bottom w:val="none" w:sz="0" w:space="0" w:color="auto"/>
            <w:right w:val="none" w:sz="0" w:space="0" w:color="auto"/>
          </w:divBdr>
          <w:divsChild>
            <w:div w:id="1901942004">
              <w:marLeft w:val="0"/>
              <w:marRight w:val="0"/>
              <w:marTop w:val="0"/>
              <w:marBottom w:val="0"/>
              <w:divBdr>
                <w:top w:val="none" w:sz="0" w:space="0" w:color="auto"/>
                <w:left w:val="none" w:sz="0" w:space="0" w:color="auto"/>
                <w:bottom w:val="none" w:sz="0" w:space="0" w:color="auto"/>
                <w:right w:val="none" w:sz="0" w:space="0" w:color="auto"/>
              </w:divBdr>
              <w:divsChild>
                <w:div w:id="2068799588">
                  <w:marLeft w:val="0"/>
                  <w:marRight w:val="0"/>
                  <w:marTop w:val="0"/>
                  <w:marBottom w:val="0"/>
                  <w:divBdr>
                    <w:top w:val="none" w:sz="0" w:space="0" w:color="auto"/>
                    <w:left w:val="none" w:sz="0" w:space="0" w:color="auto"/>
                    <w:bottom w:val="none" w:sz="0" w:space="0" w:color="auto"/>
                    <w:right w:val="none" w:sz="0" w:space="0" w:color="auto"/>
                  </w:divBdr>
                  <w:divsChild>
                    <w:div w:id="624313889">
                      <w:marLeft w:val="1"/>
                      <w:marRight w:val="1"/>
                      <w:marTop w:val="0"/>
                      <w:marBottom w:val="0"/>
                      <w:divBdr>
                        <w:top w:val="none" w:sz="0" w:space="0" w:color="auto"/>
                        <w:left w:val="none" w:sz="0" w:space="0" w:color="auto"/>
                        <w:bottom w:val="none" w:sz="0" w:space="0" w:color="auto"/>
                        <w:right w:val="none" w:sz="0" w:space="0" w:color="auto"/>
                      </w:divBdr>
                      <w:divsChild>
                        <w:div w:id="43451503">
                          <w:marLeft w:val="0"/>
                          <w:marRight w:val="0"/>
                          <w:marTop w:val="0"/>
                          <w:marBottom w:val="0"/>
                          <w:divBdr>
                            <w:top w:val="none" w:sz="0" w:space="0" w:color="auto"/>
                            <w:left w:val="none" w:sz="0" w:space="0" w:color="auto"/>
                            <w:bottom w:val="none" w:sz="0" w:space="0" w:color="auto"/>
                            <w:right w:val="none" w:sz="0" w:space="0" w:color="auto"/>
                          </w:divBdr>
                          <w:divsChild>
                            <w:div w:id="2011104073">
                              <w:marLeft w:val="0"/>
                              <w:marRight w:val="0"/>
                              <w:marTop w:val="0"/>
                              <w:marBottom w:val="360"/>
                              <w:divBdr>
                                <w:top w:val="none" w:sz="0" w:space="0" w:color="auto"/>
                                <w:left w:val="none" w:sz="0" w:space="0" w:color="auto"/>
                                <w:bottom w:val="none" w:sz="0" w:space="0" w:color="auto"/>
                                <w:right w:val="none" w:sz="0" w:space="0" w:color="auto"/>
                              </w:divBdr>
                              <w:divsChild>
                                <w:div w:id="2056928907">
                                  <w:marLeft w:val="0"/>
                                  <w:marRight w:val="0"/>
                                  <w:marTop w:val="0"/>
                                  <w:marBottom w:val="360"/>
                                  <w:divBdr>
                                    <w:top w:val="none" w:sz="0" w:space="0" w:color="auto"/>
                                    <w:left w:val="none" w:sz="0" w:space="0" w:color="auto"/>
                                    <w:bottom w:val="none" w:sz="0" w:space="0" w:color="auto"/>
                                    <w:right w:val="none" w:sz="0" w:space="0" w:color="auto"/>
                                  </w:divBdr>
                                  <w:divsChild>
                                    <w:div w:id="1141076369">
                                      <w:marLeft w:val="0"/>
                                      <w:marRight w:val="0"/>
                                      <w:marTop w:val="0"/>
                                      <w:marBottom w:val="0"/>
                                      <w:divBdr>
                                        <w:top w:val="none" w:sz="0" w:space="0" w:color="auto"/>
                                        <w:left w:val="none" w:sz="0" w:space="0" w:color="auto"/>
                                        <w:bottom w:val="none" w:sz="0" w:space="0" w:color="auto"/>
                                        <w:right w:val="none" w:sz="0" w:space="0" w:color="auto"/>
                                      </w:divBdr>
                                      <w:divsChild>
                                        <w:div w:id="705176190">
                                          <w:marLeft w:val="0"/>
                                          <w:marRight w:val="0"/>
                                          <w:marTop w:val="0"/>
                                          <w:marBottom w:val="0"/>
                                          <w:divBdr>
                                            <w:top w:val="none" w:sz="0" w:space="0" w:color="auto"/>
                                            <w:left w:val="none" w:sz="0" w:space="0" w:color="auto"/>
                                            <w:bottom w:val="none" w:sz="0" w:space="0" w:color="auto"/>
                                            <w:right w:val="none" w:sz="0" w:space="0" w:color="auto"/>
                                          </w:divBdr>
                                          <w:divsChild>
                                            <w:div w:id="146434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1215994">
      <w:bodyDiv w:val="1"/>
      <w:marLeft w:val="0"/>
      <w:marRight w:val="0"/>
      <w:marTop w:val="0"/>
      <w:marBottom w:val="0"/>
      <w:divBdr>
        <w:top w:val="none" w:sz="0" w:space="0" w:color="auto"/>
        <w:left w:val="none" w:sz="0" w:space="0" w:color="auto"/>
        <w:bottom w:val="none" w:sz="0" w:space="0" w:color="auto"/>
        <w:right w:val="none" w:sz="0" w:space="0" w:color="auto"/>
      </w:divBdr>
      <w:divsChild>
        <w:div w:id="56649521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447886860">
      <w:bodyDiv w:val="1"/>
      <w:marLeft w:val="0"/>
      <w:marRight w:val="0"/>
      <w:marTop w:val="0"/>
      <w:marBottom w:val="0"/>
      <w:divBdr>
        <w:top w:val="none" w:sz="0" w:space="0" w:color="auto"/>
        <w:left w:val="none" w:sz="0" w:space="0" w:color="auto"/>
        <w:bottom w:val="none" w:sz="0" w:space="0" w:color="auto"/>
        <w:right w:val="none" w:sz="0" w:space="0" w:color="auto"/>
      </w:divBdr>
      <w:divsChild>
        <w:div w:id="689917049">
          <w:marLeft w:val="0"/>
          <w:marRight w:val="0"/>
          <w:marTop w:val="0"/>
          <w:marBottom w:val="0"/>
          <w:divBdr>
            <w:top w:val="none" w:sz="0" w:space="0" w:color="auto"/>
            <w:left w:val="none" w:sz="0" w:space="0" w:color="auto"/>
            <w:bottom w:val="none" w:sz="0" w:space="0" w:color="auto"/>
            <w:right w:val="none" w:sz="0" w:space="0" w:color="auto"/>
          </w:divBdr>
          <w:divsChild>
            <w:div w:id="351493187">
              <w:marLeft w:val="0"/>
              <w:marRight w:val="0"/>
              <w:marTop w:val="0"/>
              <w:marBottom w:val="0"/>
              <w:divBdr>
                <w:top w:val="none" w:sz="0" w:space="0" w:color="auto"/>
                <w:left w:val="none" w:sz="0" w:space="0" w:color="auto"/>
                <w:bottom w:val="none" w:sz="0" w:space="0" w:color="auto"/>
                <w:right w:val="none" w:sz="0" w:space="0" w:color="auto"/>
              </w:divBdr>
              <w:divsChild>
                <w:div w:id="1940478379">
                  <w:marLeft w:val="0"/>
                  <w:marRight w:val="0"/>
                  <w:marTop w:val="0"/>
                  <w:marBottom w:val="0"/>
                  <w:divBdr>
                    <w:top w:val="none" w:sz="0" w:space="0" w:color="auto"/>
                    <w:left w:val="none" w:sz="0" w:space="0" w:color="auto"/>
                    <w:bottom w:val="none" w:sz="0" w:space="0" w:color="auto"/>
                    <w:right w:val="none" w:sz="0" w:space="0" w:color="auto"/>
                  </w:divBdr>
                  <w:divsChild>
                    <w:div w:id="1398628895">
                      <w:marLeft w:val="1"/>
                      <w:marRight w:val="1"/>
                      <w:marTop w:val="0"/>
                      <w:marBottom w:val="0"/>
                      <w:divBdr>
                        <w:top w:val="none" w:sz="0" w:space="0" w:color="auto"/>
                        <w:left w:val="none" w:sz="0" w:space="0" w:color="auto"/>
                        <w:bottom w:val="none" w:sz="0" w:space="0" w:color="auto"/>
                        <w:right w:val="none" w:sz="0" w:space="0" w:color="auto"/>
                      </w:divBdr>
                      <w:divsChild>
                        <w:div w:id="182942000">
                          <w:marLeft w:val="0"/>
                          <w:marRight w:val="0"/>
                          <w:marTop w:val="0"/>
                          <w:marBottom w:val="0"/>
                          <w:divBdr>
                            <w:top w:val="none" w:sz="0" w:space="0" w:color="auto"/>
                            <w:left w:val="none" w:sz="0" w:space="0" w:color="auto"/>
                            <w:bottom w:val="none" w:sz="0" w:space="0" w:color="auto"/>
                            <w:right w:val="none" w:sz="0" w:space="0" w:color="auto"/>
                          </w:divBdr>
                          <w:divsChild>
                            <w:div w:id="1482426636">
                              <w:marLeft w:val="0"/>
                              <w:marRight w:val="0"/>
                              <w:marTop w:val="0"/>
                              <w:marBottom w:val="360"/>
                              <w:divBdr>
                                <w:top w:val="none" w:sz="0" w:space="0" w:color="auto"/>
                                <w:left w:val="none" w:sz="0" w:space="0" w:color="auto"/>
                                <w:bottom w:val="none" w:sz="0" w:space="0" w:color="auto"/>
                                <w:right w:val="none" w:sz="0" w:space="0" w:color="auto"/>
                              </w:divBdr>
                              <w:divsChild>
                                <w:div w:id="649333369">
                                  <w:marLeft w:val="0"/>
                                  <w:marRight w:val="0"/>
                                  <w:marTop w:val="0"/>
                                  <w:marBottom w:val="360"/>
                                  <w:divBdr>
                                    <w:top w:val="none" w:sz="0" w:space="0" w:color="auto"/>
                                    <w:left w:val="none" w:sz="0" w:space="0" w:color="auto"/>
                                    <w:bottom w:val="none" w:sz="0" w:space="0" w:color="auto"/>
                                    <w:right w:val="none" w:sz="0" w:space="0" w:color="auto"/>
                                  </w:divBdr>
                                  <w:divsChild>
                                    <w:div w:id="172185791">
                                      <w:marLeft w:val="0"/>
                                      <w:marRight w:val="0"/>
                                      <w:marTop w:val="0"/>
                                      <w:marBottom w:val="0"/>
                                      <w:divBdr>
                                        <w:top w:val="none" w:sz="0" w:space="0" w:color="auto"/>
                                        <w:left w:val="none" w:sz="0" w:space="0" w:color="auto"/>
                                        <w:bottom w:val="none" w:sz="0" w:space="0" w:color="auto"/>
                                        <w:right w:val="none" w:sz="0" w:space="0" w:color="auto"/>
                                      </w:divBdr>
                                      <w:divsChild>
                                        <w:div w:id="943272847">
                                          <w:marLeft w:val="0"/>
                                          <w:marRight w:val="0"/>
                                          <w:marTop w:val="0"/>
                                          <w:marBottom w:val="0"/>
                                          <w:divBdr>
                                            <w:top w:val="none" w:sz="0" w:space="0" w:color="auto"/>
                                            <w:left w:val="none" w:sz="0" w:space="0" w:color="auto"/>
                                            <w:bottom w:val="none" w:sz="0" w:space="0" w:color="auto"/>
                                            <w:right w:val="none" w:sz="0" w:space="0" w:color="auto"/>
                                          </w:divBdr>
                                          <w:divsChild>
                                            <w:div w:id="213817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7806901">
      <w:bodyDiv w:val="1"/>
      <w:marLeft w:val="0"/>
      <w:marRight w:val="0"/>
      <w:marTop w:val="0"/>
      <w:marBottom w:val="0"/>
      <w:divBdr>
        <w:top w:val="none" w:sz="0" w:space="0" w:color="auto"/>
        <w:left w:val="none" w:sz="0" w:space="0" w:color="auto"/>
        <w:bottom w:val="none" w:sz="0" w:space="0" w:color="auto"/>
        <w:right w:val="none" w:sz="0" w:space="0" w:color="auto"/>
      </w:divBdr>
      <w:divsChild>
        <w:div w:id="2122414144">
          <w:marLeft w:val="0"/>
          <w:marRight w:val="0"/>
          <w:marTop w:val="0"/>
          <w:marBottom w:val="0"/>
          <w:divBdr>
            <w:top w:val="none" w:sz="0" w:space="0" w:color="auto"/>
            <w:left w:val="none" w:sz="0" w:space="0" w:color="auto"/>
            <w:bottom w:val="none" w:sz="0" w:space="0" w:color="auto"/>
            <w:right w:val="none" w:sz="0" w:space="0" w:color="auto"/>
          </w:divBdr>
          <w:divsChild>
            <w:div w:id="650018651">
              <w:marLeft w:val="0"/>
              <w:marRight w:val="0"/>
              <w:marTop w:val="0"/>
              <w:marBottom w:val="0"/>
              <w:divBdr>
                <w:top w:val="none" w:sz="0" w:space="0" w:color="auto"/>
                <w:left w:val="none" w:sz="0" w:space="0" w:color="auto"/>
                <w:bottom w:val="none" w:sz="0" w:space="0" w:color="auto"/>
                <w:right w:val="none" w:sz="0" w:space="0" w:color="auto"/>
              </w:divBdr>
              <w:divsChild>
                <w:div w:id="705330292">
                  <w:marLeft w:val="0"/>
                  <w:marRight w:val="0"/>
                  <w:marTop w:val="0"/>
                  <w:marBottom w:val="0"/>
                  <w:divBdr>
                    <w:top w:val="none" w:sz="0" w:space="0" w:color="auto"/>
                    <w:left w:val="none" w:sz="0" w:space="0" w:color="auto"/>
                    <w:bottom w:val="none" w:sz="0" w:space="0" w:color="auto"/>
                    <w:right w:val="none" w:sz="0" w:space="0" w:color="auto"/>
                  </w:divBdr>
                  <w:divsChild>
                    <w:div w:id="1704551892">
                      <w:marLeft w:val="1"/>
                      <w:marRight w:val="1"/>
                      <w:marTop w:val="0"/>
                      <w:marBottom w:val="0"/>
                      <w:divBdr>
                        <w:top w:val="none" w:sz="0" w:space="0" w:color="auto"/>
                        <w:left w:val="none" w:sz="0" w:space="0" w:color="auto"/>
                        <w:bottom w:val="none" w:sz="0" w:space="0" w:color="auto"/>
                        <w:right w:val="none" w:sz="0" w:space="0" w:color="auto"/>
                      </w:divBdr>
                      <w:divsChild>
                        <w:div w:id="805121620">
                          <w:marLeft w:val="0"/>
                          <w:marRight w:val="0"/>
                          <w:marTop w:val="0"/>
                          <w:marBottom w:val="0"/>
                          <w:divBdr>
                            <w:top w:val="none" w:sz="0" w:space="0" w:color="auto"/>
                            <w:left w:val="none" w:sz="0" w:space="0" w:color="auto"/>
                            <w:bottom w:val="none" w:sz="0" w:space="0" w:color="auto"/>
                            <w:right w:val="none" w:sz="0" w:space="0" w:color="auto"/>
                          </w:divBdr>
                          <w:divsChild>
                            <w:div w:id="758016979">
                              <w:marLeft w:val="0"/>
                              <w:marRight w:val="0"/>
                              <w:marTop w:val="0"/>
                              <w:marBottom w:val="360"/>
                              <w:divBdr>
                                <w:top w:val="none" w:sz="0" w:space="0" w:color="auto"/>
                                <w:left w:val="none" w:sz="0" w:space="0" w:color="auto"/>
                                <w:bottom w:val="none" w:sz="0" w:space="0" w:color="auto"/>
                                <w:right w:val="none" w:sz="0" w:space="0" w:color="auto"/>
                              </w:divBdr>
                              <w:divsChild>
                                <w:div w:id="72050273">
                                  <w:marLeft w:val="0"/>
                                  <w:marRight w:val="0"/>
                                  <w:marTop w:val="0"/>
                                  <w:marBottom w:val="0"/>
                                  <w:divBdr>
                                    <w:top w:val="none" w:sz="0" w:space="0" w:color="auto"/>
                                    <w:left w:val="none" w:sz="0" w:space="0" w:color="auto"/>
                                    <w:bottom w:val="none" w:sz="0" w:space="0" w:color="auto"/>
                                    <w:right w:val="none" w:sz="0" w:space="0" w:color="auto"/>
                                  </w:divBdr>
                                  <w:divsChild>
                                    <w:div w:id="1351764360">
                                      <w:marLeft w:val="0"/>
                                      <w:marRight w:val="0"/>
                                      <w:marTop w:val="0"/>
                                      <w:marBottom w:val="0"/>
                                      <w:divBdr>
                                        <w:top w:val="none" w:sz="0" w:space="0" w:color="auto"/>
                                        <w:left w:val="none" w:sz="0" w:space="0" w:color="auto"/>
                                        <w:bottom w:val="none" w:sz="0" w:space="0" w:color="auto"/>
                                        <w:right w:val="none" w:sz="0" w:space="0" w:color="auto"/>
                                      </w:divBdr>
                                      <w:divsChild>
                                        <w:div w:id="1169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ur-lex.europa.eu/legal-content/CS/TXT/HTML/?uri=CELEX:32013R1303&amp;from=EN"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52C1C-4A24-4D08-ADFF-0294FE5C9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39</Pages>
  <Words>6765</Words>
  <Characters>39918</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46590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Kranecová Jana Mgr.</dc:creator>
  <cp:lastModifiedBy>Kapounová Radka Ing.</cp:lastModifiedBy>
  <cp:revision>42</cp:revision>
  <cp:lastPrinted>2016-09-20T14:07:00Z</cp:lastPrinted>
  <dcterms:created xsi:type="dcterms:W3CDTF">2016-09-21T04:07:00Z</dcterms:created>
  <dcterms:modified xsi:type="dcterms:W3CDTF">2016-12-20T06:21:00Z</dcterms:modified>
</cp:coreProperties>
</file>