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904" w:rsidRPr="00A6167F" w:rsidRDefault="00F11D63" w:rsidP="00A6167F">
      <w:pPr>
        <w:spacing w:after="240"/>
        <w:rPr>
          <w:rFonts w:ascii="Times New Roman" w:hAnsi="Times New Roman" w:cs="Times New Roman"/>
          <w:b/>
        </w:rPr>
      </w:pPr>
      <w:r w:rsidRPr="00A6167F">
        <w:rPr>
          <w:rFonts w:ascii="Times New Roman" w:hAnsi="Times New Roman" w:cs="Times New Roman"/>
          <w:b/>
        </w:rPr>
        <w:t>S</w:t>
      </w:r>
      <w:r w:rsidR="00A6167F">
        <w:rPr>
          <w:rFonts w:ascii="Times New Roman" w:hAnsi="Times New Roman" w:cs="Times New Roman"/>
          <w:b/>
        </w:rPr>
        <w:t xml:space="preserve">ROVNÁVACÍ TABULKA PRO POSOUZENÍ IMPLEMENTACE PŘEDPISŮ </w:t>
      </w:r>
      <w:r w:rsidRPr="00A6167F">
        <w:rPr>
          <w:rFonts w:ascii="Times New Roman" w:hAnsi="Times New Roman" w:cs="Times New Roman"/>
          <w:b/>
        </w:rPr>
        <w:t>EU</w:t>
      </w: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427E63" w:rsidRPr="0025078E" w:rsidTr="00E04433">
        <w:tc>
          <w:tcPr>
            <w:tcW w:w="2357" w:type="dxa"/>
            <w:vAlign w:val="center"/>
          </w:tcPr>
          <w:p w:rsidR="00427E63" w:rsidRPr="0025078E" w:rsidRDefault="00427E63" w:rsidP="00E04433">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32011L0085</w:t>
            </w:r>
          </w:p>
        </w:tc>
        <w:tc>
          <w:tcPr>
            <w:tcW w:w="1842"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897E1C"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 xml:space="preserve">Mgr. Andrea Vuongová, </w:t>
            </w:r>
          </w:p>
          <w:p w:rsidR="00427E63" w:rsidRPr="0025078E" w:rsidRDefault="00426BF0" w:rsidP="00E04433">
            <w:pPr>
              <w:rPr>
                <w:rFonts w:ascii="Times New Roman" w:hAnsi="Times New Roman" w:cs="Times New Roman"/>
                <w:sz w:val="20"/>
                <w:szCs w:val="20"/>
              </w:rPr>
            </w:pPr>
            <w:r w:rsidRPr="0025078E">
              <w:rPr>
                <w:rFonts w:ascii="Times New Roman" w:hAnsi="Times New Roman" w:cs="Times New Roman"/>
                <w:sz w:val="20"/>
                <w:szCs w:val="20"/>
              </w:rPr>
              <w:t>28</w:t>
            </w:r>
            <w:r w:rsidR="00C30CC2" w:rsidRPr="0025078E">
              <w:rPr>
                <w:rFonts w:ascii="Times New Roman" w:hAnsi="Times New Roman" w:cs="Times New Roman"/>
                <w:sz w:val="20"/>
                <w:szCs w:val="20"/>
              </w:rPr>
              <w:t>. 11</w:t>
            </w:r>
            <w:r w:rsidR="00427E63" w:rsidRPr="0025078E">
              <w:rPr>
                <w:rFonts w:ascii="Times New Roman" w:hAnsi="Times New Roman" w:cs="Times New Roman"/>
                <w:sz w:val="20"/>
                <w:szCs w:val="20"/>
              </w:rPr>
              <w:t>.</w:t>
            </w:r>
            <w:r w:rsidR="00897E1C" w:rsidRPr="0025078E">
              <w:rPr>
                <w:rFonts w:ascii="Times New Roman" w:hAnsi="Times New Roman" w:cs="Times New Roman"/>
                <w:sz w:val="20"/>
                <w:szCs w:val="20"/>
              </w:rPr>
              <w:t xml:space="preserve"> </w:t>
            </w:r>
            <w:r w:rsidR="00427E63" w:rsidRPr="0025078E">
              <w:rPr>
                <w:rFonts w:ascii="Times New Roman" w:hAnsi="Times New Roman" w:cs="Times New Roman"/>
                <w:sz w:val="20"/>
                <w:szCs w:val="20"/>
              </w:rPr>
              <w:t>2016</w:t>
            </w:r>
          </w:p>
        </w:tc>
      </w:tr>
      <w:tr w:rsidR="00427E63" w:rsidRPr="0025078E" w:rsidTr="00E04433">
        <w:tc>
          <w:tcPr>
            <w:tcW w:w="2357"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Směrnice Rady 2011/85/EU ze dne 8. listopadu 2011 o požadavcích na rozpočtové rámce členských států</w:t>
            </w:r>
          </w:p>
        </w:tc>
        <w:tc>
          <w:tcPr>
            <w:tcW w:w="1842"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427E63" w:rsidRPr="0025078E" w:rsidRDefault="00427E63" w:rsidP="00E04433">
            <w:pPr>
              <w:rPr>
                <w:rFonts w:ascii="Times New Roman" w:hAnsi="Times New Roman" w:cs="Times New Roman"/>
                <w:sz w:val="20"/>
                <w:szCs w:val="20"/>
              </w:rPr>
            </w:pPr>
            <w:proofErr w:type="gramStart"/>
            <w:r w:rsidRPr="0025078E">
              <w:rPr>
                <w:rFonts w:ascii="Times New Roman" w:hAnsi="Times New Roman" w:cs="Times New Roman"/>
                <w:sz w:val="20"/>
                <w:szCs w:val="20"/>
              </w:rPr>
              <w:t>31.12.2013</w:t>
            </w:r>
            <w:proofErr w:type="gramEnd"/>
          </w:p>
        </w:tc>
        <w:tc>
          <w:tcPr>
            <w:tcW w:w="2358" w:type="dxa"/>
            <w:vAlign w:val="center"/>
          </w:tcPr>
          <w:p w:rsidR="00427E63" w:rsidRPr="0025078E" w:rsidRDefault="00427E63" w:rsidP="00E04433">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427E63"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Mgr. Jana Kranecová</w:t>
            </w:r>
            <w:r w:rsidR="00427E63" w:rsidRPr="0025078E">
              <w:rPr>
                <w:rFonts w:ascii="Times New Roman" w:hAnsi="Times New Roman" w:cs="Times New Roman"/>
                <w:sz w:val="20"/>
                <w:szCs w:val="20"/>
              </w:rPr>
              <w:t>,</w:t>
            </w:r>
            <w:r w:rsidRPr="0025078E">
              <w:rPr>
                <w:rFonts w:ascii="Times New Roman" w:hAnsi="Times New Roman" w:cs="Times New Roman"/>
                <w:sz w:val="20"/>
                <w:szCs w:val="20"/>
              </w:rPr>
              <w:t xml:space="preserve"> Ph.D., </w:t>
            </w:r>
            <w:r w:rsidR="00C30CC2" w:rsidRPr="0025078E">
              <w:rPr>
                <w:rFonts w:ascii="Times New Roman" w:hAnsi="Times New Roman" w:cs="Times New Roman"/>
                <w:sz w:val="20"/>
                <w:szCs w:val="20"/>
              </w:rPr>
              <w:t>28. 11.</w:t>
            </w:r>
            <w:r w:rsidR="00897E1C" w:rsidRPr="0025078E">
              <w:rPr>
                <w:rFonts w:ascii="Times New Roman" w:hAnsi="Times New Roman" w:cs="Times New Roman"/>
                <w:sz w:val="20"/>
                <w:szCs w:val="20"/>
              </w:rPr>
              <w:t xml:space="preserve"> </w:t>
            </w:r>
            <w:r w:rsidR="00427E63" w:rsidRPr="0025078E">
              <w:rPr>
                <w:rFonts w:ascii="Times New Roman" w:hAnsi="Times New Roman" w:cs="Times New Roman"/>
                <w:sz w:val="20"/>
                <w:szCs w:val="20"/>
              </w:rPr>
              <w:t>2016</w:t>
            </w:r>
          </w:p>
        </w:tc>
      </w:tr>
    </w:tbl>
    <w:p w:rsidR="00F11D63" w:rsidRPr="0025078E" w:rsidRDefault="00F11D63">
      <w:pPr>
        <w:rPr>
          <w:rFonts w:ascii="Times New Roman" w:hAnsi="Times New Roman" w:cs="Times New Roman"/>
          <w:b/>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543"/>
        <w:gridCol w:w="1418"/>
        <w:gridCol w:w="711"/>
      </w:tblGrid>
      <w:tr w:rsidR="00CD3B9F" w:rsidRPr="0025078E" w:rsidTr="002D6904">
        <w:trPr>
          <w:tblHeader/>
        </w:trPr>
        <w:tc>
          <w:tcPr>
            <w:tcW w:w="5778" w:type="dxa"/>
            <w:gridSpan w:val="2"/>
            <w:shd w:val="clear" w:color="auto" w:fill="00B0F0"/>
          </w:tcPr>
          <w:p w:rsidR="00CD3B9F" w:rsidRPr="0025078E" w:rsidRDefault="001E0B8B" w:rsidP="001E0B8B">
            <w:pPr>
              <w:jc w:val="center"/>
              <w:rPr>
                <w:rFonts w:ascii="Times New Roman" w:hAnsi="Times New Roman" w:cs="Times New Roman"/>
                <w:sz w:val="20"/>
                <w:szCs w:val="20"/>
              </w:rPr>
            </w:pPr>
            <w:r w:rsidRPr="0025078E">
              <w:rPr>
                <w:rFonts w:ascii="Times New Roman" w:hAnsi="Times New Roman" w:cs="Times New Roman"/>
                <w:sz w:val="20"/>
                <w:szCs w:val="20"/>
              </w:rPr>
              <w:br w:type="page"/>
            </w:r>
            <w:r w:rsidR="00CD3B9F" w:rsidRPr="0025078E">
              <w:rPr>
                <w:rFonts w:ascii="Times New Roman" w:hAnsi="Times New Roman" w:cs="Times New Roman"/>
                <w:sz w:val="20"/>
                <w:szCs w:val="20"/>
              </w:rPr>
              <w:t>Právní předpis EU</w:t>
            </w:r>
          </w:p>
        </w:tc>
        <w:tc>
          <w:tcPr>
            <w:tcW w:w="8366" w:type="dxa"/>
            <w:gridSpan w:val="5"/>
            <w:shd w:val="clear" w:color="auto" w:fill="FFFF00"/>
          </w:tcPr>
          <w:p w:rsidR="00CD3B9F" w:rsidRPr="0025078E" w:rsidRDefault="00CD3B9F" w:rsidP="00CD3B9F">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226CB6" w:rsidRPr="0025078E" w:rsidTr="00DE1490">
        <w:tc>
          <w:tcPr>
            <w:tcW w:w="2020" w:type="dxa"/>
            <w:vAlign w:val="center"/>
          </w:tcPr>
          <w:p w:rsidR="00226CB6" w:rsidRPr="0025078E" w:rsidRDefault="00CD3B9F" w:rsidP="00CD3B9F">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226CB6" w:rsidRPr="0025078E" w:rsidRDefault="00CD3B9F" w:rsidP="00CD3B9F">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226CB6" w:rsidRPr="0025078E" w:rsidRDefault="00EE1BC4" w:rsidP="00CD3B9F">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226CB6" w:rsidRPr="0025078E" w:rsidRDefault="00EE1BC4" w:rsidP="00CD3B9F">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543" w:type="dxa"/>
            <w:vAlign w:val="center"/>
          </w:tcPr>
          <w:p w:rsidR="00226CB6" w:rsidRPr="0025078E" w:rsidRDefault="00EE1BC4" w:rsidP="00CD3B9F">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418" w:type="dxa"/>
            <w:vAlign w:val="center"/>
          </w:tcPr>
          <w:p w:rsidR="00226CB6" w:rsidRPr="0025078E" w:rsidRDefault="001C3207" w:rsidP="00EE1BC4">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226CB6" w:rsidRPr="0025078E" w:rsidRDefault="00EE1BC4" w:rsidP="00CD3B9F">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CA6564" w:rsidRPr="0025078E" w:rsidTr="00DE1490">
        <w:tc>
          <w:tcPr>
            <w:tcW w:w="2020" w:type="dxa"/>
          </w:tcPr>
          <w:p w:rsidR="00CA6564" w:rsidRPr="0025078E" w:rsidRDefault="00CA6564" w:rsidP="001E5700">
            <w:pPr>
              <w:rPr>
                <w:rFonts w:ascii="Times New Roman" w:hAnsi="Times New Roman" w:cs="Times New Roman"/>
                <w:sz w:val="20"/>
                <w:szCs w:val="20"/>
              </w:rPr>
            </w:pPr>
            <w:r w:rsidRPr="0025078E">
              <w:rPr>
                <w:rFonts w:ascii="Times New Roman" w:hAnsi="Times New Roman" w:cs="Times New Roman"/>
                <w:sz w:val="20"/>
                <w:szCs w:val="20"/>
              </w:rPr>
              <w:t>Preambule</w:t>
            </w:r>
          </w:p>
        </w:tc>
        <w:tc>
          <w:tcPr>
            <w:tcW w:w="3758" w:type="dxa"/>
          </w:tcPr>
          <w:p w:rsidR="00CA6564" w:rsidRPr="0025078E" w:rsidRDefault="00CA6564" w:rsidP="001E5700">
            <w:pPr>
              <w:rPr>
                <w:rFonts w:ascii="Times New Roman" w:hAnsi="Times New Roman" w:cs="Times New Roman"/>
                <w:sz w:val="20"/>
                <w:szCs w:val="20"/>
              </w:rPr>
            </w:pPr>
            <w:r w:rsidRPr="0025078E">
              <w:rPr>
                <w:rFonts w:ascii="Times New Roman" w:hAnsi="Times New Roman" w:cs="Times New Roman"/>
                <w:sz w:val="20"/>
                <w:szCs w:val="20"/>
              </w:rPr>
              <w:t xml:space="preserve">(2) Vlády a </w:t>
            </w:r>
            <w:proofErr w:type="spellStart"/>
            <w:r w:rsidRPr="0025078E">
              <w:rPr>
                <w:rFonts w:ascii="Times New Roman" w:hAnsi="Times New Roman" w:cs="Times New Roman"/>
                <w:sz w:val="20"/>
                <w:szCs w:val="20"/>
              </w:rPr>
              <w:t>subsektory</w:t>
            </w:r>
            <w:proofErr w:type="spellEnd"/>
            <w:r w:rsidRPr="0025078E">
              <w:rPr>
                <w:rFonts w:ascii="Times New Roman" w:hAnsi="Times New Roman" w:cs="Times New Roman"/>
                <w:sz w:val="20"/>
                <w:szCs w:val="20"/>
              </w:rPr>
              <w:t xml:space="preserve"> sektoru vládních institucí členských států spravují systémy veřejných účtů, které obsahují prvky, jako je účetnictví, vnitřní kontrola, účetní výkaznictví a audit. Tyto systémy by měly být odlišovány od statistických údajů, které se týkají výsledků veřejných financí a jsou založeny na statistických metodikách, a od prognóz či rozpočtových opatření, které souvisí s budoucími veřejnými financemi.</w:t>
            </w:r>
          </w:p>
          <w:p w:rsidR="00CA6564" w:rsidRPr="0025078E" w:rsidRDefault="00CA6564" w:rsidP="001E5700">
            <w:pPr>
              <w:rPr>
                <w:rFonts w:ascii="Times New Roman" w:hAnsi="Times New Roman" w:cs="Times New Roman"/>
                <w:sz w:val="20"/>
                <w:szCs w:val="20"/>
              </w:rPr>
            </w:pPr>
          </w:p>
          <w:p w:rsidR="00CA6564" w:rsidRPr="0025078E" w:rsidRDefault="00CA6564" w:rsidP="001E5700">
            <w:pPr>
              <w:rPr>
                <w:rFonts w:ascii="Times New Roman" w:hAnsi="Times New Roman" w:cs="Times New Roman"/>
                <w:sz w:val="20"/>
                <w:szCs w:val="20"/>
              </w:rPr>
            </w:pPr>
            <w:r w:rsidRPr="0025078E">
              <w:rPr>
                <w:rFonts w:ascii="Times New Roman" w:hAnsi="Times New Roman" w:cs="Times New Roman"/>
                <w:sz w:val="20"/>
                <w:szCs w:val="20"/>
              </w:rPr>
              <w:t xml:space="preserve">(3) Předpokladem tvorby vysoce kvalitních statistik, které je možno porovnávat mezi všemi členskými státy, jsou kompletní a spolehlivé postupy veřejného účetnictví pro všechny </w:t>
            </w:r>
            <w:proofErr w:type="spellStart"/>
            <w:r w:rsidRPr="0025078E">
              <w:rPr>
                <w:rFonts w:ascii="Times New Roman" w:hAnsi="Times New Roman" w:cs="Times New Roman"/>
                <w:sz w:val="20"/>
                <w:szCs w:val="20"/>
              </w:rPr>
              <w:t>subsektory</w:t>
            </w:r>
            <w:proofErr w:type="spellEnd"/>
            <w:r w:rsidRPr="0025078E">
              <w:rPr>
                <w:rFonts w:ascii="Times New Roman" w:hAnsi="Times New Roman" w:cs="Times New Roman"/>
                <w:sz w:val="20"/>
                <w:szCs w:val="20"/>
              </w:rPr>
              <w:t xml:space="preserve"> sektoru vládních institucí. Vnitřní kontroly by měly zajistit, aby bylo plnění stávajících pravidel vymáháno ve všech </w:t>
            </w:r>
            <w:proofErr w:type="spellStart"/>
            <w:r w:rsidRPr="0025078E">
              <w:rPr>
                <w:rFonts w:ascii="Times New Roman" w:hAnsi="Times New Roman" w:cs="Times New Roman"/>
                <w:sz w:val="20"/>
                <w:szCs w:val="20"/>
              </w:rPr>
              <w:t>subsektorech</w:t>
            </w:r>
            <w:proofErr w:type="spellEnd"/>
            <w:r w:rsidRPr="0025078E">
              <w:rPr>
                <w:rFonts w:ascii="Times New Roman" w:hAnsi="Times New Roman" w:cs="Times New Roman"/>
                <w:sz w:val="20"/>
                <w:szCs w:val="20"/>
              </w:rPr>
              <w:t xml:space="preserve"> sektoru vládních institucí. Nezávislé audity </w:t>
            </w:r>
            <w:r w:rsidRPr="0025078E">
              <w:rPr>
                <w:rFonts w:ascii="Times New Roman" w:hAnsi="Times New Roman" w:cs="Times New Roman"/>
                <w:sz w:val="20"/>
                <w:szCs w:val="20"/>
              </w:rPr>
              <w:lastRenderedPageBreak/>
              <w:t>prováděné veřejnými institucemi, jako například Účetním dvorem, nebo soukromými auditními subjekty, by měly podporovat osvědčené mezinárodní postupy</w:t>
            </w:r>
          </w:p>
        </w:tc>
        <w:tc>
          <w:tcPr>
            <w:tcW w:w="1134" w:type="dxa"/>
            <w:vMerge w:val="restart"/>
          </w:tcPr>
          <w:p w:rsidR="00CA6564" w:rsidRPr="0025078E" w:rsidRDefault="007B2B77" w:rsidP="007B2B77">
            <w:pPr>
              <w:jc w:val="center"/>
              <w:rPr>
                <w:rFonts w:ascii="Times New Roman" w:hAnsi="Times New Roman" w:cs="Times New Roman"/>
                <w:sz w:val="20"/>
                <w:szCs w:val="20"/>
              </w:rPr>
            </w:pPr>
            <w:r w:rsidRPr="0025078E">
              <w:rPr>
                <w:rFonts w:ascii="Times New Roman" w:hAnsi="Times New Roman" w:cs="Times New Roman"/>
                <w:sz w:val="20"/>
                <w:szCs w:val="20"/>
              </w:rPr>
              <w:lastRenderedPageBreak/>
              <w:t>MF</w:t>
            </w:r>
          </w:p>
        </w:tc>
        <w:tc>
          <w:tcPr>
            <w:tcW w:w="1560" w:type="dxa"/>
            <w:vMerge w:val="restart"/>
          </w:tcPr>
          <w:p w:rsidR="00CA6564" w:rsidRPr="0025078E" w:rsidRDefault="007B2B77">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543" w:type="dxa"/>
          </w:tcPr>
          <w:p w:rsidR="00D4797B" w:rsidRPr="0025078E" w:rsidRDefault="00D4797B" w:rsidP="00212A5F">
            <w:pPr>
              <w:pStyle w:val="Textodstavce"/>
              <w:numPr>
                <w:ilvl w:val="0"/>
                <w:numId w:val="0"/>
              </w:numPr>
              <w:rPr>
                <w:sz w:val="20"/>
                <w:szCs w:val="20"/>
              </w:rPr>
            </w:pPr>
            <w:r w:rsidRPr="0025078E">
              <w:rPr>
                <w:sz w:val="20"/>
                <w:szCs w:val="20"/>
              </w:rPr>
              <w:t>§ 2</w:t>
            </w:r>
          </w:p>
          <w:p w:rsidR="00D34B59" w:rsidRPr="0025078E" w:rsidRDefault="00D34B59" w:rsidP="00D34B59">
            <w:pPr>
              <w:pStyle w:val="Textodstavce"/>
              <w:numPr>
                <w:ilvl w:val="0"/>
                <w:numId w:val="0"/>
              </w:numPr>
              <w:rPr>
                <w:sz w:val="20"/>
                <w:szCs w:val="20"/>
              </w:rPr>
            </w:pPr>
            <w:r w:rsidRPr="0025078E">
              <w:rPr>
                <w:sz w:val="20"/>
                <w:szCs w:val="20"/>
              </w:rPr>
              <w:t>(1) Tento zákon se vztahuje</w:t>
            </w:r>
            <w:r w:rsidRPr="0025078E">
              <w:rPr>
                <w:rStyle w:val="Znakapoznpodarou"/>
                <w:sz w:val="20"/>
                <w:szCs w:val="20"/>
              </w:rPr>
              <w:footnoteReference w:customMarkFollows="1" w:id="1"/>
              <w:t>2)</w:t>
            </w:r>
            <w:r w:rsidRPr="0025078E">
              <w:rPr>
                <w:sz w:val="20"/>
                <w:szCs w:val="20"/>
              </w:rPr>
              <w:t xml:space="preserve"> na řízení a kontrolu veřejných financí správce veřejného rozpočtu a veřejného subjektu.</w:t>
            </w:r>
          </w:p>
          <w:p w:rsidR="00D34B59" w:rsidRPr="0025078E" w:rsidRDefault="00D34B59" w:rsidP="00D34B59">
            <w:pPr>
              <w:pStyle w:val="Textodstavce"/>
              <w:numPr>
                <w:ilvl w:val="0"/>
                <w:numId w:val="0"/>
              </w:numPr>
              <w:rPr>
                <w:sz w:val="20"/>
                <w:szCs w:val="20"/>
              </w:rPr>
            </w:pPr>
            <w:r w:rsidRPr="0025078E">
              <w:rPr>
                <w:sz w:val="20"/>
                <w:szCs w:val="20"/>
              </w:rPr>
              <w:t>(2) Tento zákon se vztahuje</w:t>
            </w:r>
            <w:r w:rsidRPr="0025078E">
              <w:rPr>
                <w:rStyle w:val="Odkaznapoznpodarou"/>
                <w:sz w:val="20"/>
                <w:szCs w:val="20"/>
              </w:rPr>
              <w:t>2)</w:t>
            </w:r>
            <w:r w:rsidRPr="0025078E">
              <w:rPr>
                <w:sz w:val="20"/>
                <w:szCs w:val="20"/>
              </w:rPr>
              <w:t xml:space="preserve"> na řízení a kontrolu veřejných financí veřejné vysoké školy a veřejné výzkumné instituce, jen pokud tak výslovně stanoví. </w:t>
            </w:r>
          </w:p>
          <w:p w:rsidR="00CA6564" w:rsidRPr="0025078E" w:rsidRDefault="00CA6564" w:rsidP="00D34B59">
            <w:pPr>
              <w:pStyle w:val="Textpsmene"/>
              <w:numPr>
                <w:ilvl w:val="0"/>
                <w:numId w:val="0"/>
              </w:numPr>
              <w:spacing w:before="120" w:after="120"/>
              <w:rPr>
                <w:sz w:val="20"/>
                <w:szCs w:val="20"/>
              </w:rPr>
            </w:pPr>
          </w:p>
        </w:tc>
        <w:tc>
          <w:tcPr>
            <w:tcW w:w="1418" w:type="dxa"/>
            <w:vAlign w:val="center"/>
          </w:tcPr>
          <w:p w:rsidR="00CA6564" w:rsidRPr="0025078E" w:rsidRDefault="00CA6564" w:rsidP="009F4875">
            <w:pPr>
              <w:pStyle w:val="Textpsmene"/>
              <w:numPr>
                <w:ilvl w:val="0"/>
                <w:numId w:val="0"/>
              </w:numPr>
              <w:spacing w:before="120" w:after="120"/>
              <w:ind w:left="425" w:hanging="425"/>
              <w:jc w:val="left"/>
              <w:rPr>
                <w:sz w:val="20"/>
                <w:szCs w:val="20"/>
              </w:rPr>
            </w:pPr>
            <w:r w:rsidRPr="0025078E">
              <w:rPr>
                <w:sz w:val="20"/>
                <w:szCs w:val="20"/>
              </w:rPr>
              <w:t>DT</w:t>
            </w:r>
          </w:p>
        </w:tc>
        <w:tc>
          <w:tcPr>
            <w:tcW w:w="711" w:type="dxa"/>
            <w:vAlign w:val="center"/>
          </w:tcPr>
          <w:p w:rsidR="00CA6564" w:rsidRPr="0025078E" w:rsidRDefault="00CA6564" w:rsidP="009F4875">
            <w:pPr>
              <w:rPr>
                <w:rFonts w:ascii="Times New Roman" w:hAnsi="Times New Roman" w:cs="Times New Roman"/>
                <w:sz w:val="20"/>
                <w:szCs w:val="20"/>
              </w:rPr>
            </w:pPr>
          </w:p>
        </w:tc>
      </w:tr>
      <w:tr w:rsidR="00CA6564" w:rsidRPr="0025078E" w:rsidTr="00DE1490">
        <w:tc>
          <w:tcPr>
            <w:tcW w:w="2020" w:type="dxa"/>
          </w:tcPr>
          <w:p w:rsidR="00CA6564" w:rsidRPr="0025078E" w:rsidRDefault="00CA6564">
            <w:pPr>
              <w:rPr>
                <w:rFonts w:ascii="Times New Roman" w:hAnsi="Times New Roman" w:cs="Times New Roman"/>
                <w:sz w:val="20"/>
                <w:szCs w:val="20"/>
              </w:rPr>
            </w:pPr>
            <w:r w:rsidRPr="0025078E">
              <w:rPr>
                <w:rFonts w:ascii="Times New Roman" w:hAnsi="Times New Roman" w:cs="Times New Roman"/>
                <w:sz w:val="20"/>
                <w:szCs w:val="20"/>
              </w:rPr>
              <w:lastRenderedPageBreak/>
              <w:t>Čl. 3 odst. 1</w:t>
            </w:r>
          </w:p>
        </w:tc>
        <w:tc>
          <w:tcPr>
            <w:tcW w:w="3758" w:type="dxa"/>
          </w:tcPr>
          <w:p w:rsidR="00CA6564" w:rsidRPr="0025078E" w:rsidRDefault="00CA6564">
            <w:pPr>
              <w:rPr>
                <w:rFonts w:ascii="Times New Roman" w:hAnsi="Times New Roman" w:cs="Times New Roman"/>
                <w:sz w:val="20"/>
                <w:szCs w:val="20"/>
              </w:rPr>
            </w:pPr>
            <w:r w:rsidRPr="0025078E">
              <w:rPr>
                <w:rFonts w:ascii="Times New Roman" w:hAnsi="Times New Roman" w:cs="Times New Roman"/>
                <w:sz w:val="20"/>
                <w:szCs w:val="20"/>
              </w:rPr>
              <w:t xml:space="preserve">1.   Pokud jde o vnitrostátní systémy veřejných účtů, v členských státech fungují systémy veřejných účtů, které komplexně a konzistentně pokrývají všechny </w:t>
            </w:r>
            <w:proofErr w:type="spellStart"/>
            <w:r w:rsidRPr="0025078E">
              <w:rPr>
                <w:rFonts w:ascii="Times New Roman" w:hAnsi="Times New Roman" w:cs="Times New Roman"/>
                <w:sz w:val="20"/>
                <w:szCs w:val="20"/>
              </w:rPr>
              <w:t>subsektory</w:t>
            </w:r>
            <w:proofErr w:type="spellEnd"/>
            <w:r w:rsidRPr="0025078E">
              <w:rPr>
                <w:rFonts w:ascii="Times New Roman" w:hAnsi="Times New Roman" w:cs="Times New Roman"/>
                <w:sz w:val="20"/>
                <w:szCs w:val="20"/>
              </w:rPr>
              <w:t xml:space="preserve"> sektoru vládních institucí a obsahují informace potřebné k vypracování akruálních údajů pro sestavení údajů založených na standardu ESA 95. Uvedené systémy veřejných účtů podléhají vnitřní kontrole a nezávislému auditu.</w:t>
            </w:r>
          </w:p>
        </w:tc>
        <w:tc>
          <w:tcPr>
            <w:tcW w:w="1134" w:type="dxa"/>
            <w:vMerge/>
          </w:tcPr>
          <w:p w:rsidR="00CA6564" w:rsidRPr="0025078E" w:rsidRDefault="00CA6564">
            <w:pPr>
              <w:rPr>
                <w:rFonts w:ascii="Times New Roman" w:hAnsi="Times New Roman" w:cs="Times New Roman"/>
                <w:sz w:val="20"/>
                <w:szCs w:val="20"/>
              </w:rPr>
            </w:pPr>
          </w:p>
        </w:tc>
        <w:tc>
          <w:tcPr>
            <w:tcW w:w="1560" w:type="dxa"/>
            <w:vMerge/>
          </w:tcPr>
          <w:p w:rsidR="00CA6564" w:rsidRPr="0025078E" w:rsidRDefault="00CA6564">
            <w:pPr>
              <w:rPr>
                <w:rFonts w:ascii="Times New Roman" w:hAnsi="Times New Roman" w:cs="Times New Roman"/>
                <w:sz w:val="20"/>
                <w:szCs w:val="20"/>
              </w:rPr>
            </w:pPr>
          </w:p>
        </w:tc>
        <w:tc>
          <w:tcPr>
            <w:tcW w:w="3543" w:type="dxa"/>
          </w:tcPr>
          <w:p w:rsidR="00CA6564" w:rsidRPr="0025078E" w:rsidRDefault="006466DA" w:rsidP="00F30196">
            <w:pPr>
              <w:rPr>
                <w:rFonts w:ascii="Times New Roman" w:hAnsi="Times New Roman" w:cs="Times New Roman"/>
                <w:sz w:val="20"/>
                <w:szCs w:val="20"/>
              </w:rPr>
            </w:pPr>
            <w:r w:rsidRPr="0025078E">
              <w:rPr>
                <w:rFonts w:ascii="Times New Roman" w:hAnsi="Times New Roman" w:cs="Times New Roman"/>
                <w:sz w:val="20"/>
                <w:szCs w:val="20"/>
              </w:rPr>
              <w:t>§ 4</w:t>
            </w:r>
            <w:r w:rsidR="00CA6564" w:rsidRPr="0025078E">
              <w:rPr>
                <w:rFonts w:ascii="Times New Roman" w:hAnsi="Times New Roman" w:cs="Times New Roman"/>
                <w:sz w:val="20"/>
                <w:szCs w:val="20"/>
              </w:rPr>
              <w:t xml:space="preserve"> písm. a) a b)</w:t>
            </w:r>
          </w:p>
          <w:p w:rsidR="00CA6564" w:rsidRPr="0025078E" w:rsidRDefault="00CA6564" w:rsidP="00F30196">
            <w:pPr>
              <w:rPr>
                <w:rFonts w:ascii="Times New Roman" w:hAnsi="Times New Roman" w:cs="Times New Roman"/>
                <w:sz w:val="20"/>
                <w:szCs w:val="20"/>
              </w:rPr>
            </w:pPr>
          </w:p>
          <w:p w:rsidR="00212A5F" w:rsidRPr="0025078E" w:rsidRDefault="00212A5F" w:rsidP="00212A5F">
            <w:pPr>
              <w:pStyle w:val="Nadpisparagrafu"/>
              <w:spacing w:before="120" w:after="120"/>
              <w:jc w:val="left"/>
              <w:rPr>
                <w:sz w:val="20"/>
                <w:szCs w:val="20"/>
              </w:rPr>
            </w:pPr>
            <w:r w:rsidRPr="0025078E">
              <w:rPr>
                <w:sz w:val="20"/>
                <w:szCs w:val="20"/>
              </w:rPr>
              <w:t>Vymezení některých pojmů</w:t>
            </w:r>
          </w:p>
          <w:p w:rsidR="00212A5F" w:rsidRPr="0025078E" w:rsidRDefault="00212A5F" w:rsidP="00212A5F">
            <w:pPr>
              <w:pStyle w:val="Textodstavce"/>
              <w:numPr>
                <w:ilvl w:val="0"/>
                <w:numId w:val="0"/>
              </w:numPr>
              <w:rPr>
                <w:sz w:val="20"/>
                <w:szCs w:val="20"/>
              </w:rPr>
            </w:pPr>
            <w:r w:rsidRPr="0025078E">
              <w:rPr>
                <w:sz w:val="20"/>
                <w:szCs w:val="20"/>
              </w:rPr>
              <w:t>Pro účely tohoto zákona se rozumí</w:t>
            </w:r>
          </w:p>
          <w:p w:rsidR="00212A5F" w:rsidRPr="0025078E" w:rsidRDefault="00212A5F" w:rsidP="00212A5F">
            <w:pPr>
              <w:pStyle w:val="Textpsmene"/>
              <w:numPr>
                <w:ilvl w:val="0"/>
                <w:numId w:val="0"/>
              </w:numPr>
              <w:spacing w:before="120" w:after="120"/>
              <w:ind w:left="425" w:hanging="425"/>
              <w:rPr>
                <w:sz w:val="20"/>
                <w:szCs w:val="20"/>
              </w:rPr>
            </w:pPr>
            <w:r w:rsidRPr="0025078E">
              <w:rPr>
                <w:sz w:val="20"/>
                <w:szCs w:val="20"/>
              </w:rPr>
              <w:t>a) správcem veřejného rozpočtu</w:t>
            </w:r>
          </w:p>
          <w:p w:rsidR="00212A5F" w:rsidRPr="0025078E" w:rsidRDefault="00212A5F" w:rsidP="00212A5F">
            <w:pPr>
              <w:pStyle w:val="Textbodu"/>
              <w:numPr>
                <w:ilvl w:val="0"/>
                <w:numId w:val="0"/>
              </w:numPr>
              <w:spacing w:before="120" w:after="120"/>
              <w:ind w:left="-66"/>
              <w:rPr>
                <w:sz w:val="20"/>
                <w:szCs w:val="20"/>
              </w:rPr>
            </w:pPr>
            <w:r w:rsidRPr="0025078E">
              <w:rPr>
                <w:sz w:val="20"/>
                <w:szCs w:val="20"/>
              </w:rPr>
              <w:t>1. organizační složka státu, která je správcem kapitoly státního rozpočtu,</w:t>
            </w:r>
          </w:p>
          <w:p w:rsidR="00212A5F" w:rsidRPr="0025078E" w:rsidRDefault="00212A5F" w:rsidP="00212A5F">
            <w:pPr>
              <w:pStyle w:val="Textbodu"/>
              <w:numPr>
                <w:ilvl w:val="0"/>
                <w:numId w:val="0"/>
              </w:numPr>
              <w:spacing w:before="120" w:after="120"/>
              <w:rPr>
                <w:sz w:val="20"/>
                <w:szCs w:val="20"/>
              </w:rPr>
            </w:pPr>
            <w:r w:rsidRPr="0025078E">
              <w:rPr>
                <w:sz w:val="20"/>
                <w:szCs w:val="20"/>
              </w:rPr>
              <w:t>2. státní fond,</w:t>
            </w:r>
          </w:p>
          <w:p w:rsidR="00212A5F" w:rsidRPr="0025078E" w:rsidRDefault="00212A5F" w:rsidP="00212A5F">
            <w:pPr>
              <w:pStyle w:val="Textbodu"/>
              <w:numPr>
                <w:ilvl w:val="0"/>
                <w:numId w:val="0"/>
              </w:numPr>
              <w:spacing w:before="120" w:after="120"/>
              <w:rPr>
                <w:sz w:val="20"/>
                <w:szCs w:val="20"/>
              </w:rPr>
            </w:pPr>
            <w:r w:rsidRPr="0025078E">
              <w:rPr>
                <w:sz w:val="20"/>
                <w:szCs w:val="20"/>
              </w:rPr>
              <w:t>3. kraj,</w:t>
            </w:r>
          </w:p>
          <w:p w:rsidR="00212A5F" w:rsidRPr="0025078E" w:rsidRDefault="00212A5F" w:rsidP="00212A5F">
            <w:pPr>
              <w:pStyle w:val="Textbodu"/>
              <w:numPr>
                <w:ilvl w:val="0"/>
                <w:numId w:val="0"/>
              </w:numPr>
              <w:spacing w:before="120" w:after="120"/>
              <w:rPr>
                <w:sz w:val="20"/>
                <w:szCs w:val="20"/>
              </w:rPr>
            </w:pPr>
            <w:r w:rsidRPr="0025078E">
              <w:rPr>
                <w:sz w:val="20"/>
                <w:szCs w:val="20"/>
              </w:rPr>
              <w:t>4. hlavní město Praha,</w:t>
            </w:r>
          </w:p>
          <w:p w:rsidR="00212A5F" w:rsidRPr="0025078E" w:rsidRDefault="00212A5F" w:rsidP="00212A5F">
            <w:pPr>
              <w:pStyle w:val="Textbodu"/>
              <w:numPr>
                <w:ilvl w:val="0"/>
                <w:numId w:val="0"/>
              </w:numPr>
              <w:spacing w:before="120" w:after="120"/>
              <w:rPr>
                <w:sz w:val="20"/>
                <w:szCs w:val="20"/>
              </w:rPr>
            </w:pPr>
            <w:r w:rsidRPr="0025078E">
              <w:rPr>
                <w:sz w:val="20"/>
                <w:szCs w:val="20"/>
              </w:rPr>
              <w:t>5. obec,</w:t>
            </w:r>
          </w:p>
          <w:p w:rsidR="00212A5F" w:rsidRPr="0025078E" w:rsidRDefault="00212A5F" w:rsidP="00212A5F">
            <w:pPr>
              <w:pStyle w:val="Textbodu"/>
              <w:numPr>
                <w:ilvl w:val="0"/>
                <w:numId w:val="0"/>
              </w:numPr>
              <w:spacing w:before="120" w:after="120"/>
              <w:rPr>
                <w:sz w:val="20"/>
                <w:szCs w:val="20"/>
              </w:rPr>
            </w:pPr>
            <w:r w:rsidRPr="0025078E">
              <w:rPr>
                <w:sz w:val="20"/>
                <w:szCs w:val="20"/>
              </w:rPr>
              <w:t>6. dobrovolný svazek obcí,</w:t>
            </w:r>
          </w:p>
          <w:p w:rsidR="00212A5F" w:rsidRPr="0025078E" w:rsidRDefault="00212A5F" w:rsidP="00212A5F">
            <w:pPr>
              <w:pStyle w:val="Textbodu"/>
              <w:numPr>
                <w:ilvl w:val="0"/>
                <w:numId w:val="0"/>
              </w:numPr>
              <w:spacing w:before="120" w:after="120"/>
              <w:rPr>
                <w:sz w:val="20"/>
                <w:szCs w:val="20"/>
              </w:rPr>
            </w:pPr>
            <w:r w:rsidRPr="0025078E">
              <w:rPr>
                <w:sz w:val="20"/>
                <w:szCs w:val="20"/>
              </w:rPr>
              <w:t>7. regionální rada regionu soudržnosti,</w:t>
            </w:r>
          </w:p>
          <w:p w:rsidR="00212A5F" w:rsidRPr="0025078E" w:rsidRDefault="00212A5F" w:rsidP="00212A5F">
            <w:pPr>
              <w:pStyle w:val="Textbodu"/>
              <w:numPr>
                <w:ilvl w:val="0"/>
                <w:numId w:val="0"/>
              </w:numPr>
              <w:spacing w:before="120" w:after="120"/>
              <w:rPr>
                <w:sz w:val="20"/>
                <w:szCs w:val="20"/>
              </w:rPr>
            </w:pPr>
            <w:r w:rsidRPr="0025078E">
              <w:rPr>
                <w:sz w:val="20"/>
                <w:szCs w:val="20"/>
              </w:rPr>
              <w:t>8. zdravotní pojišťovna,</w:t>
            </w:r>
          </w:p>
          <w:p w:rsidR="00212A5F" w:rsidRPr="0025078E" w:rsidRDefault="00212A5F" w:rsidP="00212A5F">
            <w:pPr>
              <w:pStyle w:val="Textpsmene"/>
              <w:numPr>
                <w:ilvl w:val="0"/>
                <w:numId w:val="0"/>
              </w:numPr>
              <w:spacing w:before="120" w:after="120"/>
              <w:ind w:left="425" w:hanging="425"/>
              <w:rPr>
                <w:sz w:val="20"/>
                <w:szCs w:val="20"/>
              </w:rPr>
            </w:pPr>
            <w:r w:rsidRPr="0025078E">
              <w:rPr>
                <w:sz w:val="20"/>
                <w:szCs w:val="20"/>
              </w:rPr>
              <w:t>b) veřejným subjektem</w:t>
            </w:r>
          </w:p>
          <w:p w:rsidR="00212A5F" w:rsidRPr="0025078E" w:rsidRDefault="00212A5F" w:rsidP="00212A5F">
            <w:pPr>
              <w:pStyle w:val="Textbodu"/>
              <w:numPr>
                <w:ilvl w:val="0"/>
                <w:numId w:val="0"/>
              </w:numPr>
              <w:spacing w:before="120" w:after="120"/>
              <w:rPr>
                <w:sz w:val="20"/>
                <w:szCs w:val="20"/>
              </w:rPr>
            </w:pPr>
            <w:r w:rsidRPr="0025078E">
              <w:rPr>
                <w:sz w:val="20"/>
                <w:szCs w:val="20"/>
              </w:rPr>
              <w:t>1. organizační složka státu, která není správcem kapitoly státního rozpočtu,</w:t>
            </w:r>
          </w:p>
          <w:p w:rsidR="00212A5F" w:rsidRPr="0025078E" w:rsidRDefault="00212A5F" w:rsidP="00212A5F">
            <w:pPr>
              <w:pStyle w:val="Textbodu"/>
              <w:numPr>
                <w:ilvl w:val="0"/>
                <w:numId w:val="0"/>
              </w:numPr>
              <w:spacing w:before="120" w:after="120"/>
              <w:rPr>
                <w:sz w:val="20"/>
                <w:szCs w:val="20"/>
              </w:rPr>
            </w:pPr>
            <w:r w:rsidRPr="0025078E">
              <w:rPr>
                <w:sz w:val="20"/>
                <w:szCs w:val="20"/>
              </w:rPr>
              <w:t>2. státní příspěvková organizace,</w:t>
            </w:r>
          </w:p>
          <w:p w:rsidR="00212A5F" w:rsidRPr="0025078E" w:rsidRDefault="00212A5F" w:rsidP="00212A5F">
            <w:pPr>
              <w:pStyle w:val="Textbodu"/>
              <w:numPr>
                <w:ilvl w:val="0"/>
                <w:numId w:val="0"/>
              </w:numPr>
              <w:spacing w:before="120" w:after="120"/>
              <w:rPr>
                <w:sz w:val="20"/>
                <w:szCs w:val="20"/>
              </w:rPr>
            </w:pPr>
            <w:r w:rsidRPr="0025078E">
              <w:rPr>
                <w:sz w:val="20"/>
                <w:szCs w:val="20"/>
              </w:rPr>
              <w:t>3. Správa železniční dopravní cesty,</w:t>
            </w:r>
          </w:p>
          <w:p w:rsidR="00212A5F" w:rsidRPr="0025078E" w:rsidRDefault="00212A5F" w:rsidP="00212A5F">
            <w:pPr>
              <w:pStyle w:val="Textbodu"/>
              <w:numPr>
                <w:ilvl w:val="0"/>
                <w:numId w:val="0"/>
              </w:numPr>
              <w:spacing w:before="120" w:after="120"/>
              <w:rPr>
                <w:sz w:val="20"/>
                <w:szCs w:val="20"/>
              </w:rPr>
            </w:pPr>
            <w:r w:rsidRPr="0025078E">
              <w:rPr>
                <w:sz w:val="20"/>
                <w:szCs w:val="20"/>
              </w:rPr>
              <w:t>4. městská část hlavního města Prahy,</w:t>
            </w:r>
          </w:p>
          <w:p w:rsidR="00212A5F" w:rsidRPr="0025078E" w:rsidRDefault="00212A5F" w:rsidP="00212A5F">
            <w:pPr>
              <w:pStyle w:val="Textbodu"/>
              <w:numPr>
                <w:ilvl w:val="0"/>
                <w:numId w:val="0"/>
              </w:numPr>
              <w:spacing w:before="120" w:after="120"/>
              <w:rPr>
                <w:sz w:val="20"/>
                <w:szCs w:val="20"/>
              </w:rPr>
            </w:pPr>
            <w:r w:rsidRPr="0025078E">
              <w:rPr>
                <w:sz w:val="20"/>
                <w:szCs w:val="20"/>
              </w:rPr>
              <w:t>5. městský obvod nebo městská část statutárního města,</w:t>
            </w:r>
          </w:p>
          <w:p w:rsidR="00212A5F" w:rsidRPr="0025078E" w:rsidRDefault="00212A5F" w:rsidP="00212A5F">
            <w:pPr>
              <w:pStyle w:val="Textbodu"/>
              <w:numPr>
                <w:ilvl w:val="0"/>
                <w:numId w:val="0"/>
              </w:numPr>
              <w:spacing w:before="120" w:after="120"/>
              <w:rPr>
                <w:sz w:val="20"/>
                <w:szCs w:val="20"/>
              </w:rPr>
            </w:pPr>
            <w:r w:rsidRPr="0025078E">
              <w:rPr>
                <w:sz w:val="20"/>
                <w:szCs w:val="20"/>
              </w:rPr>
              <w:t>6. příspěvková organizace zřízená kra</w:t>
            </w:r>
            <w:r w:rsidR="00AC71FE" w:rsidRPr="0025078E">
              <w:rPr>
                <w:sz w:val="20"/>
                <w:szCs w:val="20"/>
              </w:rPr>
              <w:t>jem, obcí</w:t>
            </w:r>
            <w:r w:rsidRPr="0025078E">
              <w:rPr>
                <w:sz w:val="20"/>
                <w:szCs w:val="20"/>
              </w:rPr>
              <w:t xml:space="preserve">, městskou částí hlavního </w:t>
            </w:r>
            <w:r w:rsidRPr="0025078E">
              <w:rPr>
                <w:sz w:val="20"/>
                <w:szCs w:val="20"/>
              </w:rPr>
              <w:lastRenderedPageBreak/>
              <w:t>města Prahy, městským obvodem statutárního města, městskou částí statutárního města nebo dobrovolným svazkem obcí,</w:t>
            </w:r>
          </w:p>
          <w:p w:rsidR="00CA6564" w:rsidRPr="0025078E" w:rsidRDefault="00212A5F" w:rsidP="00212A5F">
            <w:pPr>
              <w:rPr>
                <w:rFonts w:ascii="Times New Roman" w:hAnsi="Times New Roman" w:cs="Times New Roman"/>
                <w:sz w:val="20"/>
                <w:szCs w:val="20"/>
              </w:rPr>
            </w:pPr>
            <w:r w:rsidRPr="0025078E">
              <w:rPr>
                <w:rFonts w:ascii="Times New Roman" w:hAnsi="Times New Roman" w:cs="Times New Roman"/>
                <w:sz w:val="20"/>
                <w:szCs w:val="20"/>
              </w:rPr>
              <w:t>7. školská právnická osoba zřízená Ministerstvem školství, mládeže a tělovýchovy, krajem, obcí, městskou částí hlavního města Prahy, městským obvodem statutárního města, městskou částí statutárního města nebo dobrovolným svazkem obcí,</w:t>
            </w:r>
          </w:p>
        </w:tc>
        <w:tc>
          <w:tcPr>
            <w:tcW w:w="1418" w:type="dxa"/>
            <w:vAlign w:val="center"/>
          </w:tcPr>
          <w:p w:rsidR="00CA6564" w:rsidRPr="0025078E" w:rsidRDefault="006B6797" w:rsidP="009F4875">
            <w:pPr>
              <w:rPr>
                <w:rFonts w:ascii="Times New Roman" w:hAnsi="Times New Roman" w:cs="Times New Roman"/>
                <w:sz w:val="20"/>
                <w:szCs w:val="20"/>
              </w:rPr>
            </w:pPr>
            <w:r w:rsidRPr="0025078E">
              <w:rPr>
                <w:rFonts w:ascii="Times New Roman" w:hAnsi="Times New Roman" w:cs="Times New Roman"/>
                <w:sz w:val="20"/>
                <w:szCs w:val="20"/>
              </w:rPr>
              <w:lastRenderedPageBreak/>
              <w:t>DT</w:t>
            </w:r>
          </w:p>
        </w:tc>
        <w:tc>
          <w:tcPr>
            <w:tcW w:w="711" w:type="dxa"/>
            <w:vAlign w:val="center"/>
          </w:tcPr>
          <w:p w:rsidR="00CA6564" w:rsidRPr="0025078E" w:rsidRDefault="00CA6564" w:rsidP="009F4875">
            <w:pPr>
              <w:rPr>
                <w:rFonts w:ascii="Times New Roman" w:hAnsi="Times New Roman" w:cs="Times New Roman"/>
                <w:sz w:val="20"/>
                <w:szCs w:val="20"/>
              </w:rPr>
            </w:pPr>
          </w:p>
        </w:tc>
      </w:tr>
    </w:tbl>
    <w:p w:rsidR="001D336E" w:rsidRPr="0025078E" w:rsidRDefault="001D336E">
      <w:pPr>
        <w:rPr>
          <w:rFonts w:ascii="Times New Roman" w:hAnsi="Times New Roman" w:cs="Times New Roman"/>
          <w:sz w:val="20"/>
          <w:szCs w:val="20"/>
        </w:rPr>
      </w:pPr>
    </w:p>
    <w:p w:rsidR="00DD2065" w:rsidRPr="0025078E" w:rsidRDefault="00DD2065">
      <w:pPr>
        <w:rPr>
          <w:rFonts w:ascii="Times New Roman" w:hAnsi="Times New Roman" w:cs="Times New Roman"/>
          <w:sz w:val="20"/>
          <w:szCs w:val="20"/>
        </w:rPr>
      </w:pPr>
    </w:p>
    <w:p w:rsidR="00DD2065" w:rsidRPr="0025078E" w:rsidRDefault="00DD2065">
      <w:pPr>
        <w:rPr>
          <w:rFonts w:ascii="Times New Roman" w:hAnsi="Times New Roman" w:cs="Times New Roman"/>
          <w:sz w:val="20"/>
          <w:szCs w:val="20"/>
        </w:rPr>
      </w:pPr>
      <w:r w:rsidRPr="0025078E">
        <w:rPr>
          <w:rFonts w:ascii="Times New Roman" w:hAnsi="Times New Roman" w:cs="Times New Roman"/>
          <w:sz w:val="20"/>
          <w:szCs w:val="20"/>
        </w:rPr>
        <w:br w:type="page"/>
      </w: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1D336E" w:rsidRPr="0025078E" w:rsidTr="00E04433">
        <w:tc>
          <w:tcPr>
            <w:tcW w:w="2357" w:type="dxa"/>
            <w:vAlign w:val="center"/>
          </w:tcPr>
          <w:p w:rsidR="001D336E" w:rsidRPr="0025078E" w:rsidRDefault="001D336E" w:rsidP="00E04433">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32012R0966</w:t>
            </w:r>
          </w:p>
        </w:tc>
        <w:tc>
          <w:tcPr>
            <w:tcW w:w="1842"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897E1C"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 xml:space="preserve">Mgr. Andrea Vuongová, </w:t>
            </w:r>
          </w:p>
          <w:p w:rsidR="001D336E" w:rsidRPr="0025078E" w:rsidRDefault="00426BF0" w:rsidP="00E04433">
            <w:pPr>
              <w:rPr>
                <w:rFonts w:ascii="Times New Roman" w:hAnsi="Times New Roman" w:cs="Times New Roman"/>
                <w:sz w:val="20"/>
                <w:szCs w:val="20"/>
              </w:rPr>
            </w:pPr>
            <w:r w:rsidRPr="0025078E">
              <w:rPr>
                <w:rFonts w:ascii="Times New Roman" w:hAnsi="Times New Roman" w:cs="Times New Roman"/>
                <w:sz w:val="20"/>
                <w:szCs w:val="20"/>
              </w:rPr>
              <w:t>28. 11. 2016</w:t>
            </w:r>
          </w:p>
        </w:tc>
      </w:tr>
      <w:tr w:rsidR="001D336E" w:rsidRPr="0025078E" w:rsidTr="00E04433">
        <w:tc>
          <w:tcPr>
            <w:tcW w:w="2357"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Nařízení (EU, Euratom) č. 966/2012 Evropského parlamentu a Rady ze dne 25. října 2012, kterým se stanoví finanční pravidla o souhrnném rozpočtu Unie a o zrušení nařízení Rady (ES, Euratom) č. 1605/2002</w:t>
            </w:r>
          </w:p>
        </w:tc>
        <w:tc>
          <w:tcPr>
            <w:tcW w:w="1842"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1D336E" w:rsidRPr="0025078E" w:rsidRDefault="001D336E" w:rsidP="00E04433">
            <w:pPr>
              <w:rPr>
                <w:rFonts w:ascii="Times New Roman" w:hAnsi="Times New Roman" w:cs="Times New Roman"/>
                <w:sz w:val="20"/>
                <w:szCs w:val="20"/>
              </w:rPr>
            </w:pPr>
          </w:p>
        </w:tc>
        <w:tc>
          <w:tcPr>
            <w:tcW w:w="2358"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1D336E" w:rsidRPr="0025078E" w:rsidRDefault="001D336E" w:rsidP="00E04433">
            <w:pPr>
              <w:rPr>
                <w:rFonts w:ascii="Times New Roman" w:hAnsi="Times New Roman" w:cs="Times New Roman"/>
                <w:sz w:val="20"/>
                <w:szCs w:val="20"/>
              </w:rPr>
            </w:pPr>
            <w:r w:rsidRPr="0025078E">
              <w:rPr>
                <w:rFonts w:ascii="Times New Roman" w:hAnsi="Times New Roman" w:cs="Times New Roman"/>
                <w:sz w:val="20"/>
                <w:szCs w:val="20"/>
              </w:rPr>
              <w:t xml:space="preserve">Mgr. Jana Kranecová, Ph.D., </w:t>
            </w:r>
            <w:r w:rsidR="00426BF0" w:rsidRPr="0025078E">
              <w:rPr>
                <w:rFonts w:ascii="Times New Roman" w:hAnsi="Times New Roman" w:cs="Times New Roman"/>
                <w:sz w:val="20"/>
                <w:szCs w:val="20"/>
              </w:rPr>
              <w:t>28. 11. 2016</w:t>
            </w:r>
          </w:p>
        </w:tc>
      </w:tr>
    </w:tbl>
    <w:p w:rsidR="00DD2065" w:rsidRPr="0025078E" w:rsidRDefault="00DD2065">
      <w:pPr>
        <w:rPr>
          <w:rFonts w:ascii="Times New Roman" w:hAnsi="Times New Roman" w:cs="Times New Roman"/>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685"/>
        <w:gridCol w:w="1276"/>
        <w:gridCol w:w="711"/>
      </w:tblGrid>
      <w:tr w:rsidR="00DD2065" w:rsidRPr="0025078E" w:rsidTr="001D336E">
        <w:trPr>
          <w:tblHeader/>
        </w:trPr>
        <w:tc>
          <w:tcPr>
            <w:tcW w:w="5778" w:type="dxa"/>
            <w:gridSpan w:val="2"/>
            <w:shd w:val="clear" w:color="auto" w:fill="00B0F0"/>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br w:type="page"/>
              <w:t>Právní předpis EU</w:t>
            </w:r>
          </w:p>
        </w:tc>
        <w:tc>
          <w:tcPr>
            <w:tcW w:w="8366" w:type="dxa"/>
            <w:gridSpan w:val="5"/>
            <w:shd w:val="clear" w:color="auto" w:fill="FFFF00"/>
          </w:tcPr>
          <w:p w:rsidR="00DD2065" w:rsidRPr="0025078E" w:rsidRDefault="00DD2065" w:rsidP="001D336E">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DD2065" w:rsidRPr="0025078E" w:rsidTr="001D336E">
        <w:tc>
          <w:tcPr>
            <w:tcW w:w="2020"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685"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276"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DD2065" w:rsidRPr="0025078E" w:rsidRDefault="00DD2065" w:rsidP="001D336E">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4F4F3D" w:rsidRPr="0025078E" w:rsidTr="001707A3">
        <w:tc>
          <w:tcPr>
            <w:tcW w:w="2020" w:type="dxa"/>
          </w:tcPr>
          <w:p w:rsidR="004F4F3D" w:rsidRPr="0025078E" w:rsidRDefault="004F4F3D" w:rsidP="001707A3">
            <w:pPr>
              <w:rPr>
                <w:rFonts w:ascii="Times New Roman" w:hAnsi="Times New Roman" w:cs="Times New Roman"/>
                <w:sz w:val="20"/>
                <w:szCs w:val="20"/>
              </w:rPr>
            </w:pPr>
            <w:r w:rsidRPr="0025078E">
              <w:rPr>
                <w:rFonts w:ascii="Times New Roman" w:hAnsi="Times New Roman" w:cs="Times New Roman"/>
                <w:sz w:val="20"/>
                <w:szCs w:val="20"/>
              </w:rPr>
              <w:t>čl. 30</w:t>
            </w:r>
          </w:p>
        </w:tc>
        <w:tc>
          <w:tcPr>
            <w:tcW w:w="3758" w:type="dxa"/>
          </w:tcPr>
          <w:p w:rsidR="004F4F3D" w:rsidRPr="0025078E" w:rsidRDefault="004F4F3D" w:rsidP="001D336E">
            <w:pPr>
              <w:rPr>
                <w:rFonts w:ascii="Times New Roman" w:hAnsi="Times New Roman" w:cs="Times New Roman"/>
                <w:b/>
                <w:sz w:val="20"/>
                <w:szCs w:val="20"/>
              </w:rPr>
            </w:pPr>
            <w:r w:rsidRPr="0025078E">
              <w:rPr>
                <w:rFonts w:ascii="Times New Roman" w:hAnsi="Times New Roman" w:cs="Times New Roman"/>
                <w:b/>
                <w:sz w:val="20"/>
                <w:szCs w:val="20"/>
              </w:rPr>
              <w:t>Zásady hospodárnosti, účinnosti a účelnosti</w:t>
            </w:r>
          </w:p>
          <w:p w:rsidR="004F4F3D" w:rsidRPr="0025078E" w:rsidRDefault="004F4F3D" w:rsidP="001D336E">
            <w:pPr>
              <w:rPr>
                <w:rFonts w:ascii="Times New Roman" w:hAnsi="Times New Roman" w:cs="Times New Roman"/>
                <w:sz w:val="20"/>
                <w:szCs w:val="20"/>
              </w:rPr>
            </w:pP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1.   Používání prostředků musí být v souladu se zásadou řádného finančního řízení, tj. se zásadami hospodárnosti, účinnosti a účelnosti.</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2.   Zásada hospodárnosti vyžaduje, aby zdroje používané orgánem k výkonu jeho činnosti byly dány k dispozici ve správnou dobu, v dostatečném množství a přiměřené kvalitě a za nejvýhodnější cenu.</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Zásada účinnosti se týká dosažení co nejlepšího vztahu mezi použitými zdroji a dosaženými výsledky.</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Zásada účelnosti se týká dosažení konkrétních stanovených cílů a zamýšlených výsledků.</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3.   Pro všechny oblasti činností, na které se vztahuje rozpočet, musí být stanoveny konkrétní, měřitelné, dosažitelné, relevantní a časově vymezené cíle. Dosažení těchto cílů se kontroluje pomocí ukazatelů výkonnosti pro každou činnost a útvary příslušné pro výdaje předávají informace uvedené v čl. 38 odst. 3 písm. e) Evropskému parlamentu a Radě. Tyto informace se předávají každoročně a nejpozději s dokumenty přiloženými k návrhu rozpočtu.</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4.   Ke zdokonalení rozhodovacího procesu provádějí orgány hodnocení ex ante a ex post podle pokynů vydaných Komisí. Tato hodnocení se provádějí u všech programů a činností, které jsou spojeny se značnými výdaji, a výsledky těchto hodnocení se zasílají Evropskému parlamentu, Radě a útvarům příslušným pro výdaje.</w:t>
            </w:r>
          </w:p>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5.   Komisi je svěřena pravomoc přijímat akty v přenesené pravomoci v souladu s článkem 210, kterými stanoví podrobná pravidla týkající se hodnocení ex ante, v polovině období a ex post.</w:t>
            </w:r>
          </w:p>
          <w:p w:rsidR="00A92384" w:rsidRPr="0025078E" w:rsidRDefault="00A92384" w:rsidP="001D336E">
            <w:pPr>
              <w:rPr>
                <w:rFonts w:ascii="Times New Roman" w:hAnsi="Times New Roman" w:cs="Times New Roman"/>
                <w:sz w:val="20"/>
                <w:szCs w:val="20"/>
              </w:rPr>
            </w:pPr>
          </w:p>
        </w:tc>
        <w:tc>
          <w:tcPr>
            <w:tcW w:w="1134" w:type="dxa"/>
          </w:tcPr>
          <w:p w:rsidR="004F4F3D" w:rsidRPr="0025078E" w:rsidRDefault="004F4F3D"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4F4F3D" w:rsidRPr="0025078E" w:rsidRDefault="004F4F3D"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4F4F3D" w:rsidRPr="0025078E" w:rsidRDefault="001D336E" w:rsidP="001D336E">
            <w:pPr>
              <w:rPr>
                <w:rFonts w:ascii="Times New Roman" w:hAnsi="Times New Roman" w:cs="Times New Roman"/>
                <w:sz w:val="20"/>
                <w:szCs w:val="20"/>
              </w:rPr>
            </w:pPr>
            <w:r w:rsidRPr="0025078E">
              <w:rPr>
                <w:rFonts w:ascii="Times New Roman" w:hAnsi="Times New Roman" w:cs="Times New Roman"/>
                <w:sz w:val="20"/>
                <w:szCs w:val="20"/>
              </w:rPr>
              <w:t>§ 5</w:t>
            </w:r>
          </w:p>
          <w:p w:rsidR="009F4875" w:rsidRPr="0025078E" w:rsidRDefault="009F4875" w:rsidP="009F4875">
            <w:pPr>
              <w:pStyle w:val="Nadpisparagrafu"/>
              <w:spacing w:before="120" w:after="120"/>
              <w:jc w:val="left"/>
              <w:rPr>
                <w:sz w:val="20"/>
                <w:szCs w:val="20"/>
              </w:rPr>
            </w:pPr>
            <w:r w:rsidRPr="0025078E">
              <w:rPr>
                <w:sz w:val="20"/>
                <w:szCs w:val="20"/>
              </w:rPr>
              <w:t>Cíl řízení a kontroly veřejných financí</w:t>
            </w:r>
          </w:p>
          <w:p w:rsidR="009F4875" w:rsidRPr="0025078E" w:rsidRDefault="009F4875" w:rsidP="009F4875">
            <w:pPr>
              <w:pStyle w:val="Textodstavce"/>
              <w:numPr>
                <w:ilvl w:val="0"/>
                <w:numId w:val="0"/>
              </w:numPr>
              <w:tabs>
                <w:tab w:val="num" w:pos="782"/>
              </w:tabs>
              <w:rPr>
                <w:sz w:val="20"/>
                <w:szCs w:val="20"/>
              </w:rPr>
            </w:pPr>
            <w:r w:rsidRPr="0025078E">
              <w:rPr>
                <w:sz w:val="20"/>
                <w:szCs w:val="20"/>
              </w:rPr>
              <w:t>(1) Cílem řízení a kontroly veřejných financí je zajistit, aby s veřejnými prostředky bylo nakládáno účelně, hospodárně a efektivně.</w:t>
            </w:r>
          </w:p>
          <w:p w:rsidR="009F4875" w:rsidRPr="0025078E" w:rsidRDefault="009F4875" w:rsidP="009F4875">
            <w:pPr>
              <w:pStyle w:val="Textodstavce"/>
              <w:numPr>
                <w:ilvl w:val="0"/>
                <w:numId w:val="0"/>
              </w:numPr>
              <w:rPr>
                <w:sz w:val="20"/>
                <w:szCs w:val="20"/>
              </w:rPr>
            </w:pPr>
            <w:r w:rsidRPr="0025078E">
              <w:rPr>
                <w:sz w:val="20"/>
                <w:szCs w:val="20"/>
              </w:rPr>
              <w:t>(2) Správce veřejného rozpočtu, veřejný subjekt a příjemce veřejné finanční podpory nakládá s veřejnými prostředky</w:t>
            </w:r>
          </w:p>
          <w:p w:rsidR="009F4875" w:rsidRPr="0025078E" w:rsidRDefault="009F4875" w:rsidP="009F4875">
            <w:pPr>
              <w:pStyle w:val="Textpsmene"/>
              <w:numPr>
                <w:ilvl w:val="0"/>
                <w:numId w:val="0"/>
              </w:numPr>
              <w:tabs>
                <w:tab w:val="num" w:pos="2627"/>
              </w:tabs>
              <w:spacing w:before="120" w:after="120"/>
              <w:rPr>
                <w:sz w:val="20"/>
                <w:szCs w:val="20"/>
              </w:rPr>
            </w:pPr>
            <w:r w:rsidRPr="0025078E">
              <w:rPr>
                <w:sz w:val="20"/>
                <w:szCs w:val="20"/>
              </w:rPr>
              <w:t>a) účelně, pokud dosažené výsledky odpovídají stanovené potřebě,</w:t>
            </w:r>
          </w:p>
          <w:p w:rsidR="009F4875" w:rsidRPr="0025078E" w:rsidRDefault="009F4875" w:rsidP="009F4875">
            <w:pPr>
              <w:pStyle w:val="Textpsmene"/>
              <w:numPr>
                <w:ilvl w:val="0"/>
                <w:numId w:val="0"/>
              </w:numPr>
              <w:tabs>
                <w:tab w:val="num" w:pos="2627"/>
              </w:tabs>
              <w:spacing w:before="120" w:after="120"/>
              <w:rPr>
                <w:sz w:val="20"/>
                <w:szCs w:val="20"/>
              </w:rPr>
            </w:pPr>
            <w:r w:rsidRPr="0025078E">
              <w:rPr>
                <w:sz w:val="20"/>
                <w:szCs w:val="20"/>
              </w:rPr>
              <w:t>b) hospodárně, pokud jsou zdroje k dispozici ve správnou dobu, v dostatečném množství, v přiměřené kvalitě a za co nejvýhodnější cenu, a</w:t>
            </w:r>
          </w:p>
          <w:p w:rsidR="004F4F3D" w:rsidRPr="0025078E" w:rsidRDefault="009F4875" w:rsidP="009F4875">
            <w:pPr>
              <w:rPr>
                <w:rFonts w:ascii="Times New Roman" w:hAnsi="Times New Roman" w:cs="Times New Roman"/>
                <w:sz w:val="20"/>
                <w:szCs w:val="20"/>
              </w:rPr>
            </w:pPr>
            <w:r w:rsidRPr="0025078E">
              <w:rPr>
                <w:rFonts w:ascii="Times New Roman" w:hAnsi="Times New Roman" w:cs="Times New Roman"/>
                <w:sz w:val="20"/>
                <w:szCs w:val="20"/>
              </w:rPr>
              <w:t>c) efektivně, pokud je dosaženo co nejlepšího vztahu mezi použitými prostředky a dosaženými výsledky.</w:t>
            </w:r>
          </w:p>
        </w:tc>
        <w:tc>
          <w:tcPr>
            <w:tcW w:w="1276" w:type="dxa"/>
            <w:vAlign w:val="center"/>
          </w:tcPr>
          <w:p w:rsidR="004F4F3D" w:rsidRPr="0025078E" w:rsidRDefault="006B6797" w:rsidP="001D336E">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4F4F3D" w:rsidRPr="0025078E" w:rsidRDefault="004F4F3D" w:rsidP="001D336E">
            <w:pPr>
              <w:jc w:val="center"/>
              <w:rPr>
                <w:rFonts w:ascii="Times New Roman" w:hAnsi="Times New Roman" w:cs="Times New Roman"/>
                <w:sz w:val="20"/>
                <w:szCs w:val="20"/>
              </w:rPr>
            </w:pPr>
          </w:p>
        </w:tc>
      </w:tr>
      <w:tr w:rsidR="00923FE8" w:rsidRPr="0025078E" w:rsidTr="001707A3">
        <w:tc>
          <w:tcPr>
            <w:tcW w:w="2020" w:type="dxa"/>
          </w:tcPr>
          <w:p w:rsidR="00923FE8" w:rsidRPr="0025078E" w:rsidRDefault="00923FE8" w:rsidP="001707A3">
            <w:pPr>
              <w:rPr>
                <w:rFonts w:ascii="Times New Roman" w:hAnsi="Times New Roman" w:cs="Times New Roman"/>
                <w:sz w:val="20"/>
                <w:szCs w:val="20"/>
              </w:rPr>
            </w:pPr>
            <w:r w:rsidRPr="0025078E">
              <w:rPr>
                <w:rFonts w:ascii="Times New Roman" w:hAnsi="Times New Roman" w:cs="Times New Roman"/>
                <w:sz w:val="20"/>
                <w:szCs w:val="20"/>
              </w:rPr>
              <w:t>čl. 57</w:t>
            </w:r>
          </w:p>
        </w:tc>
        <w:tc>
          <w:tcPr>
            <w:tcW w:w="3758" w:type="dxa"/>
          </w:tcPr>
          <w:p w:rsidR="00923FE8" w:rsidRPr="0025078E" w:rsidRDefault="00923FE8" w:rsidP="001D336E">
            <w:pPr>
              <w:rPr>
                <w:rFonts w:ascii="Times New Roman" w:hAnsi="Times New Roman" w:cs="Times New Roman"/>
                <w:b/>
                <w:sz w:val="20"/>
                <w:szCs w:val="20"/>
              </w:rPr>
            </w:pPr>
            <w:r w:rsidRPr="0025078E">
              <w:rPr>
                <w:rFonts w:ascii="Times New Roman" w:hAnsi="Times New Roman" w:cs="Times New Roman"/>
                <w:b/>
                <w:sz w:val="20"/>
                <w:szCs w:val="20"/>
              </w:rPr>
              <w:t>Střet zájmů</w:t>
            </w:r>
          </w:p>
          <w:p w:rsidR="00923FE8" w:rsidRPr="0025078E" w:rsidRDefault="00923FE8" w:rsidP="00923FE8">
            <w:pPr>
              <w:pStyle w:val="Textodstavce"/>
              <w:numPr>
                <w:ilvl w:val="0"/>
                <w:numId w:val="0"/>
              </w:numPr>
              <w:tabs>
                <w:tab w:val="num" w:pos="2627"/>
              </w:tabs>
              <w:rPr>
                <w:sz w:val="22"/>
                <w:szCs w:val="22"/>
              </w:rPr>
            </w:pPr>
            <w:r w:rsidRPr="0025078E">
              <w:rPr>
                <w:sz w:val="22"/>
                <w:szCs w:val="22"/>
              </w:rPr>
              <w:t>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w:t>
            </w:r>
          </w:p>
          <w:p w:rsidR="00923FE8" w:rsidRPr="0025078E" w:rsidRDefault="00923FE8" w:rsidP="00923FE8">
            <w:pPr>
              <w:pStyle w:val="Textodstavce"/>
              <w:numPr>
                <w:ilvl w:val="0"/>
                <w:numId w:val="0"/>
              </w:numPr>
              <w:tabs>
                <w:tab w:val="num" w:pos="2627"/>
              </w:tabs>
              <w:rPr>
                <w:sz w:val="22"/>
                <w:szCs w:val="22"/>
              </w:rPr>
            </w:pPr>
            <w:r w:rsidRPr="0025078E">
              <w:rPr>
                <w:sz w:val="22"/>
                <w:szCs w:val="22"/>
              </w:rPr>
              <w:t>2. Pro účely odstavce 1 ke střetu zájmů dochází, je-li z rodinných důvodů, z důvodů citových vazeb, z důvodů politické nebo národní spřízněnosti, z důvodů hospodářského zájmu nebo z důvodů jiného společného zájmu s příjemcem finanč</w:t>
            </w:r>
            <w:r w:rsidRPr="0025078E">
              <w:rPr>
                <w:sz w:val="22"/>
                <w:szCs w:val="22"/>
              </w:rPr>
              <w:softHyphen/>
              <w:t xml:space="preserve">ních prostředků ohrožen nestranný a objektivní výkon funkcí účastníka finančních operací nebo jiné osoby podle odstavce 1. </w:t>
            </w:r>
          </w:p>
          <w:p w:rsidR="00923FE8" w:rsidRPr="0025078E" w:rsidRDefault="00923FE8" w:rsidP="00923FE8">
            <w:pPr>
              <w:rPr>
                <w:rFonts w:ascii="Times New Roman" w:hAnsi="Times New Roman" w:cs="Times New Roman"/>
                <w:b/>
                <w:sz w:val="20"/>
                <w:szCs w:val="20"/>
              </w:rPr>
            </w:pPr>
            <w:r w:rsidRPr="0025078E">
              <w:rPr>
                <w:rFonts w:ascii="Times New Roman" w:hAnsi="Times New Roman" w:cs="Times New Roman"/>
              </w:rPr>
              <w:t>3. Komisi je svěřena pravomoc přijímat akty v přenesené pravomoci v souladu s článkem 210, kterými určí jednání, jež mohou představovat střet zájmů, a postup, který se má v těchto případech použít.</w:t>
            </w:r>
          </w:p>
        </w:tc>
        <w:tc>
          <w:tcPr>
            <w:tcW w:w="1134" w:type="dxa"/>
          </w:tcPr>
          <w:p w:rsidR="00923FE8" w:rsidRPr="0025078E" w:rsidRDefault="00923FE8"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923FE8" w:rsidRPr="0025078E" w:rsidRDefault="00923FE8"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923FE8" w:rsidRPr="0025078E" w:rsidRDefault="00923FE8" w:rsidP="001D336E">
            <w:pPr>
              <w:rPr>
                <w:rFonts w:ascii="Times New Roman" w:hAnsi="Times New Roman" w:cs="Times New Roman"/>
                <w:sz w:val="20"/>
                <w:szCs w:val="20"/>
              </w:rPr>
            </w:pPr>
            <w:r w:rsidRPr="0025078E">
              <w:rPr>
                <w:rFonts w:ascii="Times New Roman" w:hAnsi="Times New Roman" w:cs="Times New Roman"/>
                <w:sz w:val="20"/>
                <w:szCs w:val="20"/>
              </w:rPr>
              <w:t>§ 8</w:t>
            </w:r>
          </w:p>
          <w:p w:rsidR="00923FE8" w:rsidRPr="0025078E" w:rsidRDefault="00923FE8" w:rsidP="00923FE8">
            <w:pPr>
              <w:pStyle w:val="Nadpisparagrafu"/>
              <w:jc w:val="left"/>
              <w:rPr>
                <w:sz w:val="22"/>
                <w:szCs w:val="22"/>
              </w:rPr>
            </w:pPr>
            <w:r w:rsidRPr="0025078E">
              <w:rPr>
                <w:sz w:val="22"/>
                <w:szCs w:val="22"/>
              </w:rPr>
              <w:t>Střet zájmů</w:t>
            </w:r>
          </w:p>
          <w:p w:rsidR="00923FE8" w:rsidRPr="0025078E" w:rsidRDefault="00923FE8" w:rsidP="00923FE8">
            <w:pPr>
              <w:pStyle w:val="Textodstavce"/>
              <w:numPr>
                <w:ilvl w:val="0"/>
                <w:numId w:val="0"/>
              </w:numPr>
              <w:rPr>
                <w:sz w:val="22"/>
                <w:szCs w:val="22"/>
              </w:rPr>
            </w:pPr>
            <w:r w:rsidRPr="0025078E">
              <w:rPr>
                <w:sz w:val="22"/>
                <w:szCs w:val="22"/>
              </w:rPr>
              <w:t>Ten, jehož vlastní zájem je v rozporu s naplňováním cíle řízení a kontroly veřejných financí, nesmí vlastní zájem upřednostňovat</w:t>
            </w:r>
            <w:r w:rsidRPr="0025078E">
              <w:rPr>
                <w:rStyle w:val="Znakapoznpodarou"/>
                <w:sz w:val="22"/>
                <w:szCs w:val="22"/>
              </w:rPr>
              <w:footnoteReference w:customMarkFollows="1" w:id="2"/>
              <w:t>4)</w:t>
            </w:r>
            <w:r w:rsidR="00552CCA" w:rsidRPr="0025078E">
              <w:rPr>
                <w:sz w:val="22"/>
                <w:szCs w:val="22"/>
              </w:rPr>
              <w:t>.</w:t>
            </w:r>
            <w:r w:rsidRPr="0025078E">
              <w:rPr>
                <w:sz w:val="22"/>
                <w:szCs w:val="22"/>
              </w:rPr>
              <w:t xml:space="preserve"> Za vlastní zájem se pro účely tohoto </w:t>
            </w:r>
            <w:r w:rsidR="00FE09A1" w:rsidRPr="0025078E">
              <w:rPr>
                <w:sz w:val="22"/>
                <w:szCs w:val="22"/>
              </w:rPr>
              <w:t>zákona</w:t>
            </w:r>
            <w:r w:rsidRPr="0025078E">
              <w:rPr>
                <w:sz w:val="22"/>
                <w:szCs w:val="22"/>
              </w:rPr>
              <w:t xml:space="preserve"> považuje i zájem osoby mu blízké, právnické osoby ovládané touto osobou nebo právnické osoby ovládané osobou blízkou této osoby.</w:t>
            </w:r>
          </w:p>
          <w:p w:rsidR="00923FE8" w:rsidRPr="0025078E" w:rsidRDefault="00923FE8" w:rsidP="001D336E">
            <w:pPr>
              <w:rPr>
                <w:rFonts w:ascii="Times New Roman" w:hAnsi="Times New Roman" w:cs="Times New Roman"/>
                <w:sz w:val="20"/>
                <w:szCs w:val="20"/>
              </w:rPr>
            </w:pPr>
          </w:p>
        </w:tc>
        <w:tc>
          <w:tcPr>
            <w:tcW w:w="1276" w:type="dxa"/>
            <w:vAlign w:val="center"/>
          </w:tcPr>
          <w:p w:rsidR="00923FE8" w:rsidRPr="0025078E" w:rsidRDefault="00923FE8" w:rsidP="001D336E">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923FE8" w:rsidRPr="0025078E" w:rsidRDefault="00923FE8" w:rsidP="001D336E">
            <w:pPr>
              <w:jc w:val="center"/>
              <w:rPr>
                <w:rFonts w:ascii="Times New Roman" w:hAnsi="Times New Roman" w:cs="Times New Roman"/>
                <w:sz w:val="20"/>
                <w:szCs w:val="20"/>
              </w:rPr>
            </w:pPr>
          </w:p>
        </w:tc>
      </w:tr>
      <w:tr w:rsidR="00D55EA3" w:rsidRPr="0025078E" w:rsidTr="001706C4">
        <w:tc>
          <w:tcPr>
            <w:tcW w:w="2020" w:type="dxa"/>
            <w:vAlign w:val="center"/>
          </w:tcPr>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čl. 59</w:t>
            </w:r>
          </w:p>
        </w:tc>
        <w:tc>
          <w:tcPr>
            <w:tcW w:w="3758" w:type="dxa"/>
            <w:vAlign w:val="center"/>
          </w:tcPr>
          <w:p w:rsidR="00D55EA3" w:rsidRPr="0025078E" w:rsidRDefault="00D55EA3" w:rsidP="007B2B77">
            <w:pPr>
              <w:rPr>
                <w:rFonts w:ascii="Times New Roman" w:hAnsi="Times New Roman" w:cs="Times New Roman"/>
                <w:b/>
                <w:sz w:val="20"/>
                <w:szCs w:val="20"/>
              </w:rPr>
            </w:pPr>
            <w:r w:rsidRPr="0025078E">
              <w:rPr>
                <w:rFonts w:ascii="Times New Roman" w:hAnsi="Times New Roman" w:cs="Times New Roman"/>
                <w:b/>
                <w:sz w:val="20"/>
                <w:szCs w:val="20"/>
              </w:rPr>
              <w:t>Sdílené řízení s členskými státy</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1.   Plní-li Komise rozpočet v rámci sdíleného řízení, jsou úkoly související s plněním rozpočtu pověřeny členské státy. Komise a členské státy dodržují zásady řádného finančního řízení, transparentnosti a zákazu diskriminace a zajišťují viditelnost činnosti Unie při správě jejích finančních prostředků. Za tímto účelem Komise a členské státy plní své povinnosti spojené s kontrolou a auditem a přebírají z toho vyplývající odpovědnost stanovenou tímto nařízením. Doplňková ustanovení jsou obsažena v odvětvových pravidlech.</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2.   Při provádění úkolů souvisejících s plněním rozpočtu členské státy přijmou veškerá opatření, včetně právních, regulačních a správních, která jsou nezbytná pro ochranu finančních zájmů Unie, zejména:</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a) zajistí, aby byly činnosti financované z rozpočtu prováděny správně, účinně a v souladu s platnými odvětvovými pravidly, a určí pro tento účel v souladu s odstavcem 3 subjekty odpovědné za řádnou správu a kontrolu finančních prostředků Unie a dohlížejí na ně;</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b) předcházejí nesrovnalostem a podvodům, odhalují je a napravují.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Za účelem ochrany finančních zájmů Unie členské státy při dodržení zásady proporcionality a v souladu s tímto článkem a s příslušnými odvětvovými pravidly provádějí kontroly ex ante a ex post, je-li to vhodné, včetně kontrol na místě na reprezentativním vzorku nebo na vzorku vybraném na základě rizika výskytu chyb. Kromě toho zpětně získávají neoprávněně vyplacené finanční prostředky, a je-li to za tímto účelem nezbytné, zahajují správní a soudní řízení.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Členské státy ukládají příjemcům finančních prostředků účinné, odrazující a přiměřené sankce, pokud tak stanovují odvětvová pravidla a zvláštní ustanovení vnitrostátních právních předpisů.</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Komise v rámci posouzení rizik a v souladu s odvětvovými pravidly sleduje systémy řízení a kontroly zavedené v členských státech. Komise při své kontrolní činnosti dodržuje zásadu proporcionality a v souladu s odvětvovými pravidly přihlíží k míře zjištěného rizika.</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3.   V souladu s kritérii a postupy stanovenými v odvětvových pravidlech určí členské státy subjekty na vhodné úrovni, které mají odpovídat za správu a kontrolu finančních prostředků Unie. Tyto subjekty mohou plnit také úkoly nesouvisející se správou finančních prostředků Unie a mohou pověřit plněním některých úkolů jiné subjekty.</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Při rozhodování o určení subjektů mohou členské státy vycházet z toho, zda jsou jejich systémy řízení a kontroly v podstatě totožné s již existujícími systémy z předchozího období a zda řádně fungují.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Pokud výsledky auditu a kontroly prokáží, že určené subjekty již nesplňují kritéria stanovená v odvětvových pravidlech, přijmou členské státy opatření nezbytná k zajištění nápravy nedostatků při plnění úkolů těmito subjekty, včetně toho, že v souladu s odvětvovými pravidly jejich určení zruší.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Odvětvová pravidla vymezí úlohu Komise při postupu stanoveném v tomto odstavci.</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4.   Subjekty určené podle odstavce 3:</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a) vytvoří účinný a účelný systém vnitřní kontroly a zajistí jeho fungování;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 xml:space="preserve">b) používají systém účetnictví, který včas poskytuje přesné, úplné a spolehlivé údaje; </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c) poskytují informace požadované podle odstavce 5;</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d) v souladu s čl. 35 odst. 2 zajišťují následné zveřejňování. Jakékoli zpracovávání osobních údajů musí být v souladu s vnitrostátními předpisy, kterými se provádí směrnice 95/46/ES.</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5.   Subjekty určené podle odstavce 3 poskytnou Komisi do 15. února následujícího rozpočtového roku tyto dokumenty:</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 xml:space="preserve">a) výkaz výdajů, které byly v příslušném referenčním </w:t>
            </w:r>
            <w:bookmarkStart w:id="0" w:name="_GoBack"/>
            <w:bookmarkEnd w:id="0"/>
            <w:r w:rsidRPr="0025078E">
              <w:rPr>
                <w:rFonts w:ascii="Times New Roman" w:hAnsi="Times New Roman" w:cs="Times New Roman"/>
                <w:sz w:val="20"/>
                <w:szCs w:val="20"/>
              </w:rPr>
              <w:t>období vymezeném v odvětvových pravidlech vynaloženy při plnění stanovených úkolů a předloženy Komisi k úhradě. Tento výkaz zahrnuje předběžné financování i částky, u nichž probíhá nebo již proběhlo řízení o jejich zpětném získání. Přikládá se k němu prohlášení řídícího subjektu, v němž se potvrdí, že podle názoru osob pověřených správou finančních prostředků:</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i) jsou tyto informace řádně předkládány a jsou úplné a přesné;</w:t>
            </w:r>
          </w:p>
          <w:p w:rsidR="00D55EA3" w:rsidRPr="0025078E" w:rsidRDefault="00D55EA3" w:rsidP="007B2B77">
            <w:pPr>
              <w:rPr>
                <w:rFonts w:ascii="Times New Roman" w:hAnsi="Times New Roman" w:cs="Times New Roman"/>
                <w:sz w:val="20"/>
                <w:szCs w:val="20"/>
              </w:rPr>
            </w:pPr>
            <w:proofErr w:type="spellStart"/>
            <w:r w:rsidRPr="0025078E">
              <w:rPr>
                <w:rFonts w:ascii="Times New Roman" w:hAnsi="Times New Roman" w:cs="Times New Roman"/>
                <w:sz w:val="20"/>
                <w:szCs w:val="20"/>
              </w:rPr>
              <w:t>ii</w:t>
            </w:r>
            <w:proofErr w:type="spellEnd"/>
            <w:r w:rsidRPr="0025078E">
              <w:rPr>
                <w:rFonts w:ascii="Times New Roman" w:hAnsi="Times New Roman" w:cs="Times New Roman"/>
                <w:sz w:val="20"/>
                <w:szCs w:val="20"/>
              </w:rPr>
              <w:t>) výdaje byly použity k zamýšlenému účelu, jak je vymezen v odvětvových pravidlech;</w:t>
            </w:r>
          </w:p>
          <w:p w:rsidR="00D55EA3" w:rsidRPr="0025078E" w:rsidRDefault="00D55EA3" w:rsidP="007B2B77">
            <w:pPr>
              <w:rPr>
                <w:rFonts w:ascii="Times New Roman" w:hAnsi="Times New Roman" w:cs="Times New Roman"/>
                <w:sz w:val="20"/>
                <w:szCs w:val="20"/>
              </w:rPr>
            </w:pPr>
            <w:proofErr w:type="spellStart"/>
            <w:r w:rsidRPr="0025078E">
              <w:rPr>
                <w:rFonts w:ascii="Times New Roman" w:hAnsi="Times New Roman" w:cs="Times New Roman"/>
                <w:sz w:val="20"/>
                <w:szCs w:val="20"/>
              </w:rPr>
              <w:t>iii</w:t>
            </w:r>
            <w:proofErr w:type="spellEnd"/>
            <w:r w:rsidRPr="0025078E">
              <w:rPr>
                <w:rFonts w:ascii="Times New Roman" w:hAnsi="Times New Roman" w:cs="Times New Roman"/>
                <w:sz w:val="20"/>
                <w:szCs w:val="20"/>
              </w:rPr>
              <w:t>) zavedené kontrolní systémy poskytují nezbytné záruky legality a správnosti uskutečněných operací;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b) každoroční souhrn závěrečných zpráv o auditu a informací o provedených kontrolách, včetně rozboru povahy a rozsahu chyb a nedostatků zjištěných v systémech a přijatých či plánovaných nápravných opatření.</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K výkazu uvedenému v prvním pododstavci písm. a) a k souhrnu uvedenému v prvním pododstavci písm. b) se připojí výrok nezávislého auditora vypracovaný v souladu s mezinárodně uznávanými auditorskými standardy. Tento výrok uvede, zda výkaz podává věrný a poctivý obraz skutečnosti, zda výdaje, o jejichž úhradu byla Komise požádána, jsou legální a správné a zda zavedené kontrolní systémy fungují řádně. Tento výrok rovněž uvede, zda kontrolní činnost nezpochybňuje tvrzení obsažená v prohlášení řídícího subjektu uvedeném v prvním pododstavci písm. a).</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Lhůtu stanovenou na 15. únor může Komise na základě sdělení dotčeného členského státu výjimečně prodloužit až do 1. března.</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Členské státy mohou na vhodné úrovni zveřejnit informace uvedené v tomto odstavci.</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Členské státy kromě toho mohou na základě informací uvedených v tomto odstavci vydat prohlášení podepsané na patřičné úrovni.</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6.   Aby bylo zajištěno, že finanční prostředky Unie jsou používány v souladu s platnými pravidly, Komise:</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a) uplatňuje postupy zaměřené na kontrolu a schválení účetní závěrky určených subjektů, aby zajistila, aby byla tato účetní závěrka úplná, přesná a věrná;</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b) vyloučí z financování výdajů Unií úhrady provedené v rozporu s platným právem;</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c) přeruší běh platebních lhůt nebo pozastaví platby v případech stanovených v odvětvových pravidlech.</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Komise ukončí úplné nebo částečné přerušení běhu platebních lhůt nebo pozastavení plateb poté, co členský stát předloží své připomínky, a jakmile přijme jakákoli nezbytná opatření. Výroční zpráva o činnosti uvedená v čl. 66 odst. 9 obsahuje informace o veškerých povinnostech vyplývajících z tohoto pododstavce.</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7.   Odvětvová pravidla vezmou v úvahu potřeby programů v rámci evropské územní spolupráce, zejména pokud jde o obsah prohlášení řídícího subjektu, o postup stanovený v odstavci 3 a o funkci auditu.</w:t>
            </w:r>
          </w:p>
          <w:p w:rsidR="00D55EA3" w:rsidRPr="0025078E" w:rsidRDefault="00D55EA3" w:rsidP="007B2B77">
            <w:pPr>
              <w:rPr>
                <w:rFonts w:ascii="Times New Roman" w:hAnsi="Times New Roman" w:cs="Times New Roman"/>
                <w:sz w:val="20"/>
                <w:szCs w:val="20"/>
              </w:rPr>
            </w:pPr>
            <w:r w:rsidRPr="0025078E">
              <w:rPr>
                <w:rFonts w:ascii="Times New Roman" w:hAnsi="Times New Roman" w:cs="Times New Roman"/>
                <w:sz w:val="20"/>
                <w:szCs w:val="20"/>
              </w:rPr>
              <w:t>8.   Komisi je svěřena pravomoc přijímat akty v přenesené pravomoci v souladu s článkem 210, kterými stanoví podrobná pravidla týkající se sdíleného řízení s členskými státy, včetně vytvoření rejstříku subjektů odpovědných za řízení a kontrolu finančních prostředků Unie, a opatření zaměřených na podporu šíření osvědčených postupů.</w:t>
            </w:r>
          </w:p>
          <w:p w:rsidR="00923FE8" w:rsidRPr="0025078E" w:rsidRDefault="00923FE8" w:rsidP="007B2B77">
            <w:pPr>
              <w:rPr>
                <w:rFonts w:ascii="Times New Roman" w:hAnsi="Times New Roman" w:cs="Times New Roman"/>
                <w:sz w:val="20"/>
                <w:szCs w:val="20"/>
              </w:rPr>
            </w:pPr>
          </w:p>
        </w:tc>
        <w:tc>
          <w:tcPr>
            <w:tcW w:w="1134" w:type="dxa"/>
          </w:tcPr>
          <w:p w:rsidR="00D55EA3" w:rsidRPr="0025078E" w:rsidRDefault="00D55EA3"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D55EA3" w:rsidRPr="0025078E" w:rsidRDefault="00D55EA3"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D55EA3" w:rsidRPr="0025078E" w:rsidRDefault="001706C4" w:rsidP="001706C4">
            <w:pPr>
              <w:rPr>
                <w:rFonts w:ascii="Times New Roman" w:hAnsi="Times New Roman" w:cs="Times New Roman"/>
                <w:sz w:val="20"/>
                <w:szCs w:val="20"/>
              </w:rPr>
            </w:pPr>
            <w:r w:rsidRPr="0025078E">
              <w:rPr>
                <w:rFonts w:ascii="Times New Roman" w:hAnsi="Times New Roman" w:cs="Times New Roman"/>
                <w:sz w:val="20"/>
                <w:szCs w:val="20"/>
              </w:rPr>
              <w:t>§ 1</w:t>
            </w:r>
          </w:p>
          <w:p w:rsidR="009F4875" w:rsidRPr="0025078E" w:rsidRDefault="009F4875" w:rsidP="009F4875">
            <w:pPr>
              <w:pStyle w:val="Textodstavce"/>
              <w:numPr>
                <w:ilvl w:val="0"/>
                <w:numId w:val="0"/>
              </w:numPr>
              <w:rPr>
                <w:b/>
                <w:sz w:val="20"/>
                <w:szCs w:val="20"/>
              </w:rPr>
            </w:pPr>
            <w:r w:rsidRPr="0025078E">
              <w:rPr>
                <w:b/>
                <w:sz w:val="20"/>
                <w:szCs w:val="20"/>
              </w:rPr>
              <w:t>Předmět úpravy</w:t>
            </w:r>
          </w:p>
          <w:p w:rsidR="00AC71FE" w:rsidRPr="0025078E" w:rsidRDefault="00AC71FE" w:rsidP="00AC71FE">
            <w:pPr>
              <w:pStyle w:val="Textodstavce"/>
              <w:numPr>
                <w:ilvl w:val="0"/>
                <w:numId w:val="0"/>
              </w:numPr>
              <w:rPr>
                <w:sz w:val="20"/>
                <w:szCs w:val="20"/>
              </w:rPr>
            </w:pPr>
            <w:r w:rsidRPr="0025078E">
              <w:rPr>
                <w:sz w:val="20"/>
                <w:szCs w:val="20"/>
              </w:rPr>
              <w:t>(1) Tento zákon upravuje v návaznosti na přímo použitelné předpisy Evropské unie</w:t>
            </w:r>
            <w:r w:rsidRPr="0025078E">
              <w:rPr>
                <w:rStyle w:val="Znakapoznpodarou"/>
                <w:sz w:val="20"/>
                <w:szCs w:val="20"/>
              </w:rPr>
              <w:footnoteReference w:customMarkFollows="1" w:id="3"/>
              <w:t>1)</w:t>
            </w:r>
            <w:r w:rsidRPr="0025078E">
              <w:rPr>
                <w:sz w:val="20"/>
                <w:szCs w:val="20"/>
              </w:rPr>
              <w:t xml:space="preserve"> řízení a kontrolu veřejných financí.</w:t>
            </w:r>
          </w:p>
          <w:p w:rsidR="00AC71FE" w:rsidRPr="0025078E" w:rsidRDefault="00AC71FE" w:rsidP="00AC71FE">
            <w:pPr>
              <w:pStyle w:val="Textodstavce"/>
              <w:numPr>
                <w:ilvl w:val="0"/>
                <w:numId w:val="0"/>
              </w:numPr>
              <w:rPr>
                <w:sz w:val="20"/>
                <w:szCs w:val="20"/>
              </w:rPr>
            </w:pPr>
            <w:r w:rsidRPr="0025078E">
              <w:rPr>
                <w:sz w:val="20"/>
                <w:szCs w:val="20"/>
              </w:rPr>
              <w:t>(2) Řízení a kontrola veřejných financí zahrnuje</w:t>
            </w:r>
          </w:p>
          <w:p w:rsidR="00AC71FE" w:rsidRPr="0025078E" w:rsidRDefault="00AC71FE" w:rsidP="00AC71FE">
            <w:pPr>
              <w:pStyle w:val="Textpsmene"/>
              <w:numPr>
                <w:ilvl w:val="0"/>
                <w:numId w:val="0"/>
              </w:numPr>
              <w:ind w:left="425" w:hanging="425"/>
              <w:rPr>
                <w:sz w:val="20"/>
                <w:szCs w:val="20"/>
              </w:rPr>
            </w:pPr>
            <w:r w:rsidRPr="0025078E">
              <w:rPr>
                <w:sz w:val="20"/>
                <w:szCs w:val="20"/>
              </w:rPr>
              <w:t>a) řídicí a kontrolní mechanismy,</w:t>
            </w:r>
          </w:p>
          <w:p w:rsidR="00AC71FE" w:rsidRPr="0025078E" w:rsidRDefault="00AC71FE" w:rsidP="00AC71FE">
            <w:pPr>
              <w:pStyle w:val="Textpsmene"/>
              <w:numPr>
                <w:ilvl w:val="0"/>
                <w:numId w:val="0"/>
              </w:numPr>
              <w:ind w:left="425" w:hanging="425"/>
              <w:rPr>
                <w:sz w:val="20"/>
                <w:szCs w:val="20"/>
              </w:rPr>
            </w:pPr>
            <w:r w:rsidRPr="0025078E">
              <w:rPr>
                <w:sz w:val="20"/>
                <w:szCs w:val="20"/>
              </w:rPr>
              <w:t xml:space="preserve">b) interní audit a </w:t>
            </w:r>
          </w:p>
          <w:p w:rsidR="00AC71FE" w:rsidRPr="0025078E" w:rsidRDefault="00AC71FE" w:rsidP="00AC71FE">
            <w:pPr>
              <w:pStyle w:val="Textpsmene"/>
              <w:numPr>
                <w:ilvl w:val="0"/>
                <w:numId w:val="0"/>
              </w:numPr>
              <w:ind w:left="70" w:hanging="70"/>
              <w:rPr>
                <w:sz w:val="20"/>
                <w:szCs w:val="20"/>
              </w:rPr>
            </w:pPr>
            <w:r w:rsidRPr="0025078E">
              <w:rPr>
                <w:sz w:val="20"/>
                <w:szCs w:val="20"/>
              </w:rPr>
              <w:t>c) kontrolu podle mezinárodních smluv.</w:t>
            </w:r>
          </w:p>
          <w:p w:rsidR="001706C4" w:rsidRPr="0025078E" w:rsidRDefault="001706C4" w:rsidP="00217187">
            <w:pPr>
              <w:pStyle w:val="Textodstavce"/>
              <w:numPr>
                <w:ilvl w:val="0"/>
                <w:numId w:val="0"/>
              </w:numPr>
              <w:tabs>
                <w:tab w:val="clear" w:pos="851"/>
                <w:tab w:val="left" w:pos="33"/>
              </w:tabs>
              <w:ind w:left="33"/>
              <w:rPr>
                <w:sz w:val="20"/>
                <w:szCs w:val="20"/>
              </w:rPr>
            </w:pPr>
          </w:p>
        </w:tc>
        <w:tc>
          <w:tcPr>
            <w:tcW w:w="1276" w:type="dxa"/>
            <w:vAlign w:val="center"/>
          </w:tcPr>
          <w:p w:rsidR="00D55EA3" w:rsidRPr="0025078E" w:rsidRDefault="006B6797" w:rsidP="007B2B77">
            <w:pP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D55EA3" w:rsidRPr="0025078E" w:rsidRDefault="00D55EA3" w:rsidP="007B2B77">
            <w:pPr>
              <w:rPr>
                <w:rFonts w:ascii="Times New Roman" w:hAnsi="Times New Roman" w:cs="Times New Roman"/>
                <w:sz w:val="20"/>
                <w:szCs w:val="20"/>
              </w:rPr>
            </w:pPr>
          </w:p>
        </w:tc>
      </w:tr>
      <w:tr w:rsidR="001B105B" w:rsidRPr="0025078E" w:rsidTr="002B0E23">
        <w:tc>
          <w:tcPr>
            <w:tcW w:w="2020" w:type="dxa"/>
            <w:vMerge w:val="restart"/>
            <w:vAlign w:val="center"/>
          </w:tcPr>
          <w:p w:rsidR="001B105B" w:rsidRPr="0025078E" w:rsidRDefault="001B105B" w:rsidP="001D336E">
            <w:pPr>
              <w:jc w:val="center"/>
              <w:rPr>
                <w:rFonts w:ascii="Times New Roman" w:hAnsi="Times New Roman" w:cs="Times New Roman"/>
                <w:sz w:val="20"/>
                <w:szCs w:val="20"/>
              </w:rPr>
            </w:pPr>
            <w:r w:rsidRPr="0025078E">
              <w:rPr>
                <w:rFonts w:ascii="Times New Roman" w:hAnsi="Times New Roman" w:cs="Times New Roman"/>
                <w:sz w:val="20"/>
                <w:szCs w:val="20"/>
              </w:rPr>
              <w:t>Čl. 64 odst. 1</w:t>
            </w:r>
          </w:p>
        </w:tc>
        <w:tc>
          <w:tcPr>
            <w:tcW w:w="3758" w:type="dxa"/>
            <w:vMerge w:val="restart"/>
          </w:tcPr>
          <w:p w:rsidR="001B105B" w:rsidRPr="0025078E" w:rsidRDefault="001B105B" w:rsidP="00326113">
            <w:pPr>
              <w:rPr>
                <w:rFonts w:ascii="Times New Roman" w:hAnsi="Times New Roman" w:cs="Times New Roman"/>
                <w:b/>
                <w:sz w:val="20"/>
                <w:szCs w:val="20"/>
              </w:rPr>
            </w:pPr>
            <w:r w:rsidRPr="0025078E">
              <w:rPr>
                <w:rFonts w:ascii="Times New Roman" w:hAnsi="Times New Roman" w:cs="Times New Roman"/>
                <w:b/>
                <w:sz w:val="20"/>
                <w:szCs w:val="20"/>
              </w:rPr>
              <w:t>Oddělení funkcí</w:t>
            </w:r>
          </w:p>
          <w:p w:rsidR="001B105B" w:rsidRPr="0025078E" w:rsidRDefault="001B105B" w:rsidP="00326113">
            <w:pPr>
              <w:rPr>
                <w:rFonts w:ascii="Times New Roman" w:hAnsi="Times New Roman" w:cs="Times New Roman"/>
                <w:sz w:val="20"/>
                <w:szCs w:val="20"/>
              </w:rPr>
            </w:pPr>
            <w:r w:rsidRPr="0025078E">
              <w:rPr>
                <w:rFonts w:ascii="Times New Roman" w:hAnsi="Times New Roman" w:cs="Times New Roman"/>
                <w:sz w:val="20"/>
                <w:szCs w:val="20"/>
              </w:rPr>
              <w:t>1.   Funkce schvalující osoby a účetního jsou oddělené a vzájemně neslučitelné.</w:t>
            </w:r>
          </w:p>
        </w:tc>
        <w:tc>
          <w:tcPr>
            <w:tcW w:w="1134" w:type="dxa"/>
            <w:vMerge w:val="restart"/>
          </w:tcPr>
          <w:p w:rsidR="001B105B" w:rsidRPr="0025078E" w:rsidRDefault="001B105B"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vMerge w:val="restart"/>
          </w:tcPr>
          <w:p w:rsidR="001B105B" w:rsidRPr="0025078E" w:rsidRDefault="001B105B"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1B105B" w:rsidRPr="0025078E" w:rsidRDefault="001B105B" w:rsidP="009F4875">
            <w:pPr>
              <w:rPr>
                <w:rFonts w:ascii="Times New Roman" w:hAnsi="Times New Roman" w:cs="Times New Roman"/>
                <w:sz w:val="20"/>
                <w:szCs w:val="20"/>
              </w:rPr>
            </w:pPr>
            <w:r w:rsidRPr="0025078E">
              <w:rPr>
                <w:rFonts w:ascii="Times New Roman" w:hAnsi="Times New Roman" w:cs="Times New Roman"/>
                <w:sz w:val="20"/>
                <w:szCs w:val="20"/>
              </w:rPr>
              <w:t>§ 6 odst. 4</w:t>
            </w:r>
          </w:p>
          <w:p w:rsidR="001B105B" w:rsidRPr="0025078E" w:rsidRDefault="001B105B" w:rsidP="00CF735D">
            <w:pPr>
              <w:rPr>
                <w:rFonts w:ascii="Times New Roman" w:hAnsi="Times New Roman" w:cs="Times New Roman"/>
                <w:sz w:val="20"/>
                <w:szCs w:val="20"/>
              </w:rPr>
            </w:pPr>
            <w:r w:rsidRPr="0025078E">
              <w:rPr>
                <w:rFonts w:ascii="Times New Roman" w:hAnsi="Times New Roman" w:cs="Times New Roman"/>
                <w:sz w:val="20"/>
                <w:szCs w:val="20"/>
              </w:rPr>
              <w:t>(4) Vzájemně neslučitelné jsou funkce schvalující osoby, pověřené schvalující osoby a ved</w:t>
            </w:r>
            <w:r w:rsidR="00CF735D" w:rsidRPr="0025078E">
              <w:rPr>
                <w:rFonts w:ascii="Times New Roman" w:hAnsi="Times New Roman" w:cs="Times New Roman"/>
                <w:sz w:val="20"/>
                <w:szCs w:val="20"/>
              </w:rPr>
              <w:t>oucího útvaru interního auditu.</w:t>
            </w:r>
          </w:p>
        </w:tc>
        <w:tc>
          <w:tcPr>
            <w:tcW w:w="1276" w:type="dxa"/>
            <w:vMerge w:val="restart"/>
            <w:vAlign w:val="center"/>
          </w:tcPr>
          <w:p w:rsidR="001B105B" w:rsidRPr="0025078E" w:rsidRDefault="001B105B" w:rsidP="001D336E">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Merge w:val="restart"/>
            <w:vAlign w:val="center"/>
          </w:tcPr>
          <w:p w:rsidR="001B105B" w:rsidRPr="0025078E" w:rsidRDefault="001B105B" w:rsidP="001D336E">
            <w:pPr>
              <w:jc w:val="center"/>
              <w:rPr>
                <w:rFonts w:ascii="Times New Roman" w:hAnsi="Times New Roman" w:cs="Times New Roman"/>
                <w:sz w:val="20"/>
                <w:szCs w:val="20"/>
              </w:rPr>
            </w:pPr>
          </w:p>
        </w:tc>
      </w:tr>
      <w:tr w:rsidR="001B105B" w:rsidRPr="0025078E" w:rsidTr="002B0E23">
        <w:tc>
          <w:tcPr>
            <w:tcW w:w="2020" w:type="dxa"/>
            <w:vMerge/>
            <w:vAlign w:val="center"/>
          </w:tcPr>
          <w:p w:rsidR="001B105B" w:rsidRPr="0025078E" w:rsidRDefault="001B105B" w:rsidP="001D336E">
            <w:pPr>
              <w:jc w:val="center"/>
              <w:rPr>
                <w:rFonts w:ascii="Times New Roman" w:hAnsi="Times New Roman" w:cs="Times New Roman"/>
                <w:sz w:val="20"/>
                <w:szCs w:val="20"/>
              </w:rPr>
            </w:pPr>
          </w:p>
        </w:tc>
        <w:tc>
          <w:tcPr>
            <w:tcW w:w="3758" w:type="dxa"/>
            <w:vMerge/>
          </w:tcPr>
          <w:p w:rsidR="001B105B" w:rsidRPr="0025078E" w:rsidRDefault="001B105B" w:rsidP="00326113">
            <w:pPr>
              <w:rPr>
                <w:rFonts w:ascii="Times New Roman" w:hAnsi="Times New Roman" w:cs="Times New Roman"/>
                <w:b/>
                <w:sz w:val="20"/>
                <w:szCs w:val="20"/>
              </w:rPr>
            </w:pPr>
          </w:p>
        </w:tc>
        <w:tc>
          <w:tcPr>
            <w:tcW w:w="1134" w:type="dxa"/>
            <w:vMerge/>
          </w:tcPr>
          <w:p w:rsidR="001B105B" w:rsidRPr="0025078E" w:rsidRDefault="001B105B" w:rsidP="001D336E">
            <w:pPr>
              <w:jc w:val="center"/>
              <w:rPr>
                <w:rFonts w:ascii="Times New Roman" w:hAnsi="Times New Roman" w:cs="Times New Roman"/>
                <w:sz w:val="20"/>
                <w:szCs w:val="20"/>
              </w:rPr>
            </w:pPr>
          </w:p>
        </w:tc>
        <w:tc>
          <w:tcPr>
            <w:tcW w:w="1560" w:type="dxa"/>
            <w:vMerge/>
          </w:tcPr>
          <w:p w:rsidR="001B105B" w:rsidRPr="0025078E" w:rsidRDefault="001B105B" w:rsidP="001D336E">
            <w:pPr>
              <w:rPr>
                <w:rFonts w:ascii="Times New Roman" w:hAnsi="Times New Roman" w:cs="Times New Roman"/>
                <w:sz w:val="20"/>
                <w:szCs w:val="20"/>
              </w:rPr>
            </w:pPr>
          </w:p>
        </w:tc>
        <w:tc>
          <w:tcPr>
            <w:tcW w:w="3685" w:type="dxa"/>
          </w:tcPr>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 15 odst. 7</w:t>
            </w:r>
          </w:p>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(7) Funkce ověřovatele příjmové operace je vzájemně neslučitelná s funkcí schvalovatele příjmové operace.</w:t>
            </w:r>
          </w:p>
        </w:tc>
        <w:tc>
          <w:tcPr>
            <w:tcW w:w="1276" w:type="dxa"/>
            <w:vMerge/>
            <w:vAlign w:val="center"/>
          </w:tcPr>
          <w:p w:rsidR="001B105B" w:rsidRPr="0025078E" w:rsidRDefault="001B105B" w:rsidP="001D336E">
            <w:pPr>
              <w:jc w:val="center"/>
              <w:rPr>
                <w:rFonts w:ascii="Times New Roman" w:hAnsi="Times New Roman" w:cs="Times New Roman"/>
                <w:sz w:val="20"/>
                <w:szCs w:val="20"/>
              </w:rPr>
            </w:pPr>
          </w:p>
        </w:tc>
        <w:tc>
          <w:tcPr>
            <w:tcW w:w="711" w:type="dxa"/>
            <w:vMerge/>
            <w:vAlign w:val="center"/>
          </w:tcPr>
          <w:p w:rsidR="001B105B" w:rsidRPr="0025078E" w:rsidRDefault="001B105B" w:rsidP="001D336E">
            <w:pPr>
              <w:jc w:val="center"/>
              <w:rPr>
                <w:rFonts w:ascii="Times New Roman" w:hAnsi="Times New Roman" w:cs="Times New Roman"/>
                <w:sz w:val="20"/>
                <w:szCs w:val="20"/>
              </w:rPr>
            </w:pPr>
          </w:p>
        </w:tc>
      </w:tr>
      <w:tr w:rsidR="001B105B" w:rsidRPr="0025078E" w:rsidTr="002B0E23">
        <w:tc>
          <w:tcPr>
            <w:tcW w:w="2020" w:type="dxa"/>
            <w:vMerge/>
            <w:vAlign w:val="center"/>
          </w:tcPr>
          <w:p w:rsidR="001B105B" w:rsidRPr="0025078E" w:rsidRDefault="001B105B" w:rsidP="001D336E">
            <w:pPr>
              <w:jc w:val="center"/>
              <w:rPr>
                <w:rFonts w:ascii="Times New Roman" w:hAnsi="Times New Roman" w:cs="Times New Roman"/>
                <w:sz w:val="20"/>
                <w:szCs w:val="20"/>
              </w:rPr>
            </w:pPr>
          </w:p>
        </w:tc>
        <w:tc>
          <w:tcPr>
            <w:tcW w:w="3758" w:type="dxa"/>
            <w:vMerge/>
          </w:tcPr>
          <w:p w:rsidR="001B105B" w:rsidRPr="0025078E" w:rsidRDefault="001B105B" w:rsidP="00326113">
            <w:pPr>
              <w:rPr>
                <w:rFonts w:ascii="Times New Roman" w:hAnsi="Times New Roman" w:cs="Times New Roman"/>
                <w:b/>
                <w:sz w:val="20"/>
                <w:szCs w:val="20"/>
              </w:rPr>
            </w:pPr>
          </w:p>
        </w:tc>
        <w:tc>
          <w:tcPr>
            <w:tcW w:w="1134" w:type="dxa"/>
            <w:vMerge/>
          </w:tcPr>
          <w:p w:rsidR="001B105B" w:rsidRPr="0025078E" w:rsidRDefault="001B105B" w:rsidP="001D336E">
            <w:pPr>
              <w:jc w:val="center"/>
              <w:rPr>
                <w:rFonts w:ascii="Times New Roman" w:hAnsi="Times New Roman" w:cs="Times New Roman"/>
                <w:sz w:val="20"/>
                <w:szCs w:val="20"/>
              </w:rPr>
            </w:pPr>
          </w:p>
        </w:tc>
        <w:tc>
          <w:tcPr>
            <w:tcW w:w="1560" w:type="dxa"/>
            <w:vMerge/>
          </w:tcPr>
          <w:p w:rsidR="001B105B" w:rsidRPr="0025078E" w:rsidRDefault="001B105B" w:rsidP="001D336E">
            <w:pPr>
              <w:rPr>
                <w:rFonts w:ascii="Times New Roman" w:hAnsi="Times New Roman" w:cs="Times New Roman"/>
                <w:sz w:val="20"/>
                <w:szCs w:val="20"/>
              </w:rPr>
            </w:pPr>
          </w:p>
        </w:tc>
        <w:tc>
          <w:tcPr>
            <w:tcW w:w="3685" w:type="dxa"/>
          </w:tcPr>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 17 odst. 8</w:t>
            </w:r>
          </w:p>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(8) Funkce ověřovatele před zahájením výdajové operace je vzájemně neslučitelná s funkcí schvalovatele před zahájením výdajové operace.</w:t>
            </w:r>
          </w:p>
        </w:tc>
        <w:tc>
          <w:tcPr>
            <w:tcW w:w="1276" w:type="dxa"/>
            <w:vMerge/>
            <w:vAlign w:val="center"/>
          </w:tcPr>
          <w:p w:rsidR="001B105B" w:rsidRPr="0025078E" w:rsidRDefault="001B105B" w:rsidP="001D336E">
            <w:pPr>
              <w:jc w:val="center"/>
              <w:rPr>
                <w:rFonts w:ascii="Times New Roman" w:hAnsi="Times New Roman" w:cs="Times New Roman"/>
                <w:sz w:val="20"/>
                <w:szCs w:val="20"/>
              </w:rPr>
            </w:pPr>
          </w:p>
        </w:tc>
        <w:tc>
          <w:tcPr>
            <w:tcW w:w="711" w:type="dxa"/>
            <w:vMerge/>
            <w:vAlign w:val="center"/>
          </w:tcPr>
          <w:p w:rsidR="001B105B" w:rsidRPr="0025078E" w:rsidRDefault="001B105B" w:rsidP="001D336E">
            <w:pPr>
              <w:jc w:val="center"/>
              <w:rPr>
                <w:rFonts w:ascii="Times New Roman" w:hAnsi="Times New Roman" w:cs="Times New Roman"/>
                <w:sz w:val="20"/>
                <w:szCs w:val="20"/>
              </w:rPr>
            </w:pPr>
          </w:p>
        </w:tc>
      </w:tr>
      <w:tr w:rsidR="001B105B" w:rsidRPr="0025078E" w:rsidTr="002B0E23">
        <w:tc>
          <w:tcPr>
            <w:tcW w:w="2020" w:type="dxa"/>
            <w:vMerge/>
            <w:vAlign w:val="center"/>
          </w:tcPr>
          <w:p w:rsidR="001B105B" w:rsidRPr="0025078E" w:rsidRDefault="001B105B" w:rsidP="001D336E">
            <w:pPr>
              <w:jc w:val="center"/>
              <w:rPr>
                <w:rFonts w:ascii="Times New Roman" w:hAnsi="Times New Roman" w:cs="Times New Roman"/>
                <w:sz w:val="20"/>
                <w:szCs w:val="20"/>
              </w:rPr>
            </w:pPr>
          </w:p>
        </w:tc>
        <w:tc>
          <w:tcPr>
            <w:tcW w:w="3758" w:type="dxa"/>
            <w:vMerge/>
          </w:tcPr>
          <w:p w:rsidR="001B105B" w:rsidRPr="0025078E" w:rsidRDefault="001B105B" w:rsidP="00326113">
            <w:pPr>
              <w:rPr>
                <w:rFonts w:ascii="Times New Roman" w:hAnsi="Times New Roman" w:cs="Times New Roman"/>
                <w:b/>
                <w:sz w:val="20"/>
                <w:szCs w:val="20"/>
              </w:rPr>
            </w:pPr>
          </w:p>
        </w:tc>
        <w:tc>
          <w:tcPr>
            <w:tcW w:w="1134" w:type="dxa"/>
            <w:vMerge/>
          </w:tcPr>
          <w:p w:rsidR="001B105B" w:rsidRPr="0025078E" w:rsidRDefault="001B105B" w:rsidP="001D336E">
            <w:pPr>
              <w:jc w:val="center"/>
              <w:rPr>
                <w:rFonts w:ascii="Times New Roman" w:hAnsi="Times New Roman" w:cs="Times New Roman"/>
                <w:sz w:val="20"/>
                <w:szCs w:val="20"/>
              </w:rPr>
            </w:pPr>
          </w:p>
        </w:tc>
        <w:tc>
          <w:tcPr>
            <w:tcW w:w="1560" w:type="dxa"/>
            <w:vMerge/>
          </w:tcPr>
          <w:p w:rsidR="001B105B" w:rsidRPr="0025078E" w:rsidRDefault="001B105B" w:rsidP="001D336E">
            <w:pPr>
              <w:rPr>
                <w:rFonts w:ascii="Times New Roman" w:hAnsi="Times New Roman" w:cs="Times New Roman"/>
                <w:sz w:val="20"/>
                <w:szCs w:val="20"/>
              </w:rPr>
            </w:pPr>
          </w:p>
        </w:tc>
        <w:tc>
          <w:tcPr>
            <w:tcW w:w="3685" w:type="dxa"/>
          </w:tcPr>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 18 odst. 5</w:t>
            </w:r>
          </w:p>
          <w:p w:rsidR="001B105B" w:rsidRPr="0025078E" w:rsidRDefault="001B105B" w:rsidP="002B0E23">
            <w:pPr>
              <w:rPr>
                <w:rFonts w:ascii="Times New Roman" w:hAnsi="Times New Roman" w:cs="Times New Roman"/>
                <w:sz w:val="20"/>
                <w:szCs w:val="20"/>
              </w:rPr>
            </w:pPr>
            <w:r w:rsidRPr="0025078E">
              <w:rPr>
                <w:rFonts w:ascii="Times New Roman" w:hAnsi="Times New Roman" w:cs="Times New Roman"/>
                <w:sz w:val="20"/>
                <w:szCs w:val="20"/>
              </w:rPr>
              <w:t xml:space="preserve">(5) Funkce ověřovatele po zahájením výdajové operace je vzájemně neslučitelná s funkcí schvalovatele po </w:t>
            </w:r>
            <w:proofErr w:type="gramStart"/>
            <w:r w:rsidRPr="0025078E">
              <w:rPr>
                <w:rFonts w:ascii="Times New Roman" w:hAnsi="Times New Roman" w:cs="Times New Roman"/>
                <w:sz w:val="20"/>
                <w:szCs w:val="20"/>
              </w:rPr>
              <w:t>zahájením</w:t>
            </w:r>
            <w:proofErr w:type="gramEnd"/>
            <w:r w:rsidRPr="0025078E">
              <w:rPr>
                <w:rFonts w:ascii="Times New Roman" w:hAnsi="Times New Roman" w:cs="Times New Roman"/>
                <w:sz w:val="20"/>
                <w:szCs w:val="20"/>
              </w:rPr>
              <w:t xml:space="preserve"> výdajové operace.</w:t>
            </w:r>
          </w:p>
        </w:tc>
        <w:tc>
          <w:tcPr>
            <w:tcW w:w="1276" w:type="dxa"/>
            <w:vMerge/>
            <w:vAlign w:val="center"/>
          </w:tcPr>
          <w:p w:rsidR="001B105B" w:rsidRPr="0025078E" w:rsidRDefault="001B105B" w:rsidP="001D336E">
            <w:pPr>
              <w:jc w:val="center"/>
              <w:rPr>
                <w:rFonts w:ascii="Times New Roman" w:hAnsi="Times New Roman" w:cs="Times New Roman"/>
                <w:sz w:val="20"/>
                <w:szCs w:val="20"/>
              </w:rPr>
            </w:pPr>
          </w:p>
        </w:tc>
        <w:tc>
          <w:tcPr>
            <w:tcW w:w="711" w:type="dxa"/>
            <w:vMerge/>
            <w:vAlign w:val="center"/>
          </w:tcPr>
          <w:p w:rsidR="001B105B" w:rsidRPr="0025078E" w:rsidRDefault="001B105B" w:rsidP="001D336E">
            <w:pPr>
              <w:jc w:val="center"/>
              <w:rPr>
                <w:rFonts w:ascii="Times New Roman" w:hAnsi="Times New Roman" w:cs="Times New Roman"/>
                <w:sz w:val="20"/>
                <w:szCs w:val="20"/>
              </w:rPr>
            </w:pPr>
          </w:p>
        </w:tc>
      </w:tr>
      <w:tr w:rsidR="00290CE8" w:rsidRPr="0025078E" w:rsidTr="001D336E">
        <w:tc>
          <w:tcPr>
            <w:tcW w:w="2020" w:type="dxa"/>
            <w:vAlign w:val="center"/>
          </w:tcPr>
          <w:p w:rsidR="00290CE8" w:rsidRPr="0025078E" w:rsidRDefault="00290CE8" w:rsidP="001D336E">
            <w:pPr>
              <w:jc w:val="center"/>
              <w:rPr>
                <w:rFonts w:ascii="Times New Roman" w:hAnsi="Times New Roman" w:cs="Times New Roman"/>
                <w:sz w:val="20"/>
                <w:szCs w:val="20"/>
              </w:rPr>
            </w:pPr>
            <w:r w:rsidRPr="0025078E">
              <w:rPr>
                <w:rFonts w:ascii="Times New Roman" w:hAnsi="Times New Roman" w:cs="Times New Roman"/>
                <w:sz w:val="20"/>
                <w:szCs w:val="20"/>
              </w:rPr>
              <w:t>Čl. 140 odst. 5</w:t>
            </w:r>
          </w:p>
        </w:tc>
        <w:tc>
          <w:tcPr>
            <w:tcW w:w="3758" w:type="dxa"/>
          </w:tcPr>
          <w:p w:rsidR="00290CE8" w:rsidRPr="0025078E" w:rsidRDefault="00290CE8" w:rsidP="00EC3167">
            <w:pPr>
              <w:rPr>
                <w:rFonts w:ascii="Times New Roman" w:hAnsi="Times New Roman" w:cs="Times New Roman"/>
                <w:sz w:val="20"/>
                <w:szCs w:val="20"/>
              </w:rPr>
            </w:pPr>
            <w:r w:rsidRPr="0025078E">
              <w:rPr>
                <w:rFonts w:ascii="Times New Roman" w:hAnsi="Times New Roman" w:cs="Times New Roman"/>
                <w:sz w:val="20"/>
                <w:szCs w:val="20"/>
              </w:rPr>
              <w:t xml:space="preserve">5.   Subjekty pověřené podle čl. 58 odst. 1 písm. c) bodů </w:t>
            </w:r>
            <w:proofErr w:type="spellStart"/>
            <w:r w:rsidRPr="0025078E">
              <w:rPr>
                <w:rFonts w:ascii="Times New Roman" w:hAnsi="Times New Roman" w:cs="Times New Roman"/>
                <w:sz w:val="20"/>
                <w:szCs w:val="20"/>
              </w:rPr>
              <w:t>ii</w:t>
            </w:r>
            <w:proofErr w:type="spellEnd"/>
            <w:r w:rsidRPr="0025078E">
              <w:rPr>
                <w:rFonts w:ascii="Times New Roman" w:hAnsi="Times New Roman" w:cs="Times New Roman"/>
                <w:sz w:val="20"/>
                <w:szCs w:val="20"/>
              </w:rPr>
              <w:t xml:space="preserve">), </w:t>
            </w:r>
            <w:proofErr w:type="spellStart"/>
            <w:r w:rsidRPr="0025078E">
              <w:rPr>
                <w:rFonts w:ascii="Times New Roman" w:hAnsi="Times New Roman" w:cs="Times New Roman"/>
                <w:sz w:val="20"/>
                <w:szCs w:val="20"/>
              </w:rPr>
              <w:t>iii</w:t>
            </w:r>
            <w:proofErr w:type="spellEnd"/>
            <w:r w:rsidRPr="0025078E">
              <w:rPr>
                <w:rFonts w:ascii="Times New Roman" w:hAnsi="Times New Roman" w:cs="Times New Roman"/>
                <w:sz w:val="20"/>
                <w:szCs w:val="20"/>
              </w:rPr>
              <w:t xml:space="preserve">), v) a </w:t>
            </w:r>
            <w:proofErr w:type="spellStart"/>
            <w:r w:rsidRPr="0025078E">
              <w:rPr>
                <w:rFonts w:ascii="Times New Roman" w:hAnsi="Times New Roman" w:cs="Times New Roman"/>
                <w:sz w:val="20"/>
                <w:szCs w:val="20"/>
              </w:rPr>
              <w:t>vi</w:t>
            </w:r>
            <w:proofErr w:type="spellEnd"/>
            <w:r w:rsidRPr="0025078E">
              <w:rPr>
                <w:rFonts w:ascii="Times New Roman" w:hAnsi="Times New Roman" w:cs="Times New Roman"/>
                <w:sz w:val="20"/>
                <w:szCs w:val="20"/>
              </w:rPr>
              <w:t>), finanční zprostředkovatelé uvedení v odstavci 4 tohoto článku, kteří jsou zapojeni do správy finančních nástrojů Unie, a koneční příjemci pomoci Unie podle této hlavy poskytují Účetnímu dvoru v souladu s článkem 161 veškerou podporu a informace, které Účetní dvůr považuje za nezbytné k plnění svých úkolů.</w:t>
            </w:r>
          </w:p>
          <w:p w:rsidR="00290CE8" w:rsidRPr="0025078E" w:rsidRDefault="00290CE8" w:rsidP="00EC3167">
            <w:pPr>
              <w:rPr>
                <w:rFonts w:ascii="Times New Roman" w:hAnsi="Times New Roman" w:cs="Times New Roman"/>
                <w:b/>
                <w:sz w:val="20"/>
                <w:szCs w:val="20"/>
              </w:rPr>
            </w:pPr>
            <w:r w:rsidRPr="0025078E">
              <w:rPr>
                <w:rFonts w:ascii="Times New Roman" w:hAnsi="Times New Roman" w:cs="Times New Roman"/>
                <w:sz w:val="20"/>
                <w:szCs w:val="20"/>
              </w:rPr>
              <w:t>Na pomoc Unie poskytovanou podle této hlavy se vztahují nařízení (Euratom, ES) č. 2185/96 a nařízení Evropského parlamentu a Rady (ES) č. 1073/1999 ze dne 25. května 1999 o vyšetřování prováděném Evropským úřadem pro boj proti podvodům (</w:t>
            </w:r>
            <w:proofErr w:type="gramStart"/>
            <w:r w:rsidRPr="0025078E">
              <w:rPr>
                <w:rFonts w:ascii="Times New Roman" w:hAnsi="Times New Roman" w:cs="Times New Roman"/>
                <w:sz w:val="20"/>
                <w:szCs w:val="20"/>
              </w:rPr>
              <w:t>OLAF) (23</w:t>
            </w:r>
            <w:proofErr w:type="gramEnd"/>
            <w:r w:rsidRPr="0025078E">
              <w:rPr>
                <w:rFonts w:ascii="Times New Roman" w:hAnsi="Times New Roman" w:cs="Times New Roman"/>
                <w:sz w:val="20"/>
                <w:szCs w:val="20"/>
              </w:rPr>
              <w:t>).</w:t>
            </w:r>
          </w:p>
        </w:tc>
        <w:tc>
          <w:tcPr>
            <w:tcW w:w="1134" w:type="dxa"/>
          </w:tcPr>
          <w:p w:rsidR="00290CE8" w:rsidRPr="0025078E" w:rsidRDefault="00290CE8"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290CE8" w:rsidRPr="0025078E" w:rsidRDefault="00290CE8"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290CE8" w:rsidRPr="0025078E" w:rsidRDefault="00290CE8" w:rsidP="00593EA8">
            <w:pPr>
              <w:rPr>
                <w:rFonts w:ascii="Times New Roman" w:hAnsi="Times New Roman" w:cs="Times New Roman"/>
                <w:sz w:val="20"/>
                <w:szCs w:val="20"/>
              </w:rPr>
            </w:pPr>
            <w:r w:rsidRPr="0025078E">
              <w:rPr>
                <w:rFonts w:ascii="Times New Roman" w:hAnsi="Times New Roman" w:cs="Times New Roman"/>
                <w:sz w:val="20"/>
                <w:szCs w:val="20"/>
              </w:rPr>
              <w:t xml:space="preserve">§ </w:t>
            </w:r>
            <w:r w:rsidR="00CC46CF" w:rsidRPr="0025078E">
              <w:rPr>
                <w:rFonts w:ascii="Times New Roman" w:hAnsi="Times New Roman" w:cs="Times New Roman"/>
                <w:sz w:val="20"/>
                <w:szCs w:val="20"/>
              </w:rPr>
              <w:t>42</w:t>
            </w:r>
          </w:p>
          <w:p w:rsidR="00A104DE" w:rsidRPr="0025078E" w:rsidRDefault="00A104DE" w:rsidP="00A104DE">
            <w:pPr>
              <w:pStyle w:val="Nadpisparagrafu"/>
              <w:jc w:val="left"/>
              <w:rPr>
                <w:sz w:val="20"/>
                <w:szCs w:val="20"/>
              </w:rPr>
            </w:pPr>
            <w:r w:rsidRPr="0025078E">
              <w:rPr>
                <w:sz w:val="20"/>
                <w:szCs w:val="20"/>
              </w:rPr>
              <w:t>Centrální kontaktní bod sítě Evropského úřadu pro boj proti podvodům</w:t>
            </w:r>
          </w:p>
          <w:p w:rsidR="00290CE8" w:rsidRPr="0025078E" w:rsidRDefault="00CC46CF" w:rsidP="00A104DE">
            <w:pPr>
              <w:pStyle w:val="Textodstavce"/>
              <w:numPr>
                <w:ilvl w:val="0"/>
                <w:numId w:val="0"/>
              </w:numPr>
              <w:rPr>
                <w:sz w:val="22"/>
                <w:szCs w:val="22"/>
              </w:rPr>
            </w:pPr>
            <w:r w:rsidRPr="0025078E">
              <w:rPr>
                <w:sz w:val="20"/>
                <w:szCs w:val="20"/>
              </w:rPr>
              <w:t>Ministerstvo financí plní povinnosti centrálního kontaktního bodu sítě Evropského úřadu pro boj proti podvodům a podává tomuto úřadu hlášení podle přímo použitelného předpisu Evropské unie upravujícího vyšetřování prováděné Evropským úřadem pro boj proti podvodům</w:t>
            </w:r>
            <w:r w:rsidRPr="0025078E">
              <w:rPr>
                <w:rStyle w:val="Znakapoznpodarou"/>
                <w:sz w:val="20"/>
                <w:szCs w:val="20"/>
              </w:rPr>
              <w:footnoteReference w:customMarkFollows="1" w:id="4"/>
              <w:t>6)</w:t>
            </w:r>
            <w:r w:rsidR="00F15AE4" w:rsidRPr="0025078E">
              <w:rPr>
                <w:sz w:val="20"/>
                <w:szCs w:val="20"/>
              </w:rPr>
              <w:t>.</w:t>
            </w:r>
          </w:p>
        </w:tc>
        <w:tc>
          <w:tcPr>
            <w:tcW w:w="1276" w:type="dxa"/>
            <w:vAlign w:val="center"/>
          </w:tcPr>
          <w:p w:rsidR="00290CE8" w:rsidRPr="0025078E" w:rsidRDefault="006B6797" w:rsidP="001D336E">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290CE8" w:rsidRPr="0025078E" w:rsidRDefault="00290CE8" w:rsidP="001D336E">
            <w:pPr>
              <w:jc w:val="center"/>
              <w:rPr>
                <w:rFonts w:ascii="Times New Roman" w:hAnsi="Times New Roman" w:cs="Times New Roman"/>
                <w:sz w:val="20"/>
                <w:szCs w:val="20"/>
              </w:rPr>
            </w:pPr>
          </w:p>
        </w:tc>
      </w:tr>
      <w:tr w:rsidR="00290CE8" w:rsidRPr="0025078E" w:rsidTr="001D336E">
        <w:tc>
          <w:tcPr>
            <w:tcW w:w="2020" w:type="dxa"/>
            <w:vAlign w:val="center"/>
          </w:tcPr>
          <w:p w:rsidR="00290CE8" w:rsidRPr="0025078E" w:rsidRDefault="00290CE8" w:rsidP="001D336E">
            <w:pPr>
              <w:jc w:val="center"/>
              <w:rPr>
                <w:rFonts w:ascii="Times New Roman" w:hAnsi="Times New Roman" w:cs="Times New Roman"/>
                <w:sz w:val="20"/>
                <w:szCs w:val="20"/>
              </w:rPr>
            </w:pPr>
            <w:r w:rsidRPr="0025078E">
              <w:rPr>
                <w:rFonts w:ascii="Times New Roman" w:hAnsi="Times New Roman" w:cs="Times New Roman"/>
                <w:sz w:val="20"/>
                <w:szCs w:val="20"/>
              </w:rPr>
              <w:t>Čl. 175</w:t>
            </w:r>
          </w:p>
        </w:tc>
        <w:tc>
          <w:tcPr>
            <w:tcW w:w="3758" w:type="dxa"/>
          </w:tcPr>
          <w:p w:rsidR="00290CE8" w:rsidRPr="0025078E" w:rsidRDefault="00290CE8" w:rsidP="000E285F">
            <w:pPr>
              <w:rPr>
                <w:rFonts w:ascii="Times New Roman" w:hAnsi="Times New Roman" w:cs="Times New Roman"/>
                <w:b/>
                <w:sz w:val="20"/>
                <w:szCs w:val="20"/>
              </w:rPr>
            </w:pPr>
            <w:r w:rsidRPr="0025078E">
              <w:rPr>
                <w:rFonts w:ascii="Times New Roman" w:hAnsi="Times New Roman" w:cs="Times New Roman"/>
                <w:b/>
                <w:sz w:val="20"/>
                <w:szCs w:val="20"/>
              </w:rPr>
              <w:t>Zvláštní ustanovení</w:t>
            </w:r>
          </w:p>
          <w:p w:rsidR="00290CE8" w:rsidRPr="0025078E" w:rsidRDefault="00290CE8" w:rsidP="000E285F">
            <w:pPr>
              <w:rPr>
                <w:rFonts w:ascii="Times New Roman" w:hAnsi="Times New Roman" w:cs="Times New Roman"/>
                <w:sz w:val="20"/>
                <w:szCs w:val="20"/>
              </w:rPr>
            </w:pPr>
            <w:r w:rsidRPr="0025078E">
              <w:rPr>
                <w:rFonts w:ascii="Times New Roman" w:hAnsi="Times New Roman" w:cs="Times New Roman"/>
                <w:sz w:val="20"/>
                <w:szCs w:val="20"/>
              </w:rPr>
              <w:t>1.   Části první a třetí se použijí na příjmy a výdaje orgánů a subjektů uvedených v nařízení Rady (ES) č. 1698/2005 ze dne 20. září 2005 o podpoře pro rozvoj venkova z Evropského zemědělského fondu pro rozvoj venkova (</w:t>
            </w:r>
            <w:proofErr w:type="gramStart"/>
            <w:r w:rsidRPr="0025078E">
              <w:rPr>
                <w:rFonts w:ascii="Times New Roman" w:hAnsi="Times New Roman" w:cs="Times New Roman"/>
                <w:sz w:val="20"/>
                <w:szCs w:val="20"/>
              </w:rPr>
              <w:t>EZFRV) (25</w:t>
            </w:r>
            <w:proofErr w:type="gramEnd"/>
            <w:r w:rsidRPr="0025078E">
              <w:rPr>
                <w:rFonts w:ascii="Times New Roman" w:hAnsi="Times New Roman" w:cs="Times New Roman"/>
                <w:sz w:val="20"/>
                <w:szCs w:val="20"/>
              </w:rPr>
              <w:t>), v nařízení Evropského parlamentu a Rady (ES) č. 1080/2006 ze dne 5. července 2006 o Evropském fondu pro regionální rozvoj (26), v nařízení Evropského parlamentu a Rady (ES) č. 1081/2006 ze dne 5. července 2006 o Evropském sociálním fondu (27), v nařízení Rady (ES) č. 1083/2006 ze dne 11. července 2006 o obecných ustanoveních o Evropském fondu pro regionální rozvoj, Evropském sociálním fondu a Fondu soudržnosti (28), v nařízení Rady (ES) č. 1084/2006 ze dne 11. července 2006, kterým se zřizuje Fond soudržnosti (29) a v nařízení Rady (ES) č. 1198/2006 ze dne 27. července 2006 o Evropském rybářském fondu (30), jakož i fondů pro oblast svobody, bezpečnosti a práva, včetně fondů v rámci programu „Solidarita a řízení migračních toků“, které jsou spravovány v rámci sdíleného řízení podle článku 59 (dále jen „fondy“), není-li v této hlavě stanoveno jinak.</w:t>
            </w:r>
          </w:p>
          <w:p w:rsidR="00290CE8" w:rsidRPr="0025078E" w:rsidRDefault="00290CE8" w:rsidP="000E285F">
            <w:pPr>
              <w:rPr>
                <w:rFonts w:ascii="Times New Roman" w:hAnsi="Times New Roman" w:cs="Times New Roman"/>
                <w:sz w:val="20"/>
                <w:szCs w:val="20"/>
              </w:rPr>
            </w:pPr>
            <w:r w:rsidRPr="0025078E">
              <w:rPr>
                <w:rFonts w:ascii="Times New Roman" w:hAnsi="Times New Roman" w:cs="Times New Roman"/>
                <w:sz w:val="20"/>
                <w:szCs w:val="20"/>
              </w:rPr>
              <w:t>2.   Operace řízené přímo Komisí se uskutečňují podle pravidel stanovených v částech první a třetí.</w:t>
            </w:r>
          </w:p>
        </w:tc>
        <w:tc>
          <w:tcPr>
            <w:tcW w:w="1134" w:type="dxa"/>
          </w:tcPr>
          <w:p w:rsidR="00290CE8" w:rsidRPr="0025078E" w:rsidRDefault="00290CE8" w:rsidP="001D336E">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290CE8" w:rsidRPr="0025078E" w:rsidRDefault="00290CE8" w:rsidP="001D336E">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A84726" w:rsidRPr="0025078E" w:rsidRDefault="00A84726" w:rsidP="00A84726">
            <w:pPr>
              <w:rPr>
                <w:rFonts w:ascii="Times New Roman" w:hAnsi="Times New Roman" w:cs="Times New Roman"/>
                <w:sz w:val="20"/>
                <w:szCs w:val="20"/>
              </w:rPr>
            </w:pPr>
            <w:r w:rsidRPr="0025078E">
              <w:rPr>
                <w:rFonts w:ascii="Times New Roman" w:hAnsi="Times New Roman" w:cs="Times New Roman"/>
                <w:sz w:val="20"/>
                <w:szCs w:val="20"/>
              </w:rPr>
              <w:t>§ 42</w:t>
            </w:r>
          </w:p>
          <w:p w:rsidR="00A84726" w:rsidRPr="0025078E" w:rsidRDefault="00A84726" w:rsidP="00A84726">
            <w:pPr>
              <w:pStyle w:val="Nadpisparagrafu"/>
              <w:jc w:val="left"/>
              <w:rPr>
                <w:sz w:val="20"/>
                <w:szCs w:val="20"/>
              </w:rPr>
            </w:pPr>
            <w:r w:rsidRPr="0025078E">
              <w:rPr>
                <w:sz w:val="20"/>
                <w:szCs w:val="20"/>
              </w:rPr>
              <w:t>Centrální kontaktní bod sítě Evropského úřadu pro boj proti podvodům</w:t>
            </w:r>
          </w:p>
          <w:p w:rsidR="00290CE8" w:rsidRPr="0025078E" w:rsidRDefault="00A84726" w:rsidP="00A84726">
            <w:pPr>
              <w:rPr>
                <w:rFonts w:ascii="Times New Roman" w:hAnsi="Times New Roman" w:cs="Times New Roman"/>
                <w:sz w:val="20"/>
                <w:szCs w:val="20"/>
              </w:rPr>
            </w:pPr>
            <w:r w:rsidRPr="0025078E">
              <w:rPr>
                <w:rFonts w:ascii="Times New Roman" w:hAnsi="Times New Roman" w:cs="Times New Roman"/>
                <w:sz w:val="20"/>
                <w:szCs w:val="20"/>
              </w:rPr>
              <w:t>Ministerstvo financí plní povinnosti centrálního kontaktního bodu sítě Evropského úřadu pro boj proti podvodům a podává tomuto úřadu hlášení podle přímo použitelného předpisu Evropské unie upravujícího vyšetřování prováděné Evropský</w:t>
            </w:r>
            <w:r w:rsidR="00F15AE4" w:rsidRPr="0025078E">
              <w:rPr>
                <w:rFonts w:ascii="Times New Roman" w:hAnsi="Times New Roman" w:cs="Times New Roman"/>
                <w:sz w:val="20"/>
                <w:szCs w:val="20"/>
              </w:rPr>
              <w:t>m úřadem pro boj proti podvodům</w:t>
            </w:r>
            <w:r w:rsidRPr="0025078E">
              <w:rPr>
                <w:rStyle w:val="Znakapoznpodarou"/>
                <w:rFonts w:ascii="Times New Roman" w:hAnsi="Times New Roman" w:cs="Times New Roman"/>
                <w:sz w:val="20"/>
                <w:szCs w:val="20"/>
              </w:rPr>
              <w:footnoteReference w:customMarkFollows="1" w:id="5"/>
              <w:t>6)</w:t>
            </w:r>
            <w:r w:rsidR="00F15AE4" w:rsidRPr="0025078E">
              <w:rPr>
                <w:rFonts w:ascii="Times New Roman" w:hAnsi="Times New Roman" w:cs="Times New Roman"/>
                <w:sz w:val="20"/>
                <w:szCs w:val="20"/>
              </w:rPr>
              <w:t>.</w:t>
            </w:r>
          </w:p>
        </w:tc>
        <w:tc>
          <w:tcPr>
            <w:tcW w:w="1276" w:type="dxa"/>
            <w:vAlign w:val="center"/>
          </w:tcPr>
          <w:p w:rsidR="00290CE8" w:rsidRPr="0025078E" w:rsidRDefault="006B6797" w:rsidP="001D336E">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290CE8" w:rsidRPr="0025078E" w:rsidRDefault="00290CE8" w:rsidP="001D336E">
            <w:pPr>
              <w:jc w:val="center"/>
              <w:rPr>
                <w:rFonts w:ascii="Times New Roman" w:hAnsi="Times New Roman" w:cs="Times New Roman"/>
                <w:sz w:val="20"/>
                <w:szCs w:val="20"/>
              </w:rPr>
            </w:pPr>
          </w:p>
        </w:tc>
      </w:tr>
    </w:tbl>
    <w:p w:rsidR="00933173" w:rsidRPr="0025078E" w:rsidRDefault="00933173">
      <w:pPr>
        <w:rPr>
          <w:rFonts w:ascii="Times New Roman" w:hAnsi="Times New Roman" w:cs="Times New Roman"/>
          <w:sz w:val="20"/>
          <w:szCs w:val="20"/>
        </w:rPr>
      </w:pPr>
    </w:p>
    <w:p w:rsidR="00876730" w:rsidRPr="0025078E" w:rsidRDefault="00876730">
      <w:pPr>
        <w:rPr>
          <w:rFonts w:ascii="Times New Roman" w:hAnsi="Times New Roman" w:cs="Times New Roman"/>
          <w:sz w:val="20"/>
          <w:szCs w:val="20"/>
        </w:rPr>
      </w:pPr>
      <w:r w:rsidRPr="0025078E">
        <w:rPr>
          <w:rFonts w:ascii="Times New Roman" w:hAnsi="Times New Roman" w:cs="Times New Roman"/>
          <w:sz w:val="20"/>
          <w:szCs w:val="20"/>
        </w:rPr>
        <w:br w:type="page"/>
      </w:r>
    </w:p>
    <w:p w:rsidR="00876730" w:rsidRPr="0025078E" w:rsidRDefault="00876730" w:rsidP="00876730">
      <w:pPr>
        <w:rPr>
          <w:rFonts w:ascii="Times New Roman" w:hAnsi="Times New Roman" w:cs="Times New Roman"/>
          <w:sz w:val="20"/>
          <w:szCs w:val="20"/>
        </w:rPr>
      </w:pP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876730" w:rsidRPr="0025078E" w:rsidTr="00EE05E1">
        <w:tc>
          <w:tcPr>
            <w:tcW w:w="2357" w:type="dxa"/>
            <w:vAlign w:val="center"/>
          </w:tcPr>
          <w:p w:rsidR="00876730" w:rsidRPr="0025078E" w:rsidRDefault="00876730" w:rsidP="00EE05E1">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32013R0883</w:t>
            </w:r>
          </w:p>
        </w:tc>
        <w:tc>
          <w:tcPr>
            <w:tcW w:w="1842"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 xml:space="preserve">Mgr. Andrea Vuongová, </w:t>
            </w:r>
            <w:r w:rsidR="00426BF0" w:rsidRPr="0025078E">
              <w:rPr>
                <w:rFonts w:ascii="Times New Roman" w:hAnsi="Times New Roman" w:cs="Times New Roman"/>
                <w:sz w:val="20"/>
                <w:szCs w:val="20"/>
              </w:rPr>
              <w:t>28. 11. 2016</w:t>
            </w:r>
          </w:p>
        </w:tc>
      </w:tr>
      <w:tr w:rsidR="00876730" w:rsidRPr="0025078E" w:rsidTr="00EE05E1">
        <w:tc>
          <w:tcPr>
            <w:tcW w:w="2357"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876730" w:rsidRPr="0025078E" w:rsidRDefault="00876730" w:rsidP="00EE05E1">
            <w:pPr>
              <w:rPr>
                <w:rFonts w:ascii="Times New Roman" w:hAnsi="Times New Roman" w:cs="Times New Roman"/>
                <w:sz w:val="20"/>
                <w:szCs w:val="20"/>
              </w:rPr>
            </w:pPr>
            <w:r w:rsidRPr="0025078E">
              <w:rPr>
                <w:rFonts w:ascii="Times New Roman" w:eastAsia="Times New Roman" w:hAnsi="Times New Roman" w:cs="Times New Roman"/>
                <w:bCs/>
                <w:noProof/>
                <w:sz w:val="20"/>
                <w:szCs w:val="20"/>
                <w:lang w:eastAsia="cs-CZ"/>
              </w:rPr>
              <w:t>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tc>
        <w:tc>
          <w:tcPr>
            <w:tcW w:w="1842"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876730" w:rsidRPr="0025078E" w:rsidRDefault="00876730" w:rsidP="00EE05E1">
            <w:pPr>
              <w:rPr>
                <w:rFonts w:ascii="Times New Roman" w:hAnsi="Times New Roman" w:cs="Times New Roman"/>
                <w:sz w:val="20"/>
                <w:szCs w:val="20"/>
              </w:rPr>
            </w:pPr>
          </w:p>
        </w:tc>
        <w:tc>
          <w:tcPr>
            <w:tcW w:w="2358"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 xml:space="preserve">Mgr. Jana Kranecová, Ph.D., </w:t>
            </w:r>
            <w:r w:rsidR="00426BF0" w:rsidRPr="0025078E">
              <w:rPr>
                <w:rFonts w:ascii="Times New Roman" w:hAnsi="Times New Roman" w:cs="Times New Roman"/>
                <w:sz w:val="20"/>
                <w:szCs w:val="20"/>
              </w:rPr>
              <w:t>28. 11. 2016</w:t>
            </w:r>
          </w:p>
        </w:tc>
      </w:tr>
    </w:tbl>
    <w:p w:rsidR="00876730" w:rsidRPr="0025078E" w:rsidRDefault="00876730" w:rsidP="00876730">
      <w:pPr>
        <w:rPr>
          <w:rFonts w:ascii="Times New Roman" w:hAnsi="Times New Roman" w:cs="Times New Roman"/>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685"/>
        <w:gridCol w:w="1276"/>
        <w:gridCol w:w="711"/>
      </w:tblGrid>
      <w:tr w:rsidR="00876730" w:rsidRPr="0025078E" w:rsidTr="00EE05E1">
        <w:trPr>
          <w:tblHeader/>
        </w:trPr>
        <w:tc>
          <w:tcPr>
            <w:tcW w:w="5778" w:type="dxa"/>
            <w:gridSpan w:val="2"/>
            <w:shd w:val="clear" w:color="auto" w:fill="00B0F0"/>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br w:type="page"/>
              <w:t>Právní předpis EU</w:t>
            </w:r>
          </w:p>
        </w:tc>
        <w:tc>
          <w:tcPr>
            <w:tcW w:w="8366" w:type="dxa"/>
            <w:gridSpan w:val="5"/>
            <w:shd w:val="clear" w:color="auto" w:fill="FFFF00"/>
          </w:tcPr>
          <w:p w:rsidR="00876730" w:rsidRPr="0025078E" w:rsidRDefault="00876730" w:rsidP="00EE05E1">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876730" w:rsidRPr="0025078E" w:rsidTr="00EE05E1">
        <w:tc>
          <w:tcPr>
            <w:tcW w:w="2020"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685"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276"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876730" w:rsidRPr="0025078E" w:rsidTr="00EE05E1">
        <w:tc>
          <w:tcPr>
            <w:tcW w:w="2020" w:type="dxa"/>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Čl. 3 odst. 4</w:t>
            </w:r>
          </w:p>
        </w:tc>
        <w:tc>
          <w:tcPr>
            <w:tcW w:w="3758" w:type="dxa"/>
          </w:tcPr>
          <w:p w:rsidR="00876730" w:rsidRPr="0025078E" w:rsidRDefault="00876730" w:rsidP="00EE05E1">
            <w:pPr>
              <w:rPr>
                <w:rFonts w:ascii="Times New Roman" w:hAnsi="Times New Roman" w:cs="Times New Roman"/>
                <w:sz w:val="20"/>
                <w:szCs w:val="20"/>
              </w:rPr>
            </w:pPr>
            <w:r w:rsidRPr="0025078E">
              <w:rPr>
                <w:rFonts w:ascii="Times New Roman" w:hAnsi="Times New Roman" w:cs="Times New Roman"/>
                <w:sz w:val="20"/>
                <w:szCs w:val="20"/>
              </w:rPr>
              <w:t>4. Pro účely tohoto nařízení určí členské státy službu (dále jen „koordinační služba pro boj proti podvodům“), která bude napomáhat účinné spolupráci a výměně informací včetně informací operační povahy s úřadem. V příslušných případech a v souladu s vnitrostátním právem může být koordinační služba pro boj proti podvodům považována za příslušný orgán pro účely tohoto nařízení.</w:t>
            </w:r>
          </w:p>
        </w:tc>
        <w:tc>
          <w:tcPr>
            <w:tcW w:w="1134" w:type="dxa"/>
          </w:tcPr>
          <w:p w:rsidR="00876730" w:rsidRPr="0025078E" w:rsidRDefault="00136758"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876730" w:rsidRPr="0025078E" w:rsidRDefault="00136758"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024418" w:rsidRPr="0025078E" w:rsidRDefault="00024418" w:rsidP="00024418">
            <w:pPr>
              <w:rPr>
                <w:rFonts w:ascii="Times New Roman" w:hAnsi="Times New Roman" w:cs="Times New Roman"/>
                <w:sz w:val="20"/>
                <w:szCs w:val="20"/>
              </w:rPr>
            </w:pPr>
            <w:r w:rsidRPr="0025078E">
              <w:rPr>
                <w:rFonts w:ascii="Times New Roman" w:hAnsi="Times New Roman" w:cs="Times New Roman"/>
                <w:sz w:val="20"/>
                <w:szCs w:val="20"/>
              </w:rPr>
              <w:t>§ 42</w:t>
            </w:r>
          </w:p>
          <w:p w:rsidR="00024418" w:rsidRPr="0025078E" w:rsidRDefault="00024418" w:rsidP="00024418">
            <w:pPr>
              <w:pStyle w:val="Nadpisparagrafu"/>
              <w:jc w:val="left"/>
              <w:rPr>
                <w:sz w:val="20"/>
                <w:szCs w:val="20"/>
              </w:rPr>
            </w:pPr>
            <w:r w:rsidRPr="0025078E">
              <w:rPr>
                <w:sz w:val="20"/>
                <w:szCs w:val="20"/>
              </w:rPr>
              <w:t>Centrální kontaktní bod sítě Evropského úřadu pro boj proti podvodům</w:t>
            </w:r>
          </w:p>
          <w:p w:rsidR="00876730" w:rsidRPr="0025078E" w:rsidRDefault="00024418" w:rsidP="00024418">
            <w:pPr>
              <w:rPr>
                <w:rFonts w:ascii="Times New Roman" w:hAnsi="Times New Roman" w:cs="Times New Roman"/>
                <w:sz w:val="20"/>
                <w:szCs w:val="20"/>
              </w:rPr>
            </w:pPr>
            <w:r w:rsidRPr="0025078E">
              <w:rPr>
                <w:rFonts w:ascii="Times New Roman" w:hAnsi="Times New Roman" w:cs="Times New Roman"/>
                <w:sz w:val="20"/>
                <w:szCs w:val="20"/>
              </w:rPr>
              <w:t>Ministerstvo financí plní povinnosti centrálního kontaktního bodu sítě Evropského úřadu pro boj proti podvodům a podává tomuto úřadu hlášení podle přímo použitelného předpisu Evropské unie upravujícího vyšetřování prováděné Evropský</w:t>
            </w:r>
            <w:r w:rsidR="00E4038E" w:rsidRPr="0025078E">
              <w:rPr>
                <w:rFonts w:ascii="Times New Roman" w:hAnsi="Times New Roman" w:cs="Times New Roman"/>
                <w:sz w:val="20"/>
                <w:szCs w:val="20"/>
              </w:rPr>
              <w:t>m úřadem pro boj proti podvodům</w:t>
            </w:r>
            <w:r w:rsidRPr="0025078E">
              <w:rPr>
                <w:rStyle w:val="Znakapoznpodarou"/>
                <w:rFonts w:ascii="Times New Roman" w:hAnsi="Times New Roman" w:cs="Times New Roman"/>
                <w:sz w:val="20"/>
                <w:szCs w:val="20"/>
              </w:rPr>
              <w:footnoteReference w:customMarkFollows="1" w:id="6"/>
              <w:t>6)</w:t>
            </w:r>
            <w:r w:rsidR="00E4038E" w:rsidRPr="0025078E">
              <w:rPr>
                <w:rFonts w:ascii="Times New Roman" w:hAnsi="Times New Roman" w:cs="Times New Roman"/>
                <w:sz w:val="20"/>
                <w:szCs w:val="20"/>
              </w:rPr>
              <w:t>.</w:t>
            </w:r>
          </w:p>
        </w:tc>
        <w:tc>
          <w:tcPr>
            <w:tcW w:w="1276" w:type="dxa"/>
            <w:vAlign w:val="center"/>
          </w:tcPr>
          <w:p w:rsidR="00876730" w:rsidRPr="0025078E" w:rsidRDefault="00876730"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876730" w:rsidRPr="0025078E" w:rsidRDefault="00876730" w:rsidP="00EE05E1">
            <w:pPr>
              <w:jc w:val="center"/>
              <w:rPr>
                <w:rFonts w:ascii="Times New Roman" w:hAnsi="Times New Roman" w:cs="Times New Roman"/>
                <w:sz w:val="20"/>
                <w:szCs w:val="20"/>
              </w:rPr>
            </w:pPr>
          </w:p>
        </w:tc>
      </w:tr>
    </w:tbl>
    <w:p w:rsidR="00876730" w:rsidRPr="0025078E" w:rsidRDefault="00876730">
      <w:pPr>
        <w:rPr>
          <w:rFonts w:ascii="Times New Roman" w:hAnsi="Times New Roman" w:cs="Times New Roman"/>
          <w:sz w:val="20"/>
          <w:szCs w:val="20"/>
        </w:rPr>
      </w:pPr>
      <w:r w:rsidRPr="0025078E">
        <w:rPr>
          <w:rFonts w:ascii="Times New Roman" w:hAnsi="Times New Roman" w:cs="Times New Roman"/>
          <w:sz w:val="20"/>
          <w:szCs w:val="20"/>
        </w:rPr>
        <w:br w:type="page"/>
      </w:r>
    </w:p>
    <w:p w:rsidR="00876730" w:rsidRPr="0025078E" w:rsidRDefault="00876730">
      <w:pPr>
        <w:rPr>
          <w:rFonts w:ascii="Times New Roman" w:hAnsi="Times New Roman" w:cs="Times New Roman"/>
          <w:sz w:val="20"/>
          <w:szCs w:val="20"/>
        </w:rPr>
      </w:pPr>
    </w:p>
    <w:p w:rsidR="00933173" w:rsidRPr="0025078E" w:rsidRDefault="00933173">
      <w:pPr>
        <w:rPr>
          <w:rFonts w:ascii="Times New Roman" w:hAnsi="Times New Roman" w:cs="Times New Roman"/>
          <w:sz w:val="20"/>
          <w:szCs w:val="20"/>
        </w:rPr>
      </w:pPr>
    </w:p>
    <w:p w:rsidR="00DD2065" w:rsidRPr="0025078E" w:rsidRDefault="00DD2065">
      <w:pPr>
        <w:rPr>
          <w:rFonts w:ascii="Times New Roman" w:hAnsi="Times New Roman" w:cs="Times New Roman"/>
          <w:sz w:val="20"/>
          <w:szCs w:val="20"/>
        </w:rPr>
      </w:pP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2511FE" w:rsidRPr="0025078E" w:rsidTr="00C71E8F">
        <w:tc>
          <w:tcPr>
            <w:tcW w:w="2357" w:type="dxa"/>
            <w:vAlign w:val="center"/>
          </w:tcPr>
          <w:p w:rsidR="002511FE" w:rsidRPr="0025078E" w:rsidRDefault="002511FE" w:rsidP="00C71E8F">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32013R1303</w:t>
            </w:r>
          </w:p>
        </w:tc>
        <w:tc>
          <w:tcPr>
            <w:tcW w:w="1842"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 xml:space="preserve">Mgr. </w:t>
            </w:r>
            <w:r w:rsidR="00897E1C" w:rsidRPr="0025078E">
              <w:rPr>
                <w:rFonts w:ascii="Times New Roman" w:hAnsi="Times New Roman" w:cs="Times New Roman"/>
                <w:sz w:val="20"/>
                <w:szCs w:val="20"/>
              </w:rPr>
              <w:t>Andrea Vuongová</w:t>
            </w:r>
            <w:r w:rsidRPr="0025078E">
              <w:rPr>
                <w:rFonts w:ascii="Times New Roman" w:hAnsi="Times New Roman" w:cs="Times New Roman"/>
                <w:sz w:val="20"/>
                <w:szCs w:val="20"/>
              </w:rPr>
              <w:t xml:space="preserve">, </w:t>
            </w:r>
            <w:r w:rsidR="00426BF0" w:rsidRPr="0025078E">
              <w:rPr>
                <w:rFonts w:ascii="Times New Roman" w:hAnsi="Times New Roman" w:cs="Times New Roman"/>
                <w:sz w:val="20"/>
                <w:szCs w:val="20"/>
              </w:rPr>
              <w:t>28. 11. 2016</w:t>
            </w:r>
          </w:p>
        </w:tc>
      </w:tr>
      <w:tr w:rsidR="002511FE" w:rsidRPr="0025078E" w:rsidTr="00C71E8F">
        <w:tc>
          <w:tcPr>
            <w:tcW w:w="2357"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tc>
        <w:tc>
          <w:tcPr>
            <w:tcW w:w="1842"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2511FE" w:rsidRPr="0025078E" w:rsidRDefault="002511FE" w:rsidP="00C71E8F">
            <w:pPr>
              <w:rPr>
                <w:rFonts w:ascii="Times New Roman" w:hAnsi="Times New Roman" w:cs="Times New Roman"/>
                <w:sz w:val="20"/>
                <w:szCs w:val="20"/>
              </w:rPr>
            </w:pPr>
          </w:p>
        </w:tc>
        <w:tc>
          <w:tcPr>
            <w:tcW w:w="2358" w:type="dxa"/>
            <w:vAlign w:val="center"/>
          </w:tcPr>
          <w:p w:rsidR="002511FE" w:rsidRPr="0025078E" w:rsidRDefault="002511FE" w:rsidP="00C71E8F">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2511FE" w:rsidRPr="0025078E" w:rsidRDefault="00C53F9A" w:rsidP="00C71E8F">
            <w:pPr>
              <w:rPr>
                <w:rFonts w:ascii="Times New Roman" w:hAnsi="Times New Roman" w:cs="Times New Roman"/>
                <w:sz w:val="20"/>
                <w:szCs w:val="20"/>
              </w:rPr>
            </w:pPr>
            <w:r w:rsidRPr="0025078E">
              <w:rPr>
                <w:rFonts w:ascii="Times New Roman" w:hAnsi="Times New Roman" w:cs="Times New Roman"/>
                <w:sz w:val="20"/>
                <w:szCs w:val="20"/>
              </w:rPr>
              <w:t>Mgr. Jana Kranecová, Ph.D.,</w:t>
            </w:r>
            <w:r w:rsidR="00897E1C" w:rsidRPr="0025078E">
              <w:rPr>
                <w:rFonts w:ascii="Times New Roman" w:hAnsi="Times New Roman" w:cs="Times New Roman"/>
                <w:sz w:val="20"/>
                <w:szCs w:val="20"/>
              </w:rPr>
              <w:t xml:space="preserve"> </w:t>
            </w:r>
            <w:r w:rsidR="00426BF0" w:rsidRPr="0025078E">
              <w:rPr>
                <w:rFonts w:ascii="Times New Roman" w:hAnsi="Times New Roman" w:cs="Times New Roman"/>
                <w:sz w:val="20"/>
                <w:szCs w:val="20"/>
              </w:rPr>
              <w:t>28. 11. 2016</w:t>
            </w:r>
          </w:p>
        </w:tc>
      </w:tr>
    </w:tbl>
    <w:p w:rsidR="002511FE" w:rsidRPr="0025078E" w:rsidRDefault="002511FE">
      <w:pPr>
        <w:rPr>
          <w:rFonts w:ascii="Times New Roman" w:hAnsi="Times New Roman" w:cs="Times New Roman"/>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685"/>
        <w:gridCol w:w="1276"/>
        <w:gridCol w:w="711"/>
      </w:tblGrid>
      <w:tr w:rsidR="00E07594" w:rsidRPr="0025078E" w:rsidTr="001D336E">
        <w:trPr>
          <w:tblHeader/>
        </w:trPr>
        <w:tc>
          <w:tcPr>
            <w:tcW w:w="5778" w:type="dxa"/>
            <w:gridSpan w:val="2"/>
            <w:shd w:val="clear" w:color="auto" w:fill="00B0F0"/>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br w:type="page"/>
              <w:t>Právní předpis EU</w:t>
            </w:r>
          </w:p>
        </w:tc>
        <w:tc>
          <w:tcPr>
            <w:tcW w:w="8366" w:type="dxa"/>
            <w:gridSpan w:val="5"/>
            <w:shd w:val="clear" w:color="auto" w:fill="FFFF00"/>
          </w:tcPr>
          <w:p w:rsidR="00E07594" w:rsidRPr="0025078E" w:rsidRDefault="00E07594" w:rsidP="001D336E">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E07594" w:rsidRPr="0025078E" w:rsidTr="001D336E">
        <w:tc>
          <w:tcPr>
            <w:tcW w:w="2020"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685"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276"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E07594" w:rsidRPr="0025078E" w:rsidRDefault="00E07594" w:rsidP="001D336E">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EE05E1" w:rsidRPr="0025078E" w:rsidTr="00171C85">
        <w:tc>
          <w:tcPr>
            <w:tcW w:w="2020"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Preambule</w:t>
            </w:r>
          </w:p>
        </w:tc>
        <w:tc>
          <w:tcPr>
            <w:tcW w:w="3758"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(122) Četnost auditů operací by měla odpovídat rozsahu podpory Unie z fondů a ENRF. Zejména by se měl snížit počet provedených auditů, pokud celkové způsobilé výdaje na danou operaci nepřesahují 200 000 EUR v případě EFRR a Fondu soudržnosti, 150 000 EUR v případě ESF a 100 000 EUR v případě ENRF. Mělo by nicméně být možné provádět audity kdykoli, pokud existuje důkaz o nesrovnalosti nebo podvodu, nebo – v rámci auditního vzorku – po uzavření dokončené operace. Komise by měla mít možnost přezkoumat auditní stopu dotyčného auditního orgánu nebo se zúčastnit auditů na místě prováděných auditním orgánem. Pokud Komise nezíská nezbytnou jistotu ohledně účinného fungování auditního orgánu těmito prostředky, měla by mít možnost auditní výkon opakovat, pokud je to v souladu s mezinárodně uznávanými auditními standardy. Aby byla úroveň auditů prováděných Komisí úměrná riziku, měla by Komise mít možnost snížit úroveň auditní činnosti v souvislosti s operačními programy, pokud nebyly zjištěny žádné závažné nedostatky nebo pokud je auditní orgán spolehlivý. V zájmu snížení administrativní zátěže pro příjemce by měla být zavedena konkrétní pravidla pro snížení rizika překrývání auditů, které u stejných operací provádějí různé orgány, zejména Evropský účetní dvůr, Komise a auditní orgán.</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pStyle w:val="Nadpisparagrafu"/>
              <w:spacing w:before="120" w:after="120"/>
              <w:jc w:val="left"/>
              <w:rPr>
                <w:b w:val="0"/>
                <w:sz w:val="20"/>
                <w:szCs w:val="20"/>
              </w:rPr>
            </w:pPr>
            <w:r w:rsidRPr="0025078E">
              <w:rPr>
                <w:b w:val="0"/>
                <w:sz w:val="20"/>
                <w:szCs w:val="20"/>
              </w:rPr>
              <w:t>§ 30 odst. 1 až 3</w:t>
            </w:r>
          </w:p>
          <w:p w:rsidR="00EE05E1" w:rsidRPr="0025078E" w:rsidRDefault="00EE05E1" w:rsidP="00EE05E1">
            <w:pPr>
              <w:pStyle w:val="Nadpisparagrafu"/>
              <w:spacing w:before="120" w:after="120"/>
              <w:jc w:val="left"/>
              <w:rPr>
                <w:sz w:val="20"/>
                <w:szCs w:val="20"/>
              </w:rPr>
            </w:pPr>
            <w:r w:rsidRPr="0025078E">
              <w:rPr>
                <w:sz w:val="20"/>
                <w:szCs w:val="20"/>
              </w:rPr>
              <w:t>Výkon vládního a interního auditu</w:t>
            </w:r>
          </w:p>
          <w:p w:rsidR="00EE05E1" w:rsidRPr="0025078E" w:rsidRDefault="00EE05E1" w:rsidP="00EE05E1">
            <w:pPr>
              <w:pStyle w:val="Textodstavce"/>
              <w:numPr>
                <w:ilvl w:val="0"/>
                <w:numId w:val="0"/>
              </w:numPr>
              <w:rPr>
                <w:sz w:val="20"/>
                <w:szCs w:val="20"/>
              </w:rPr>
            </w:pPr>
            <w:r w:rsidRPr="0025078E">
              <w:rPr>
                <w:sz w:val="20"/>
                <w:szCs w:val="20"/>
              </w:rPr>
              <w:t>(1) Ministerstvo financí postupuje při výkonu vrchního auditu podle tohoto zákona, mezinárodních standardů a kontrolního řádu s výjimkou § 9 písm. f), § 10 odst. 1 písm. c) a d), §</w:t>
            </w:r>
            <w:r w:rsidR="005A08E5" w:rsidRPr="0025078E">
              <w:rPr>
                <w:sz w:val="20"/>
                <w:szCs w:val="20"/>
              </w:rPr>
              <w:t xml:space="preserve"> 12 až 19, § 21, 24, 26 a </w:t>
            </w:r>
            <w:r w:rsidRPr="0025078E">
              <w:rPr>
                <w:sz w:val="20"/>
                <w:szCs w:val="20"/>
              </w:rPr>
              <w:t xml:space="preserve">27.  </w:t>
            </w:r>
          </w:p>
          <w:p w:rsidR="00EE05E1" w:rsidRPr="0025078E" w:rsidRDefault="00EE05E1" w:rsidP="00EE05E1">
            <w:pPr>
              <w:pStyle w:val="Textodstavce"/>
              <w:numPr>
                <w:ilvl w:val="0"/>
                <w:numId w:val="0"/>
              </w:numPr>
              <w:rPr>
                <w:sz w:val="20"/>
                <w:szCs w:val="20"/>
              </w:rPr>
            </w:pPr>
            <w:r w:rsidRPr="0025078E">
              <w:rPr>
                <w:sz w:val="20"/>
                <w:szCs w:val="20"/>
              </w:rPr>
              <w:t>(2) Správce veřejného rozpočtu, který vykonává interní audit podle § 24 odst. 1 písm. b), postupuje podle tohoto zákona, mezinárodních standardů a kontrolního řádu s výjimkou § 9 písm. f), § 10 odst. 1 písm. c)</w:t>
            </w:r>
            <w:r w:rsidR="005A08E5" w:rsidRPr="0025078E">
              <w:rPr>
                <w:sz w:val="20"/>
                <w:szCs w:val="20"/>
              </w:rPr>
              <w:t xml:space="preserve"> a d), § 12 až 19, § 21, 24, 26 a </w:t>
            </w:r>
            <w:r w:rsidRPr="0025078E">
              <w:rPr>
                <w:sz w:val="20"/>
                <w:szCs w:val="20"/>
              </w:rPr>
              <w:t>27.</w:t>
            </w:r>
          </w:p>
          <w:p w:rsidR="005A08E5" w:rsidRPr="0025078E" w:rsidRDefault="005A08E5" w:rsidP="005A08E5">
            <w:pPr>
              <w:pStyle w:val="Textodstavce"/>
              <w:numPr>
                <w:ilvl w:val="0"/>
                <w:numId w:val="0"/>
              </w:numPr>
              <w:tabs>
                <w:tab w:val="num" w:pos="782"/>
              </w:tabs>
              <w:rPr>
                <w:sz w:val="20"/>
                <w:szCs w:val="20"/>
              </w:rPr>
            </w:pPr>
            <w:r w:rsidRPr="0025078E">
              <w:rPr>
                <w:sz w:val="20"/>
                <w:szCs w:val="20"/>
              </w:rPr>
              <w:t xml:space="preserve">(3) Správce veřejného rozpočtu, u kterého je vykonáván interní audit podle § 24 odst. 1 písm. a), a veřejný subjekt postupují podle tohoto zákona a mezinárodních standardů. </w:t>
            </w:r>
          </w:p>
          <w:p w:rsidR="005A08E5" w:rsidRPr="0025078E" w:rsidRDefault="005A08E5" w:rsidP="005A08E5">
            <w:pPr>
              <w:pStyle w:val="Textodstavce"/>
              <w:numPr>
                <w:ilvl w:val="0"/>
                <w:numId w:val="0"/>
              </w:numPr>
              <w:tabs>
                <w:tab w:val="num" w:pos="782"/>
              </w:tabs>
              <w:rPr>
                <w:sz w:val="20"/>
                <w:szCs w:val="20"/>
              </w:rPr>
            </w:pPr>
            <w:r w:rsidRPr="0025078E">
              <w:rPr>
                <w:sz w:val="20"/>
                <w:szCs w:val="20"/>
              </w:rPr>
              <w:t xml:space="preserve">(4) Správce veřejného rozpočtu a veřejný subjekt podle odstavce 3 vydají vnitřní předpis k výkonu interního auditu (dále jen „statut útvaru interního auditu“), kterým upraví </w:t>
            </w:r>
          </w:p>
          <w:p w:rsidR="00EE05E1" w:rsidRPr="0025078E" w:rsidRDefault="00EE05E1" w:rsidP="00EE05E1">
            <w:pPr>
              <w:pStyle w:val="Textpsmene"/>
              <w:numPr>
                <w:ilvl w:val="0"/>
                <w:numId w:val="0"/>
              </w:numPr>
              <w:spacing w:before="120" w:after="120"/>
              <w:rPr>
                <w:sz w:val="20"/>
                <w:szCs w:val="20"/>
              </w:rPr>
            </w:pPr>
            <w:r w:rsidRPr="0025078E">
              <w:rPr>
                <w:sz w:val="20"/>
                <w:szCs w:val="20"/>
              </w:rPr>
              <w:t>a) způsob vydání a náležitosti pověření k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b) způsob zahájení a průběh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c) přizvání třetích osob k výkonu interního auditu v zájmu dosažení jeho účelu,</w:t>
            </w:r>
          </w:p>
          <w:p w:rsidR="00EE05E1" w:rsidRPr="0025078E" w:rsidRDefault="00EE05E1" w:rsidP="00EE05E1">
            <w:pPr>
              <w:pStyle w:val="Textpsmene"/>
              <w:numPr>
                <w:ilvl w:val="0"/>
                <w:numId w:val="0"/>
              </w:numPr>
              <w:spacing w:before="120" w:after="120"/>
              <w:rPr>
                <w:sz w:val="20"/>
                <w:szCs w:val="20"/>
              </w:rPr>
            </w:pPr>
            <w:r w:rsidRPr="0025078E">
              <w:rPr>
                <w:sz w:val="20"/>
                <w:szCs w:val="20"/>
              </w:rPr>
              <w:t xml:space="preserve">d) práva a povinnosti vedoucího útvaru interního auditu, interního auditora a asistenta interního auditora, včetně povinnosti zachovávat mlčenlivost, </w:t>
            </w:r>
          </w:p>
          <w:p w:rsidR="00EE05E1" w:rsidRPr="0025078E" w:rsidRDefault="00EE05E1" w:rsidP="00EE05E1">
            <w:pPr>
              <w:pStyle w:val="Textpsmene"/>
              <w:numPr>
                <w:ilvl w:val="0"/>
                <w:numId w:val="0"/>
              </w:numPr>
              <w:tabs>
                <w:tab w:val="num" w:pos="782"/>
              </w:tabs>
              <w:spacing w:before="120" w:after="120"/>
              <w:rPr>
                <w:sz w:val="20"/>
                <w:szCs w:val="20"/>
              </w:rPr>
            </w:pPr>
            <w:r w:rsidRPr="0025078E">
              <w:rPr>
                <w:sz w:val="20"/>
                <w:szCs w:val="20"/>
              </w:rPr>
              <w:t xml:space="preserve">e) práva a povinnosti auditovaných.   </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2 odst. 18</w:t>
            </w:r>
          </w:p>
        </w:tc>
        <w:tc>
          <w:tcPr>
            <w:tcW w:w="3758"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18. „zprostředkujícím subjektem“ jakýkoli veřejný nebo soukromý subjekt, za jehož činnost odpovídá řídicí nebo certifikační orgán nebo který z pověření takového orgánu plní povinnosti vůči příjemcům provádějícím operace;</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pStyle w:val="Nadpisparagrafu"/>
              <w:spacing w:before="120" w:after="120"/>
              <w:jc w:val="left"/>
              <w:rPr>
                <w:b w:val="0"/>
                <w:sz w:val="20"/>
                <w:szCs w:val="20"/>
              </w:rPr>
            </w:pPr>
            <w:r w:rsidRPr="0025078E">
              <w:rPr>
                <w:b w:val="0"/>
                <w:sz w:val="20"/>
                <w:szCs w:val="20"/>
              </w:rPr>
              <w:t>§ 7</w:t>
            </w:r>
          </w:p>
          <w:p w:rsidR="00EE05E1" w:rsidRPr="0025078E" w:rsidRDefault="00EE05E1" w:rsidP="00EE05E1">
            <w:pPr>
              <w:pStyle w:val="Nadpisparagrafu"/>
              <w:spacing w:before="120" w:after="120"/>
              <w:jc w:val="left"/>
              <w:rPr>
                <w:sz w:val="20"/>
                <w:szCs w:val="20"/>
              </w:rPr>
            </w:pPr>
            <w:r w:rsidRPr="0025078E">
              <w:rPr>
                <w:sz w:val="20"/>
                <w:szCs w:val="20"/>
              </w:rPr>
              <w:t>Správa zahraničních prostředků</w:t>
            </w:r>
          </w:p>
          <w:p w:rsidR="00EE05E1" w:rsidRPr="0025078E" w:rsidRDefault="00EE05E1" w:rsidP="00EE05E1">
            <w:pPr>
              <w:pStyle w:val="Textodstavce"/>
              <w:numPr>
                <w:ilvl w:val="0"/>
                <w:numId w:val="0"/>
              </w:numPr>
              <w:rPr>
                <w:sz w:val="20"/>
                <w:szCs w:val="20"/>
              </w:rPr>
            </w:pPr>
            <w:r w:rsidRPr="0025078E">
              <w:rPr>
                <w:sz w:val="20"/>
                <w:szCs w:val="20"/>
              </w:rPr>
              <w:t>(1) Vláda určí ústřední správní úřad, který bude vykonávat podle přímo použitelného předpisu Evropské unie</w:t>
            </w:r>
            <w:r w:rsidRPr="0025078E">
              <w:rPr>
                <w:rStyle w:val="Znakapoznpodarou"/>
                <w:sz w:val="20"/>
                <w:szCs w:val="20"/>
              </w:rPr>
              <w:footnoteReference w:customMarkFollows="1" w:id="7"/>
              <w:t>3)</w:t>
            </w:r>
            <w:r w:rsidRPr="0025078E">
              <w:rPr>
                <w:sz w:val="20"/>
                <w:szCs w:val="20"/>
              </w:rPr>
              <w:t xml:space="preserve"> působnost orgánu odpovědného za zajištění plnění části souhrnného rozpočtu Evropské unie, rozpočtu jiného státu nebo mezinárodní organizace (dále jen „řídicí orgán“), orgánu odpovědného za provádění jeho certifikace (dále jen „certifikační orgán“) nebo orgánu odpovědného za výkon auditu (dále jen „auditní orgán“), podle oboru působnosti ústředního správního úřadu, popřípadě určí ústřední správní úřad, jehož obor působnosti je nejbližší. Česká republika je oprávněna uzavřít veřejnoprávní smlouvu s územním samosprávným celkem, jejímž předmětem bude plnění působnosti řídicího orgánu. </w:t>
            </w:r>
          </w:p>
          <w:p w:rsidR="00EE05E1" w:rsidRPr="0025078E" w:rsidRDefault="00EE05E1" w:rsidP="00EE05E1">
            <w:pPr>
              <w:pStyle w:val="Textodstavce"/>
              <w:numPr>
                <w:ilvl w:val="0"/>
                <w:numId w:val="0"/>
              </w:numPr>
              <w:rPr>
                <w:sz w:val="20"/>
                <w:szCs w:val="20"/>
              </w:rPr>
            </w:pPr>
            <w:r w:rsidRPr="0025078E">
              <w:rPr>
                <w:sz w:val="20"/>
                <w:szCs w:val="20"/>
              </w:rPr>
              <w:t>(2) Orgán podle odstavce 1 postupuje při zajištění plnění rozpočtu, provádění certifikace nebo výkonu auditu zahraničních prostředků podle tohoto zákona.</w:t>
            </w:r>
          </w:p>
          <w:p w:rsidR="00EE05E1" w:rsidRPr="0025078E" w:rsidRDefault="00EE05E1" w:rsidP="00EE05E1">
            <w:pPr>
              <w:pStyle w:val="Textodstavce"/>
              <w:numPr>
                <w:ilvl w:val="0"/>
                <w:numId w:val="0"/>
              </w:numPr>
              <w:rPr>
                <w:sz w:val="20"/>
                <w:szCs w:val="20"/>
              </w:rPr>
            </w:pPr>
            <w:r w:rsidRPr="0025078E">
              <w:rPr>
                <w:sz w:val="20"/>
                <w:szCs w:val="20"/>
              </w:rPr>
              <w:t>(3) Řídicí orgán může uzavřít s jedním nebo více správci veřejného rozpočtu, jedním nebo více veřejnými subjekty nebo jednou nebo více třetími osobami (dále jen „zprostředkující subjekt“) veřejnoprávní smlouvu, jejímž předmětem bude plnění některých nebo všech práv a povinností řídicího orgánu. Touto veřejnoprávní smlouvou není dotčena povinnost řídicího orgánu vykonávat kontrolu a odpovědnost za její výkon.</w:t>
            </w:r>
          </w:p>
          <w:p w:rsidR="00EE05E1" w:rsidRPr="0025078E" w:rsidRDefault="00EE05E1" w:rsidP="00EE05E1">
            <w:pPr>
              <w:pStyle w:val="Textodstavce"/>
              <w:numPr>
                <w:ilvl w:val="0"/>
                <w:numId w:val="0"/>
              </w:numPr>
              <w:rPr>
                <w:sz w:val="20"/>
                <w:szCs w:val="20"/>
              </w:rPr>
            </w:pPr>
            <w:r w:rsidRPr="0025078E">
              <w:rPr>
                <w:sz w:val="20"/>
                <w:szCs w:val="20"/>
              </w:rPr>
              <w:t>(4) Řídicí orgán nebo certifikační orgán kontroluje plnění požadavků stanovených přímo použitelnými předpisy Evropské unie</w:t>
            </w:r>
            <w:r w:rsidRPr="0025078E">
              <w:rPr>
                <w:rStyle w:val="Odkaznapoznpodarou"/>
                <w:sz w:val="20"/>
                <w:szCs w:val="20"/>
              </w:rPr>
              <w:t>3)</w:t>
            </w:r>
            <w:r w:rsidRPr="0025078E">
              <w:rPr>
                <w:sz w:val="20"/>
                <w:szCs w:val="20"/>
              </w:rPr>
              <w:t>; přitom posuzuje</w:t>
            </w:r>
          </w:p>
          <w:p w:rsidR="00EE05E1" w:rsidRPr="0025078E" w:rsidRDefault="00EE05E1" w:rsidP="00EE05E1">
            <w:pPr>
              <w:pStyle w:val="Textpsmene"/>
              <w:numPr>
                <w:ilvl w:val="0"/>
                <w:numId w:val="0"/>
              </w:numPr>
              <w:spacing w:before="120" w:after="120"/>
              <w:rPr>
                <w:sz w:val="20"/>
                <w:szCs w:val="20"/>
              </w:rPr>
            </w:pPr>
            <w:r w:rsidRPr="0025078E">
              <w:rPr>
                <w:sz w:val="20"/>
                <w:szCs w:val="20"/>
              </w:rPr>
              <w:t>a) dodržování právních předpisů, rozhodnutí a uzavřených smluv při nakládání s veřejnými prostředky,</w:t>
            </w:r>
          </w:p>
          <w:p w:rsidR="00EE05E1" w:rsidRPr="0025078E" w:rsidRDefault="00EE05E1" w:rsidP="00EE05E1">
            <w:pPr>
              <w:pStyle w:val="Textpsmene"/>
              <w:numPr>
                <w:ilvl w:val="0"/>
                <w:numId w:val="0"/>
              </w:numPr>
              <w:spacing w:before="120" w:after="120"/>
              <w:rPr>
                <w:sz w:val="20"/>
                <w:szCs w:val="20"/>
              </w:rPr>
            </w:pPr>
            <w:r w:rsidRPr="0025078E">
              <w:rPr>
                <w:sz w:val="20"/>
                <w:szCs w:val="20"/>
              </w:rPr>
              <w:t>b) dodržování podmínek, za nichž je veřejná finanční podpora poskytována,</w:t>
            </w:r>
          </w:p>
          <w:p w:rsidR="00EE05E1" w:rsidRPr="0025078E" w:rsidRDefault="00EE05E1" w:rsidP="00EE05E1">
            <w:pPr>
              <w:pStyle w:val="Textpsmene"/>
              <w:numPr>
                <w:ilvl w:val="0"/>
                <w:numId w:val="0"/>
              </w:numPr>
              <w:spacing w:before="120" w:after="120"/>
              <w:rPr>
                <w:sz w:val="20"/>
                <w:szCs w:val="20"/>
              </w:rPr>
            </w:pPr>
            <w:r w:rsidRPr="0025078E">
              <w:rPr>
                <w:sz w:val="20"/>
                <w:szCs w:val="20"/>
              </w:rPr>
              <w:t>c) správnost zachycení operací souvisejících s veřejnou finanční podporou v účetnictví.</w:t>
            </w:r>
          </w:p>
          <w:p w:rsidR="00EE05E1" w:rsidRPr="0025078E" w:rsidRDefault="00EE05E1" w:rsidP="00EE05E1">
            <w:pPr>
              <w:pStyle w:val="Textodstavce"/>
              <w:numPr>
                <w:ilvl w:val="0"/>
                <w:numId w:val="0"/>
              </w:numPr>
              <w:rPr>
                <w:sz w:val="20"/>
                <w:szCs w:val="20"/>
              </w:rPr>
            </w:pPr>
            <w:r w:rsidRPr="0025078E">
              <w:rPr>
                <w:sz w:val="20"/>
                <w:szCs w:val="20"/>
              </w:rPr>
              <w:t xml:space="preserve">(5) Auditní orgán provádí výkon auditu u správce veřejného rozpočtu a u veřejného subjektu, kteří se podílejí na správě prostředků poskytnutých ze souhrnného rozpočtu Evropské unie, rozpočtu jiného státu nebo mezinárodní organizace, a u příjemce veřejné finanční podpory poskytnuté z těchto rozpočtů (dále jen „audit zahraničních prostředků“). </w:t>
            </w:r>
          </w:p>
          <w:p w:rsidR="00EE05E1" w:rsidRPr="0025078E" w:rsidRDefault="00EE05E1" w:rsidP="00EE05E1">
            <w:pPr>
              <w:pStyle w:val="Textodstavce"/>
              <w:numPr>
                <w:ilvl w:val="0"/>
                <w:numId w:val="0"/>
              </w:numPr>
              <w:rPr>
                <w:sz w:val="20"/>
                <w:szCs w:val="20"/>
              </w:rPr>
            </w:pPr>
            <w:r w:rsidRPr="0025078E">
              <w:rPr>
                <w:sz w:val="20"/>
                <w:szCs w:val="20"/>
              </w:rPr>
              <w:t>(6) Při výkonu auditu zahraničních prostředků se postupuje podle kontrolního řádu s výjimkou § 9 písm. f), § 10 odst. 1 písm. c) a d), § 12 až 19, § 21, § 24 až 27 a podle § 21 odst. 3, § 27, § 29, § 30 odst. 4 a 5, § 31 až 33, § 34 odst. 2 a 3, § 35 odst. 3 a § 36, pokud přímo použitelné předpisy Evropské unie</w:t>
            </w:r>
            <w:r w:rsidRPr="0025078E">
              <w:rPr>
                <w:rStyle w:val="Odkaznapoznpodarou"/>
                <w:sz w:val="20"/>
                <w:szCs w:val="20"/>
              </w:rPr>
              <w:t>3)</w:t>
            </w:r>
            <w:r w:rsidRPr="0025078E">
              <w:rPr>
                <w:sz w:val="20"/>
                <w:szCs w:val="20"/>
              </w:rPr>
              <w:t xml:space="preserve"> nestanoví jinak.</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4</w:t>
            </w:r>
          </w:p>
        </w:tc>
        <w:tc>
          <w:tcPr>
            <w:tcW w:w="3758" w:type="dxa"/>
          </w:tcPr>
          <w:p w:rsidR="00EE05E1" w:rsidRPr="0025078E" w:rsidRDefault="00EE05E1" w:rsidP="00EE05E1">
            <w:pPr>
              <w:rPr>
                <w:rFonts w:ascii="Times New Roman" w:hAnsi="Times New Roman" w:cs="Times New Roman"/>
                <w:b/>
                <w:sz w:val="20"/>
                <w:szCs w:val="20"/>
              </w:rPr>
            </w:pPr>
            <w:r w:rsidRPr="0025078E">
              <w:rPr>
                <w:rFonts w:ascii="Times New Roman" w:hAnsi="Times New Roman" w:cs="Times New Roman"/>
                <w:b/>
                <w:sz w:val="20"/>
                <w:szCs w:val="20"/>
              </w:rPr>
              <w:t>Obecné zásady</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   Fondy ESI poskytují prostřednictvím víceletých programů podporu, která doplňuje celostátní, regionální a místní zásahy, za účelem splnění strategie Unie pro inteligentní a udržitelný růst podporující začlenění a zvláštních úkolů stanovených pro jednotlivé fondy v souladu s jejich cíli vycházejícími ze Smlouvy, včetně hospodářské, sociální a územní soudržnosti, při zohlednění příslušných integrovaných hlavních směrů strategie Evropa 2020 a příslušných doporučení pro jednotlivé země přijatých podle s čl. 121 odst. 2 Smlouvy o fungování EU a příslušných doporučení Rady přijatých podle s čl. 148 odst. 4 Smlouvy o fungování EU a případně na vnitrostátní úrovni s přihlédnutím k příslušnému národnímu programu reforem.</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2.   Komise a členské státy s přihlédnutím ke specifickým podmínkám v jednotlivých členských státech zajistí, aby byla podpora z fondů ESI v souladu s příslušnými politikami, horizontálními zásadami podle článků 5, 7 a 8 a prioritami Unie a vzájemně se doplňovala s dalšími nástroji Unie.</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3.   Podpora z fondů ESI se provádí v úzké spolupráci mezi Komisí a členskými státy v souladu se zásadou subsidiarity.</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4.   Členské státy na odpovídající územní úrovni a v souladu se svým institucionálním, právním a finančním rámcem a subjekty určené členskými státy pro tento účel zodpovídají za přípravu a provádění programů a za plnění svých úkolů v partnerství s příslušnými partnery uvedenými v článku 5 v souladu s tímto nařízením a pravidly pro daný fond.</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5.   Opatření pro provádění a využívání fondů ESI a zejména nezbytné finanční a správní zdroje potřebné pro přípravu a provádění programů v souvislosti s monitorováním, podáváním zpráv, hodnocením, řízením a kontrolou musí dodržovat zásadu proporcionality s ohledem na výši přidělené podpory a musí přihlížet k obecnému cíli snižování administrativní zátěže pro subjekty zapojené do řízení a kontroly programů.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6.   Komise a členské státy v souladu se svými povinnostmi zajišťují koordinaci mezi jednotlivými fondy ESI a mezi fondy ESI a dalšími příslušnými politikami, strategiemi a nástroji Unie včetně těch, jež spadají do rámce vnější činnosti Unie.</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   Část rozpočtu Unie přidělená fondům ESI je plněna v rámci sdíleného řízení, na němž se podílejí členské státy a Komise, v souladu s článkem 59 finančního nařízení, s výjimkou částky podpory z Fondu soudržnosti převedené na nástroj pro propojení Evropy podle čl. 92 odst. 6 tohoto nařízení, inovativních opatření z podnětu Komise podle článku 8 nařízení o EFRR, technické pomoci z podnětu Komise a podpory pro přímé řízení podle nařízení o ENRF.</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8.   Komise a členské státy ctí zásadu řádného finančního řízení v souladu s článkem 30 finančního nařízení.</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9.   Komise a členské státy zajistí účinnost fondů ESI při přípravě a provádění ve vztahu </w:t>
            </w:r>
            <w:proofErr w:type="gramStart"/>
            <w:r w:rsidRPr="0025078E">
              <w:rPr>
                <w:rFonts w:ascii="Times New Roman" w:hAnsi="Times New Roman" w:cs="Times New Roman"/>
                <w:sz w:val="20"/>
                <w:szCs w:val="20"/>
              </w:rPr>
              <w:t>ke</w:t>
            </w:r>
            <w:proofErr w:type="gramEnd"/>
            <w:r w:rsidRPr="0025078E">
              <w:rPr>
                <w:rFonts w:ascii="Times New Roman" w:hAnsi="Times New Roman" w:cs="Times New Roman"/>
                <w:sz w:val="20"/>
                <w:szCs w:val="20"/>
              </w:rPr>
              <w:t xml:space="preserve"> monitorování, podávání zpráv a hodnocení.</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10.   Komise a členské státy plní své úlohy v souvislosti s fondy ESI s cílem snížit administrativní zátěž pro příjemce.</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1</w:t>
            </w:r>
          </w:p>
          <w:p w:rsidR="00EE05E1" w:rsidRPr="0025078E" w:rsidRDefault="00EE05E1" w:rsidP="00EE05E1">
            <w:pPr>
              <w:pStyle w:val="Textodstavce"/>
              <w:numPr>
                <w:ilvl w:val="0"/>
                <w:numId w:val="0"/>
              </w:numPr>
              <w:rPr>
                <w:b/>
                <w:sz w:val="20"/>
                <w:szCs w:val="20"/>
              </w:rPr>
            </w:pPr>
            <w:r w:rsidRPr="0025078E">
              <w:rPr>
                <w:b/>
                <w:sz w:val="20"/>
                <w:szCs w:val="20"/>
              </w:rPr>
              <w:t>Předmět úpravy</w:t>
            </w:r>
          </w:p>
          <w:p w:rsidR="00EE05E1" w:rsidRPr="0025078E" w:rsidRDefault="00EE05E1" w:rsidP="00EE05E1">
            <w:pPr>
              <w:pStyle w:val="Textodstavce"/>
              <w:numPr>
                <w:ilvl w:val="0"/>
                <w:numId w:val="0"/>
              </w:numPr>
              <w:rPr>
                <w:sz w:val="20"/>
                <w:szCs w:val="20"/>
              </w:rPr>
            </w:pPr>
            <w:r w:rsidRPr="0025078E">
              <w:rPr>
                <w:sz w:val="20"/>
                <w:szCs w:val="20"/>
              </w:rPr>
              <w:t>(1) Tento zákon upravuje v návaznosti na přímo použitelné předpisy Evropské unie</w:t>
            </w:r>
            <w:r w:rsidRPr="0025078E">
              <w:rPr>
                <w:rStyle w:val="Znakapoznpodarou"/>
                <w:sz w:val="20"/>
                <w:szCs w:val="20"/>
              </w:rPr>
              <w:footnoteReference w:customMarkFollows="1" w:id="8"/>
              <w:t>1)</w:t>
            </w:r>
            <w:r w:rsidRPr="0025078E">
              <w:rPr>
                <w:sz w:val="20"/>
                <w:szCs w:val="20"/>
              </w:rPr>
              <w:t xml:space="preserve"> řízení a kontrolu veřejných financí.</w:t>
            </w:r>
          </w:p>
          <w:p w:rsidR="00EE05E1" w:rsidRPr="0025078E" w:rsidRDefault="00EE05E1" w:rsidP="00EE05E1">
            <w:pPr>
              <w:pStyle w:val="Textodstavce"/>
              <w:numPr>
                <w:ilvl w:val="0"/>
                <w:numId w:val="0"/>
              </w:numPr>
              <w:rPr>
                <w:sz w:val="20"/>
                <w:szCs w:val="20"/>
              </w:rPr>
            </w:pPr>
            <w:r w:rsidRPr="0025078E">
              <w:rPr>
                <w:sz w:val="20"/>
                <w:szCs w:val="20"/>
              </w:rPr>
              <w:t>(2) Řízení a kontrola veřejných financí zahrnuje</w:t>
            </w:r>
          </w:p>
          <w:p w:rsidR="00EE05E1" w:rsidRPr="0025078E" w:rsidRDefault="00EE05E1" w:rsidP="00EE05E1">
            <w:pPr>
              <w:pStyle w:val="Textpsmene"/>
              <w:numPr>
                <w:ilvl w:val="0"/>
                <w:numId w:val="0"/>
              </w:numPr>
              <w:ind w:left="425" w:hanging="425"/>
              <w:rPr>
                <w:sz w:val="20"/>
                <w:szCs w:val="20"/>
              </w:rPr>
            </w:pPr>
            <w:r w:rsidRPr="0025078E">
              <w:rPr>
                <w:sz w:val="20"/>
                <w:szCs w:val="20"/>
              </w:rPr>
              <w:t>a) řídicí a kontrolní mechanismy,</w:t>
            </w:r>
          </w:p>
          <w:p w:rsidR="00EE05E1" w:rsidRPr="0025078E" w:rsidRDefault="00EE05E1" w:rsidP="00EE05E1">
            <w:pPr>
              <w:pStyle w:val="Textpsmene"/>
              <w:numPr>
                <w:ilvl w:val="0"/>
                <w:numId w:val="0"/>
              </w:numPr>
              <w:ind w:left="425" w:hanging="425"/>
              <w:rPr>
                <w:sz w:val="20"/>
                <w:szCs w:val="20"/>
              </w:rPr>
            </w:pPr>
            <w:r w:rsidRPr="0025078E">
              <w:rPr>
                <w:sz w:val="20"/>
                <w:szCs w:val="20"/>
              </w:rPr>
              <w:t xml:space="preserve">b) interní audit a </w:t>
            </w:r>
          </w:p>
          <w:p w:rsidR="00EE05E1" w:rsidRPr="0025078E" w:rsidRDefault="00EE05E1" w:rsidP="00EE05E1">
            <w:pPr>
              <w:pStyle w:val="Textpsmene"/>
              <w:numPr>
                <w:ilvl w:val="0"/>
                <w:numId w:val="0"/>
              </w:numPr>
              <w:ind w:left="70" w:hanging="70"/>
              <w:rPr>
                <w:sz w:val="20"/>
                <w:szCs w:val="20"/>
              </w:rPr>
            </w:pPr>
            <w:r w:rsidRPr="0025078E">
              <w:rPr>
                <w:sz w:val="20"/>
                <w:szCs w:val="20"/>
              </w:rPr>
              <w:t>c) kontrolu podle mezinárodních smluv.</w:t>
            </w:r>
          </w:p>
          <w:p w:rsidR="00EE05E1" w:rsidRPr="0025078E" w:rsidRDefault="00EE05E1" w:rsidP="00EE05E1">
            <w:pPr>
              <w:pStyle w:val="Nadpisparagrafu"/>
              <w:spacing w:before="120" w:after="120"/>
              <w:jc w:val="left"/>
              <w:rPr>
                <w:b w:val="0"/>
                <w:sz w:val="20"/>
                <w:szCs w:val="20"/>
              </w:rPr>
            </w:pPr>
            <w:r w:rsidRPr="0025078E">
              <w:rPr>
                <w:b w:val="0"/>
                <w:sz w:val="20"/>
                <w:szCs w:val="20"/>
              </w:rPr>
              <w:t>§ 5</w:t>
            </w:r>
          </w:p>
          <w:p w:rsidR="00EE05E1" w:rsidRPr="0025078E" w:rsidRDefault="00EE05E1" w:rsidP="00EE05E1">
            <w:pPr>
              <w:pStyle w:val="Nadpisparagrafu"/>
              <w:spacing w:before="120" w:after="120"/>
              <w:jc w:val="left"/>
              <w:rPr>
                <w:sz w:val="20"/>
                <w:szCs w:val="20"/>
              </w:rPr>
            </w:pPr>
            <w:r w:rsidRPr="0025078E">
              <w:rPr>
                <w:sz w:val="20"/>
                <w:szCs w:val="20"/>
              </w:rPr>
              <w:t>Cíl řízení a kontroly veřejných financí</w:t>
            </w:r>
          </w:p>
          <w:p w:rsidR="00EE05E1" w:rsidRPr="0025078E" w:rsidRDefault="00EE05E1" w:rsidP="00EE05E1">
            <w:pPr>
              <w:pStyle w:val="Textodstavce"/>
              <w:numPr>
                <w:ilvl w:val="0"/>
                <w:numId w:val="0"/>
              </w:numPr>
              <w:tabs>
                <w:tab w:val="num" w:pos="782"/>
              </w:tabs>
              <w:rPr>
                <w:sz w:val="20"/>
                <w:szCs w:val="20"/>
              </w:rPr>
            </w:pPr>
            <w:r w:rsidRPr="0025078E">
              <w:rPr>
                <w:sz w:val="20"/>
                <w:szCs w:val="20"/>
              </w:rPr>
              <w:t>(1) Cílem řízení a kontroly veřejných financí je zajistit, aby s veřejnými prostředky bylo nakládáno účelně, hospodárně a efektivně.</w:t>
            </w:r>
          </w:p>
          <w:p w:rsidR="00EE05E1" w:rsidRPr="0025078E" w:rsidRDefault="00EE05E1" w:rsidP="00EE05E1">
            <w:pPr>
              <w:pStyle w:val="Textodstavce"/>
              <w:numPr>
                <w:ilvl w:val="0"/>
                <w:numId w:val="0"/>
              </w:numPr>
              <w:rPr>
                <w:sz w:val="20"/>
                <w:szCs w:val="20"/>
              </w:rPr>
            </w:pPr>
            <w:r w:rsidRPr="0025078E">
              <w:rPr>
                <w:sz w:val="20"/>
                <w:szCs w:val="20"/>
              </w:rPr>
              <w:t>(2) Správce veřejného rozpočtu, veřejný subjekt a příjemce veřejné finanční podpory nakládá s veřejnými prostředky</w:t>
            </w:r>
          </w:p>
          <w:p w:rsidR="00EE05E1" w:rsidRPr="0025078E" w:rsidRDefault="00EE05E1" w:rsidP="00EE05E1">
            <w:pPr>
              <w:pStyle w:val="Textpsmene"/>
              <w:numPr>
                <w:ilvl w:val="0"/>
                <w:numId w:val="0"/>
              </w:numPr>
              <w:tabs>
                <w:tab w:val="num" w:pos="2627"/>
              </w:tabs>
              <w:spacing w:before="120" w:after="120"/>
              <w:rPr>
                <w:sz w:val="20"/>
                <w:szCs w:val="20"/>
              </w:rPr>
            </w:pPr>
            <w:r w:rsidRPr="0025078E">
              <w:rPr>
                <w:sz w:val="20"/>
                <w:szCs w:val="20"/>
              </w:rPr>
              <w:t>a) účelně, pokud dosažené výsledky odpovídají stanovené potřebě,</w:t>
            </w:r>
          </w:p>
          <w:p w:rsidR="00EE05E1" w:rsidRPr="0025078E" w:rsidRDefault="00EE05E1" w:rsidP="00EE05E1">
            <w:pPr>
              <w:pStyle w:val="Textpsmene"/>
              <w:numPr>
                <w:ilvl w:val="0"/>
                <w:numId w:val="0"/>
              </w:numPr>
              <w:tabs>
                <w:tab w:val="num" w:pos="2627"/>
              </w:tabs>
              <w:spacing w:before="120" w:after="120"/>
              <w:rPr>
                <w:sz w:val="20"/>
                <w:szCs w:val="20"/>
              </w:rPr>
            </w:pPr>
            <w:r w:rsidRPr="0025078E">
              <w:rPr>
                <w:sz w:val="20"/>
                <w:szCs w:val="20"/>
              </w:rPr>
              <w:t>b) hospodárně, pokud jsou zdroje k dispozici ve správnou dobu, v dostatečném množství, v přiměřené kvalitě a za co nejvýhodnější cenu, a</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c) efektivně, pokud je dosaženo co nejlepšího vztahu mezi použitými prostředky a dosaženými výsledky.</w:t>
            </w:r>
          </w:p>
          <w:p w:rsidR="00EE05E1" w:rsidRPr="0025078E" w:rsidRDefault="00EE05E1" w:rsidP="00EE05E1">
            <w:pPr>
              <w:rPr>
                <w:rFonts w:ascii="Times New Roman" w:hAnsi="Times New Roman" w:cs="Times New Roman"/>
                <w:sz w:val="20"/>
                <w:szCs w:val="20"/>
              </w:rPr>
            </w:pP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6 odst. 1 a 2</w:t>
            </w:r>
          </w:p>
          <w:p w:rsidR="00EE05E1" w:rsidRPr="0025078E" w:rsidRDefault="00EE05E1" w:rsidP="00EE05E1">
            <w:pPr>
              <w:pStyle w:val="Nadpisparagrafu"/>
              <w:spacing w:before="120" w:after="120"/>
              <w:jc w:val="left"/>
              <w:rPr>
                <w:sz w:val="20"/>
                <w:szCs w:val="20"/>
              </w:rPr>
            </w:pPr>
            <w:r w:rsidRPr="0025078E">
              <w:rPr>
                <w:sz w:val="20"/>
                <w:szCs w:val="20"/>
              </w:rPr>
              <w:t>Povinnosti správce veřejného rozpočtu a veřejného subjektu</w:t>
            </w:r>
          </w:p>
          <w:p w:rsidR="00EE05E1" w:rsidRPr="0025078E" w:rsidRDefault="00EE05E1" w:rsidP="00EE05E1">
            <w:pPr>
              <w:pStyle w:val="Textodstavce"/>
              <w:numPr>
                <w:ilvl w:val="0"/>
                <w:numId w:val="0"/>
              </w:numPr>
              <w:rPr>
                <w:sz w:val="20"/>
                <w:szCs w:val="20"/>
              </w:rPr>
            </w:pPr>
            <w:r w:rsidRPr="0025078E">
              <w:rPr>
                <w:sz w:val="20"/>
                <w:szCs w:val="20"/>
              </w:rPr>
              <w:t xml:space="preserve"> (1) Schvalující orgán, schvalující osoba a pověřená schvalující osoba jsou povinny ve vzájemné spolupráci zavést, udržovat, zdokonalovat a vyhodnocovat řízení a kontrolu veřejných financí.</w:t>
            </w:r>
          </w:p>
          <w:p w:rsidR="00EE05E1" w:rsidRPr="0025078E" w:rsidRDefault="00EE05E1" w:rsidP="00EE05E1">
            <w:pPr>
              <w:pStyle w:val="Textodstavce"/>
              <w:numPr>
                <w:ilvl w:val="0"/>
                <w:numId w:val="0"/>
              </w:numPr>
              <w:rPr>
                <w:sz w:val="20"/>
                <w:szCs w:val="20"/>
              </w:rPr>
            </w:pPr>
            <w:r w:rsidRPr="0025078E">
              <w:rPr>
                <w:sz w:val="20"/>
                <w:szCs w:val="20"/>
              </w:rPr>
              <w:t>(2) Schvalující orgán, schvalující osoba a pověřená schvalující osoba zajistí, aby výdaje na zavedení, udržování, zdokonalování a vyhodnocování řízení a kontroly veřejných financí byly přiměřené výdajům vynakládaným na činnost, kterou správce veřejného rozpočtu nebo veřejný subjekt zajišťuje. Přihlédnou přitom zejména k povaze, rozsahu a složitosti činnosti správce veřejného rozpočtu nebo veřejného subjektu, objemu jejich veřejného rozpočtu, počtu zaměstnanců a možným duplicitám řídicích a kontrolních mechanismů.</w:t>
            </w:r>
          </w:p>
          <w:p w:rsidR="00EE05E1" w:rsidRPr="0025078E" w:rsidRDefault="00EE05E1" w:rsidP="00EE05E1">
            <w:pPr>
              <w:rPr>
                <w:rFonts w:ascii="Times New Roman" w:hAnsi="Times New Roman" w:cs="Times New Roman"/>
                <w:sz w:val="20"/>
                <w:szCs w:val="20"/>
              </w:rPr>
            </w:pP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72, 73, 74</w:t>
            </w:r>
          </w:p>
        </w:tc>
        <w:tc>
          <w:tcPr>
            <w:tcW w:w="3758" w:type="dxa"/>
            <w:vAlign w:val="center"/>
          </w:tcPr>
          <w:p w:rsidR="00EE05E1" w:rsidRPr="0025078E" w:rsidRDefault="00EE05E1" w:rsidP="00EE05E1">
            <w:pPr>
              <w:rPr>
                <w:rFonts w:ascii="Times New Roman" w:hAnsi="Times New Roman" w:cs="Times New Roman"/>
                <w:b/>
                <w:sz w:val="20"/>
                <w:szCs w:val="20"/>
              </w:rPr>
            </w:pPr>
            <w:r w:rsidRPr="0025078E">
              <w:rPr>
                <w:rFonts w:ascii="Times New Roman" w:hAnsi="Times New Roman" w:cs="Times New Roman"/>
                <w:b/>
                <w:sz w:val="20"/>
                <w:szCs w:val="20"/>
              </w:rPr>
              <w:t>Obecné zásady systémů řízení a kontroly</w:t>
            </w:r>
          </w:p>
          <w:p w:rsidR="00EE05E1" w:rsidRPr="0025078E" w:rsidRDefault="00EE05E1" w:rsidP="00EE05E1">
            <w:pPr>
              <w:rPr>
                <w:rFonts w:ascii="Times New Roman" w:hAnsi="Times New Roman" w:cs="Times New Roman"/>
                <w:sz w:val="20"/>
                <w:szCs w:val="20"/>
              </w:rPr>
            </w:pP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V souladu s čl. 4 odst. 8 systémy řízení a kontroly sestávají z:</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a) popisu funkcí jednotlivých subjektů zapojených do řízení a kontroly a rozdělení funkcí v rámci jednotlivých subjektů;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b) dodržování zásady oddělení funkcí mezi takovými subjekty a v rámci takových subjektů;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c) postupů pro zajištění správnosti a řádnosti vykazovaných výdajů;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d) počítačových systémů pro účetnictví, ukládání a přenos finančních údajů a údajů o ukazatelích, monitorování a podávání zpráv;</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e) systémů podávání zpráv a monitorování, pokud odpovědný subjekt pověří výkonem úkolů jiný subjekt;</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f) opatření pro audit fungování systémů řízení a kontroly;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g) systémů a postupů pro zabezpečení odpovídající auditní stopy;</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h) předcházení nesrovnalostem, včetně podvodů, jejich odhalování a náprava a vymáhání neoprávněně vyplacených částek spolu s případnými úroky z prodlení.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Odpovědnosti v rámci sdíleného řízení</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V souladu se zásadou sdíleného řízení jsou členské státy a Komise odpovědné za řízení a kontrolu programů v souladu se svými povinnostmi stanovenými v tomto nařízení a v pravidlech pro daný fond.</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Odpovědnosti členských států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   Členské státy plní povinnosti v oblasti řízení, kontroly a auditu a nesou z toho vyplývající odpovědnosti, které stanoví pravidla sdíleného řízení obsažená ve finančním nařízení a pravidla pro daný fond.</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2.   Členské státy zajistí, aby systémy řízení a kontroly programů byly zavedeny v souladu s pravidly pro daný fond a aby tyto systémy účinně fungovaly.</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3.   Členské státy zajistí, aby existovala účinná opatření na přezkum stížností týkajících se fondů ESI. Rozsah působnosti, pravidla a postupy týkající se těchto opatření jsou v pravomoci členských států v souladu s jejich institucionálním a právním rámcem. Členské státy na žádost Komise prošetří stížnosti podané Komisi, jež spadají do působnosti jejich opatření. Členské státy na žádost informují Komisi o výsledcích těchto šetření.</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4.   Všechny úřední výměny informací mezi členskými státy a Komisí se provádějí za použití systému pro elektronickou výměnu dat. Komise přijme prováděcí akty, které stanoví podmínky, jež má uvedený systém pro elektronickou výměnu dat splňovat. Tyto prováděcí akty se přijmou přezkumným postupem podle čl. 150 odst. 3.</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vAlign w:val="center"/>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6 odst. 1 a 2</w:t>
            </w:r>
          </w:p>
          <w:p w:rsidR="00EE05E1" w:rsidRPr="0025078E" w:rsidRDefault="00EE05E1" w:rsidP="00EE05E1">
            <w:pPr>
              <w:pStyle w:val="Nadpisparagrafu"/>
              <w:spacing w:before="120" w:after="120"/>
              <w:jc w:val="left"/>
              <w:rPr>
                <w:sz w:val="20"/>
                <w:szCs w:val="20"/>
              </w:rPr>
            </w:pPr>
            <w:r w:rsidRPr="0025078E">
              <w:rPr>
                <w:sz w:val="20"/>
                <w:szCs w:val="20"/>
              </w:rPr>
              <w:t>Povinnosti správce veřejného rozpočtu a veřejného subjektu</w:t>
            </w:r>
          </w:p>
          <w:p w:rsidR="00EE05E1" w:rsidRPr="0025078E" w:rsidRDefault="00EE05E1" w:rsidP="00EE05E1">
            <w:pPr>
              <w:pStyle w:val="Textodstavce"/>
              <w:numPr>
                <w:ilvl w:val="0"/>
                <w:numId w:val="0"/>
              </w:numPr>
              <w:rPr>
                <w:sz w:val="20"/>
                <w:szCs w:val="20"/>
              </w:rPr>
            </w:pPr>
            <w:r w:rsidRPr="0025078E">
              <w:rPr>
                <w:sz w:val="20"/>
                <w:szCs w:val="20"/>
              </w:rPr>
              <w:t xml:space="preserve"> (1) Schvalující orgán, schvalující osoba a pověřená schvalující osoba jsou povinny ve vzájemné spolupráci zavést, udržovat, zdokonalovat a vyhodnocovat řízení a kontrolu veřejných financí.</w:t>
            </w:r>
          </w:p>
          <w:p w:rsidR="00EE05E1" w:rsidRPr="0025078E" w:rsidRDefault="00EE05E1" w:rsidP="00EE05E1">
            <w:pPr>
              <w:pStyle w:val="Textodstavce"/>
              <w:numPr>
                <w:ilvl w:val="0"/>
                <w:numId w:val="0"/>
              </w:numPr>
              <w:rPr>
                <w:sz w:val="20"/>
                <w:szCs w:val="20"/>
              </w:rPr>
            </w:pPr>
            <w:r w:rsidRPr="0025078E">
              <w:rPr>
                <w:sz w:val="20"/>
                <w:szCs w:val="20"/>
              </w:rPr>
              <w:t>(2) Schvalující orgán, schvalující osoba a pověřená schvalující osoba zajistí, aby výdaje na zavedení, udržování, zdokonalování a vyhodnocování řízení a kontroly veřejných financí byly přiměřené výdajům vynakládaným na činnost, kterou správce veřejného rozpočtu nebo veřejný subjekt zajišťuje. Přihlédnou přitom zejména k povaze, rozsahu a složitosti činnosti správce veřejného rozpočtu nebo veřejného subjektu, objemu jejich veřejného rozpočtu, počtu zaměstnanců a možným duplicitám řídicích a kontrolních mechanismů.</w:t>
            </w:r>
          </w:p>
          <w:p w:rsidR="00EE05E1" w:rsidRPr="0025078E" w:rsidRDefault="00EE05E1" w:rsidP="00EE05E1">
            <w:pPr>
              <w:rPr>
                <w:rFonts w:ascii="Times New Roman" w:hAnsi="Times New Roman" w:cs="Times New Roman"/>
                <w:sz w:val="20"/>
                <w:szCs w:val="20"/>
              </w:rPr>
            </w:pPr>
          </w:p>
          <w:p w:rsidR="00EE05E1" w:rsidRPr="0025078E" w:rsidRDefault="00EE05E1" w:rsidP="00EE05E1">
            <w:pPr>
              <w:pStyle w:val="Nadpisparagrafu"/>
              <w:spacing w:before="120" w:after="120"/>
              <w:jc w:val="left"/>
              <w:rPr>
                <w:b w:val="0"/>
                <w:sz w:val="20"/>
                <w:szCs w:val="20"/>
              </w:rPr>
            </w:pPr>
            <w:r w:rsidRPr="0025078E">
              <w:rPr>
                <w:b w:val="0"/>
                <w:sz w:val="20"/>
                <w:szCs w:val="20"/>
              </w:rPr>
              <w:t>§ 42</w:t>
            </w:r>
          </w:p>
          <w:p w:rsidR="00EE05E1" w:rsidRPr="0025078E" w:rsidRDefault="00EE05E1" w:rsidP="00EE05E1">
            <w:pPr>
              <w:pStyle w:val="Nadpisparagrafu"/>
              <w:spacing w:before="120" w:after="120"/>
              <w:jc w:val="left"/>
              <w:rPr>
                <w:sz w:val="20"/>
                <w:szCs w:val="20"/>
              </w:rPr>
            </w:pPr>
            <w:r w:rsidRPr="0025078E">
              <w:rPr>
                <w:sz w:val="20"/>
                <w:szCs w:val="20"/>
              </w:rPr>
              <w:t>Centrální kontaktní bod sítě Evropského úřadu pro boj proti podvodům</w:t>
            </w:r>
          </w:p>
          <w:p w:rsidR="00EE05E1" w:rsidRPr="0025078E" w:rsidRDefault="00EE05E1" w:rsidP="00EE05E1">
            <w:pPr>
              <w:pStyle w:val="Textodstavce"/>
              <w:numPr>
                <w:ilvl w:val="0"/>
                <w:numId w:val="0"/>
              </w:numPr>
              <w:rPr>
                <w:sz w:val="20"/>
                <w:szCs w:val="20"/>
              </w:rPr>
            </w:pPr>
            <w:r w:rsidRPr="0025078E">
              <w:rPr>
                <w:sz w:val="20"/>
                <w:szCs w:val="20"/>
              </w:rPr>
              <w:t>Ministerstvo financí plní povinnosti centrálního kontaktního bodu sítě Evropského úřadu pro boj proti podvodům a podává tomuto úřadu hlášení podle přímo použitelného předpisu Evropské unie upravujícího vyšetřování prováděné Evropský</w:t>
            </w:r>
            <w:r w:rsidR="00590117" w:rsidRPr="0025078E">
              <w:rPr>
                <w:sz w:val="20"/>
                <w:szCs w:val="20"/>
              </w:rPr>
              <w:t>m úřadem pro boj proti podvodům</w:t>
            </w:r>
            <w:r w:rsidRPr="0025078E">
              <w:rPr>
                <w:rStyle w:val="Znakapoznpodarou"/>
                <w:sz w:val="20"/>
                <w:szCs w:val="20"/>
              </w:rPr>
              <w:footnoteReference w:customMarkFollows="1" w:id="9"/>
              <w:t>6)</w:t>
            </w:r>
            <w:r w:rsidR="00590117" w:rsidRPr="0025078E">
              <w:rPr>
                <w:sz w:val="20"/>
                <w:szCs w:val="20"/>
              </w:rPr>
              <w:t>.</w:t>
            </w:r>
          </w:p>
          <w:p w:rsidR="00EE05E1" w:rsidRPr="0025078E" w:rsidRDefault="00EE05E1" w:rsidP="00EE05E1">
            <w:pPr>
              <w:jc w:val="center"/>
              <w:rPr>
                <w:rFonts w:ascii="Times New Roman" w:hAnsi="Times New Roman" w:cs="Times New Roman"/>
                <w:sz w:val="20"/>
                <w:szCs w:val="20"/>
              </w:rPr>
            </w:pP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3C3C6A">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122</w:t>
            </w:r>
          </w:p>
        </w:tc>
        <w:tc>
          <w:tcPr>
            <w:tcW w:w="3758" w:type="dxa"/>
          </w:tcPr>
          <w:p w:rsidR="00EE05E1" w:rsidRPr="0025078E" w:rsidRDefault="00EE05E1" w:rsidP="00EE05E1">
            <w:pPr>
              <w:rPr>
                <w:rFonts w:ascii="Times New Roman" w:hAnsi="Times New Roman" w:cs="Times New Roman"/>
                <w:b/>
                <w:sz w:val="20"/>
                <w:szCs w:val="20"/>
              </w:rPr>
            </w:pPr>
            <w:r w:rsidRPr="0025078E">
              <w:rPr>
                <w:rFonts w:ascii="Times New Roman" w:hAnsi="Times New Roman" w:cs="Times New Roman"/>
                <w:b/>
                <w:sz w:val="20"/>
                <w:szCs w:val="20"/>
              </w:rPr>
              <w:t xml:space="preserve">Povinnosti členských států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1. Členské státy zajistí, aby systémy řízení a kontroly operačních programů byly zavedeny v souladu s články 72, 73 a 74.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2. Členské státy předcházejí nesrovnalostem, odhalují je a zajišťují jejich nápravu a vymáhají neoprávněně vyplacené částky spolu s případnými úroky z prodlení. Oznámí Komisi nesrovnalosti v příspěvcích z fondů přesahující 10 000 EUR a průběžně ji informují o podstatném pokroku v souvisejících správních a soudních řízení.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Členské státy neoznamují Komisi nesrovnalosti související s: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a) případy, kdy nesrovnalost spočívá pouze v úplném nebo částečném neprovedení určité operace uvedené ve spolufinancovaném operačním programu z důvodu úpadku příjemce;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b) případy, na něž příjemce upozornil řídicí či certifikační orgán dobrovolně a dříve, než je některý z těchto orgánů odhalil, ať již před nebo po vyplacení příspěvku z veřejných zdrojů;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c) případy, které řídicí nebo certifikační orgán odhalil a napravil dříve, než byly příslušné výdaje zahrnuty do výkazu výdajů předkládaných Komisi.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Ve všech ostatních případech, zejména před úpadkem nebo existuje-li podezření z podvodu, se zjištěné nesrovnalosti a související preventivní a nápravná opatření oznámí Komisi.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Nelze-li částky neoprávněně vyplacené příjemci získat zpět v důsledku pochybení nebo nedbalosti členského státu, zodpovídá za uhrazení dotčených částek zpět do rozpočtu Unie členský stát. Členské státy se mohou rozhodnout nevymáhat od příjemce neoprávněně vyplacenou částku příspěvku z fondů, pokud nepřesahuje 250 EUR bez zahrnutí úroku.</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Komisi je svěřena pravomoc přijímat akty v přenesené pravomoci v souladu s článkem 149, kterými stanoví další podrobná pravidla týkající se kritérií pro určení případů nesrovnalostí, které je třeba oznámit, a údajů, jež je třeba poskytnout, a pro podmínky a postupy, jež se mají použít k rozhodnutí o tom, zda mají členské státy uhradit částky, které nelze získat zpět.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Komise přijme prováděcí akty, kterými stanoví četnost podávání zpráv o nesrovnalostech a jejich formát. Tyto prováděcí akty se přijímají poradním postupem podle čl. 150 odst. 2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3. Členské státy zajistí, aby nejpozději do 31. prosince 2015 mohly všechny výměny informací mezi příjemci a řídicím orgánem, certifikačním orgánem, auditním orgánem a zprostředkujícími subjekty probíhat prostřednictvím systému pro elektronickou výměnu údajů.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Systémy uvedené v prvním pododstavci usnadňují interoperabilitu s vnitrostátními a unijními rámci a umožňují příjemcům předkládat všechny informace uvedené v prvním pododstavci pouze jednou.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Komise přijme prováděcí akty, kterými stanoví podrobná pravidla týkající se výměny informací podle tohoto odstavce. Tyto prováděcí akty se přijmou přezkumným postupem podle čl. 150 odst. 3. </w:t>
            </w:r>
          </w:p>
          <w:p w:rsidR="00EE05E1" w:rsidRPr="0025078E" w:rsidRDefault="00EE05E1" w:rsidP="00EE05E1">
            <w:pPr>
              <w:rPr>
                <w:rFonts w:ascii="Times New Roman" w:hAnsi="Times New Roman" w:cs="Times New Roman"/>
                <w:b/>
                <w:sz w:val="20"/>
                <w:szCs w:val="20"/>
              </w:rPr>
            </w:pPr>
            <w:r w:rsidRPr="0025078E">
              <w:rPr>
                <w:rFonts w:ascii="Times New Roman" w:hAnsi="Times New Roman" w:cs="Times New Roman"/>
                <w:sz w:val="20"/>
                <w:szCs w:val="20"/>
              </w:rPr>
              <w:t>4. Odstavec 3 se nepoužije na ENRF.</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5</w:t>
            </w:r>
          </w:p>
          <w:p w:rsidR="00EE05E1" w:rsidRPr="0025078E" w:rsidRDefault="00EE05E1" w:rsidP="00EE05E1">
            <w:pPr>
              <w:pStyle w:val="Nadpisparagrafu"/>
              <w:spacing w:before="120" w:after="120"/>
              <w:jc w:val="left"/>
              <w:rPr>
                <w:sz w:val="20"/>
                <w:szCs w:val="20"/>
              </w:rPr>
            </w:pPr>
            <w:r w:rsidRPr="0025078E">
              <w:rPr>
                <w:sz w:val="20"/>
                <w:szCs w:val="20"/>
              </w:rPr>
              <w:t>Cíl řízení a kontroly veřejných financí</w:t>
            </w:r>
          </w:p>
          <w:p w:rsidR="00EE05E1" w:rsidRPr="0025078E" w:rsidRDefault="00EE05E1" w:rsidP="00EE05E1">
            <w:pPr>
              <w:pStyle w:val="Textodstavce"/>
              <w:numPr>
                <w:ilvl w:val="0"/>
                <w:numId w:val="0"/>
              </w:numPr>
              <w:tabs>
                <w:tab w:val="num" w:pos="782"/>
              </w:tabs>
              <w:rPr>
                <w:sz w:val="20"/>
                <w:szCs w:val="20"/>
              </w:rPr>
            </w:pPr>
            <w:r w:rsidRPr="0025078E">
              <w:rPr>
                <w:sz w:val="20"/>
                <w:szCs w:val="20"/>
              </w:rPr>
              <w:t>(1) Cílem řízení a kontroly veřejných financí je zajistit, aby s veřejnými prostředky bylo nakládáno účelně, hospodárně a efektivně.</w:t>
            </w:r>
          </w:p>
          <w:p w:rsidR="00EE05E1" w:rsidRPr="0025078E" w:rsidRDefault="00EE05E1" w:rsidP="00EE05E1">
            <w:pPr>
              <w:pStyle w:val="Textodstavce"/>
              <w:numPr>
                <w:ilvl w:val="0"/>
                <w:numId w:val="0"/>
              </w:numPr>
              <w:rPr>
                <w:sz w:val="20"/>
                <w:szCs w:val="20"/>
              </w:rPr>
            </w:pPr>
            <w:r w:rsidRPr="0025078E">
              <w:rPr>
                <w:sz w:val="20"/>
                <w:szCs w:val="20"/>
              </w:rPr>
              <w:t>(2) Správce veřejného rozpočtu, veřejný subjekt a příjemce veřejné finanční podpory nakládá s veřejnými prostředky</w:t>
            </w:r>
          </w:p>
          <w:p w:rsidR="00EE05E1" w:rsidRPr="0025078E" w:rsidRDefault="00EE05E1" w:rsidP="00EE05E1">
            <w:pPr>
              <w:pStyle w:val="Textpsmene"/>
              <w:numPr>
                <w:ilvl w:val="0"/>
                <w:numId w:val="0"/>
              </w:numPr>
              <w:tabs>
                <w:tab w:val="num" w:pos="2627"/>
              </w:tabs>
              <w:spacing w:before="120" w:after="120"/>
              <w:rPr>
                <w:sz w:val="20"/>
                <w:szCs w:val="20"/>
              </w:rPr>
            </w:pPr>
            <w:r w:rsidRPr="0025078E">
              <w:rPr>
                <w:sz w:val="20"/>
                <w:szCs w:val="20"/>
              </w:rPr>
              <w:t>a) účelně, pokud dosažené výsledky odpovídají stanovené potřebě,</w:t>
            </w:r>
          </w:p>
          <w:p w:rsidR="00EE05E1" w:rsidRPr="0025078E" w:rsidRDefault="00EE05E1" w:rsidP="00EE05E1">
            <w:pPr>
              <w:pStyle w:val="Textpsmene"/>
              <w:numPr>
                <w:ilvl w:val="0"/>
                <w:numId w:val="0"/>
              </w:numPr>
              <w:tabs>
                <w:tab w:val="num" w:pos="2627"/>
              </w:tabs>
              <w:spacing w:before="120" w:after="120"/>
              <w:rPr>
                <w:sz w:val="20"/>
                <w:szCs w:val="20"/>
              </w:rPr>
            </w:pPr>
            <w:r w:rsidRPr="0025078E">
              <w:rPr>
                <w:sz w:val="20"/>
                <w:szCs w:val="20"/>
              </w:rPr>
              <w:t>b) hospodárně, pokud jsou zdroje k dispozici ve správnou dobu, v dostatečném množství, v přiměřené kvalitě a za co nejvýhodnější cenu, a</w:t>
            </w:r>
          </w:p>
          <w:p w:rsidR="00EE05E1" w:rsidRPr="0025078E" w:rsidRDefault="00EE05E1" w:rsidP="00EE05E1">
            <w:pPr>
              <w:pStyle w:val="Textpsmene"/>
              <w:numPr>
                <w:ilvl w:val="0"/>
                <w:numId w:val="0"/>
              </w:numPr>
              <w:tabs>
                <w:tab w:val="num" w:pos="2627"/>
              </w:tabs>
              <w:spacing w:before="120" w:after="120"/>
              <w:rPr>
                <w:sz w:val="20"/>
                <w:szCs w:val="20"/>
              </w:rPr>
            </w:pPr>
            <w:r w:rsidRPr="0025078E">
              <w:rPr>
                <w:sz w:val="20"/>
                <w:szCs w:val="20"/>
              </w:rPr>
              <w:t>c) efektivně, pokud je dosaženo co nejlepšího vztahu mezi použitými prostředky a dosaženými výsledky.</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 </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6 odst. 1 a 2</w:t>
            </w:r>
          </w:p>
          <w:p w:rsidR="00EE05E1" w:rsidRPr="0025078E" w:rsidRDefault="00EE05E1" w:rsidP="00EE05E1">
            <w:pPr>
              <w:pStyle w:val="Nadpisparagrafu"/>
              <w:spacing w:before="120" w:after="120"/>
              <w:jc w:val="left"/>
              <w:rPr>
                <w:sz w:val="20"/>
                <w:szCs w:val="20"/>
              </w:rPr>
            </w:pPr>
            <w:r w:rsidRPr="0025078E">
              <w:rPr>
                <w:sz w:val="20"/>
                <w:szCs w:val="20"/>
              </w:rPr>
              <w:t>Povinnosti správce veřejného rozpočtu a veřejného subjektu</w:t>
            </w:r>
          </w:p>
          <w:p w:rsidR="00EE05E1" w:rsidRPr="0025078E" w:rsidRDefault="00EE05E1" w:rsidP="00EE05E1">
            <w:pPr>
              <w:pStyle w:val="Textodstavce"/>
              <w:numPr>
                <w:ilvl w:val="0"/>
                <w:numId w:val="0"/>
              </w:numPr>
              <w:rPr>
                <w:sz w:val="20"/>
                <w:szCs w:val="20"/>
              </w:rPr>
            </w:pPr>
            <w:r w:rsidRPr="0025078E">
              <w:rPr>
                <w:sz w:val="20"/>
                <w:szCs w:val="20"/>
              </w:rPr>
              <w:t xml:space="preserve"> (1) Schvalující orgán, schvalující osoba a pověřená schvalující osoba jsou povinny ve vzájemné spolupráci zavést, udržovat, zdokonalovat a vyhodnocovat řízení a kontrolu veřejných financí.</w:t>
            </w:r>
          </w:p>
          <w:p w:rsidR="00EE05E1" w:rsidRPr="0025078E" w:rsidRDefault="00EE05E1" w:rsidP="00EE05E1">
            <w:pPr>
              <w:pStyle w:val="Textodstavce"/>
              <w:numPr>
                <w:ilvl w:val="0"/>
                <w:numId w:val="0"/>
              </w:numPr>
              <w:rPr>
                <w:sz w:val="20"/>
                <w:szCs w:val="20"/>
              </w:rPr>
            </w:pPr>
            <w:r w:rsidRPr="0025078E">
              <w:rPr>
                <w:sz w:val="20"/>
                <w:szCs w:val="20"/>
              </w:rPr>
              <w:t>(2) Schvalující orgán, schvalující osoba a pověřená schvalující osoba zajistí, aby výdaje na zavedení, udržování, zdokonalování a vyhodnocování řízení a kontroly veřejných financí byly přiměřené výdajům vynakládaným na činnost, kterou správce veřejného rozpočtu nebo veřejný subjekt zajišťuje. Přihlédnou přitom zejména k povaze, rozsahu a složitosti činnosti správce veřejného rozpočtu nebo veřejného subjektu, objemu jejich veřejného rozpočtu, počtu zaměstnanců a možným duplicitám řídicích a kontrolních mechanismů.</w:t>
            </w:r>
          </w:p>
          <w:p w:rsidR="00EE05E1" w:rsidRPr="0025078E" w:rsidRDefault="00EE05E1" w:rsidP="00EE05E1">
            <w:pPr>
              <w:rPr>
                <w:rFonts w:ascii="Times New Roman" w:hAnsi="Times New Roman" w:cs="Times New Roman"/>
                <w:sz w:val="20"/>
                <w:szCs w:val="20"/>
              </w:rPr>
            </w:pPr>
          </w:p>
          <w:p w:rsidR="00EE05E1" w:rsidRPr="0025078E" w:rsidRDefault="00EE05E1" w:rsidP="00EE05E1">
            <w:pPr>
              <w:pStyle w:val="Textodstavce"/>
              <w:numPr>
                <w:ilvl w:val="0"/>
                <w:numId w:val="0"/>
              </w:numPr>
              <w:rPr>
                <w:sz w:val="20"/>
                <w:szCs w:val="20"/>
              </w:rPr>
            </w:pPr>
          </w:p>
          <w:p w:rsidR="00EE05E1" w:rsidRPr="0025078E" w:rsidRDefault="00EE05E1" w:rsidP="00EE05E1">
            <w:pPr>
              <w:rPr>
                <w:rFonts w:ascii="Times New Roman" w:hAnsi="Times New Roman" w:cs="Times New Roman"/>
                <w:sz w:val="20"/>
                <w:szCs w:val="20"/>
              </w:rPr>
            </w:pPr>
          </w:p>
          <w:p w:rsidR="00EE05E1" w:rsidRPr="0025078E" w:rsidRDefault="00EE05E1" w:rsidP="00EE05E1">
            <w:pPr>
              <w:pStyle w:val="Nadpisparagrafu"/>
              <w:spacing w:before="120" w:after="120"/>
              <w:jc w:val="left"/>
              <w:rPr>
                <w:b w:val="0"/>
                <w:sz w:val="20"/>
                <w:szCs w:val="20"/>
              </w:rPr>
            </w:pPr>
            <w:r w:rsidRPr="0025078E">
              <w:rPr>
                <w:b w:val="0"/>
                <w:sz w:val="20"/>
                <w:szCs w:val="20"/>
              </w:rPr>
              <w:t>§ 42</w:t>
            </w:r>
          </w:p>
          <w:p w:rsidR="00EE05E1" w:rsidRPr="0025078E" w:rsidRDefault="00EE05E1" w:rsidP="00EE05E1">
            <w:pPr>
              <w:pStyle w:val="Nadpisparagrafu"/>
              <w:spacing w:before="120" w:after="120"/>
              <w:jc w:val="left"/>
              <w:rPr>
                <w:sz w:val="20"/>
                <w:szCs w:val="20"/>
              </w:rPr>
            </w:pPr>
            <w:r w:rsidRPr="0025078E">
              <w:rPr>
                <w:sz w:val="20"/>
                <w:szCs w:val="20"/>
              </w:rPr>
              <w:t>Centrální kontaktní bod sítě Evropského úřadu pro boj proti podvodům</w:t>
            </w:r>
          </w:p>
          <w:p w:rsidR="00EE05E1" w:rsidRPr="0025078E" w:rsidRDefault="00EE05E1" w:rsidP="00EE05E1">
            <w:pPr>
              <w:pStyle w:val="Textodstavce"/>
              <w:numPr>
                <w:ilvl w:val="0"/>
                <w:numId w:val="0"/>
              </w:numPr>
              <w:rPr>
                <w:sz w:val="20"/>
                <w:szCs w:val="20"/>
              </w:rPr>
            </w:pPr>
            <w:r w:rsidRPr="0025078E">
              <w:rPr>
                <w:sz w:val="20"/>
                <w:szCs w:val="20"/>
              </w:rPr>
              <w:t>Ministerstvo financí plní povinnosti centrálního kontaktního bodu sítě Evropského úřadu pro boj proti podvodům a podává tomuto úřadu hlášení podle přímo použitelného předpisu Evropské unie upravujícího vyšetřování prováděné Evropský</w:t>
            </w:r>
            <w:r w:rsidR="00590117" w:rsidRPr="0025078E">
              <w:rPr>
                <w:sz w:val="20"/>
                <w:szCs w:val="20"/>
              </w:rPr>
              <w:t>m úřadem pro boj proti podvodům</w:t>
            </w:r>
            <w:r w:rsidRPr="0025078E">
              <w:rPr>
                <w:rStyle w:val="Znakapoznpodarou"/>
                <w:sz w:val="20"/>
                <w:szCs w:val="20"/>
              </w:rPr>
              <w:footnoteReference w:customMarkFollows="1" w:id="10"/>
              <w:t>6)</w:t>
            </w:r>
            <w:r w:rsidR="00590117" w:rsidRPr="0025078E">
              <w:rPr>
                <w:sz w:val="20"/>
                <w:szCs w:val="20"/>
              </w:rPr>
              <w:t>.</w:t>
            </w:r>
          </w:p>
          <w:p w:rsidR="00EE05E1" w:rsidRPr="0025078E" w:rsidRDefault="00EE05E1" w:rsidP="00EE05E1">
            <w:pPr>
              <w:pStyle w:val="Textodstavce"/>
              <w:numPr>
                <w:ilvl w:val="0"/>
                <w:numId w:val="0"/>
              </w:numPr>
              <w:rPr>
                <w:sz w:val="20"/>
                <w:szCs w:val="20"/>
              </w:rPr>
            </w:pP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3C3C6A">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123</w:t>
            </w:r>
          </w:p>
        </w:tc>
        <w:tc>
          <w:tcPr>
            <w:tcW w:w="3758" w:type="dxa"/>
          </w:tcPr>
          <w:p w:rsidR="00EE05E1" w:rsidRPr="0025078E" w:rsidRDefault="00EE05E1" w:rsidP="00EE05E1">
            <w:pPr>
              <w:rPr>
                <w:rFonts w:ascii="Times New Roman" w:hAnsi="Times New Roman" w:cs="Times New Roman"/>
                <w:b/>
                <w:sz w:val="20"/>
                <w:szCs w:val="20"/>
              </w:rPr>
            </w:pPr>
            <w:r w:rsidRPr="0025078E">
              <w:rPr>
                <w:rFonts w:ascii="Times New Roman" w:hAnsi="Times New Roman" w:cs="Times New Roman"/>
                <w:b/>
                <w:sz w:val="20"/>
                <w:szCs w:val="20"/>
              </w:rPr>
              <w:t>Určení orgánů</w:t>
            </w:r>
          </w:p>
          <w:p w:rsidR="00EE05E1" w:rsidRPr="0025078E" w:rsidRDefault="00EE05E1" w:rsidP="00EE05E1">
            <w:pPr>
              <w:rPr>
                <w:rFonts w:ascii="Times New Roman" w:hAnsi="Times New Roman" w:cs="Times New Roman"/>
                <w:sz w:val="20"/>
                <w:szCs w:val="20"/>
              </w:rPr>
            </w:pP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1.   Každý členský stát určí pro každý operační program celostátní, regionální nebo místní orgán veřejné správy nebo veřejný či soukromý subjekt jako řídicí orgán. Tentýž řídicí orgán může být určen pro více operačních programů.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2.   Členský stát určí pro každý operační program celostátní, regionální nebo místní orgán veřejné správy nebo veřejný subjekt jako certifikační orgán, aniž je dotčen odstavec 3. Tentýž certifikační orgán může být určen pro více operačních programů.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3.   Členský stát může pro operační program určit řídicí orgán, který je veřejným orgánem nebo subjektem a který navíc plní i funkce certifikačního orgánu.</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4.   Členský stát určí pro každý operační program celostátní, regionální nebo místní orgán veřejné správy nebo veřejný subjekt funkčně nezávislý na řídicím orgánu a certifikačním orgánu jako auditní orgán. Tentýž auditní orgán může být určen pro více operačních programů.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5.   Za předpokladu, že je dodržena zásada oddělení funkcí, mohou být řídicí orgán, případně certifikační orgán, jakož i auditní orgán v případě fondů spjatých s cílem Investice pro růst a zaměstnanost a v případě ENRF součástí stejného orgánu veřejné správy nebo veřejného subjektu.</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Pokud celková výše podpory z fondů na operační program přesáhne částku 250 000 000 EUR, nebo přesáhne 100 000 000 EUR z ENRF, může být auditní orgán součástí stejného orgánu veřejné správy nebo veřejného subjektu jako řídicí orgán buď v případě, že Komise v souladu s platnými ustanoveními předchozího programového období informovala přede dnem přijetí dotčeného operačního programu členský stát o svém závěru, že se členský stát může spolehnout zejména na stanovisko svého auditora, nebo v případě, že je Komise na základě zkušenosti z předchozího programového období přesvědčena, že institucionální organizace a odpovědnost auditního orgánu poskytuje odpovídající záruky jeho funkční nezávislosti a spolehlivosti.</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6.   Členský stát může určit jeden nebo více zprostředkujících subjektů pro výkon některých úkolů řídicího nebo certifikačního orgánu z pověření tohoto orgánu. Příslušná ujednání mezi řídicím orgánem nebo certifikačním orgánem a zprostředkujícími subjekty musí být oficiálně písemně zaznamenána.</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   Členský stát nebo řídicí orgán může pověřit řízením části operačního programu zprostředkující subjekt, a to písemnou dohodou mezi zprostředkujícím subjektem a členským státem nebo řídicím orgánem (dále jen „globální grant“). Zprostředkující subjekt poskytne záruky své solventnosti a způsobilosti v dotčeném oboru, jakož i v oblasti správního a finančního řízení.</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8.   Členský stát může z vlastního podnětu určit koordinační orgán, jehož úkolem je udržovat kontakt s Komisí a poskytovat jí informace, koordinovat činnost ostatních příslušných určených orgánů a podporovat harmonizované uplatňování platných právních předpisů.</w:t>
            </w:r>
          </w:p>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9.   Členský stát stanoví písemně pravidla upravující jeho vztahy s řídicími orgány, certifikačními orgány a auditními orgány, vztahy mezi těmito orgány navzájem a vztahy těchto orgánů s Komisí.</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pStyle w:val="Nadpisparagrafu"/>
              <w:spacing w:before="120" w:after="120"/>
              <w:jc w:val="left"/>
              <w:rPr>
                <w:b w:val="0"/>
                <w:sz w:val="20"/>
                <w:szCs w:val="20"/>
              </w:rPr>
            </w:pPr>
            <w:r w:rsidRPr="0025078E">
              <w:rPr>
                <w:b w:val="0"/>
                <w:sz w:val="20"/>
                <w:szCs w:val="20"/>
              </w:rPr>
              <w:t>§ 7</w:t>
            </w:r>
          </w:p>
          <w:p w:rsidR="00EE05E1" w:rsidRPr="0025078E" w:rsidRDefault="00EE05E1" w:rsidP="00EE05E1">
            <w:pPr>
              <w:pStyle w:val="Nadpisparagrafu"/>
              <w:spacing w:before="120" w:after="120"/>
              <w:jc w:val="left"/>
              <w:rPr>
                <w:sz w:val="20"/>
                <w:szCs w:val="20"/>
              </w:rPr>
            </w:pPr>
            <w:r w:rsidRPr="0025078E">
              <w:rPr>
                <w:sz w:val="20"/>
                <w:szCs w:val="20"/>
              </w:rPr>
              <w:t>Správa zahraničních prostředků</w:t>
            </w:r>
          </w:p>
          <w:p w:rsidR="00EE05E1" w:rsidRPr="0025078E" w:rsidRDefault="00EE05E1" w:rsidP="00EE05E1">
            <w:pPr>
              <w:pStyle w:val="Textodstavce"/>
              <w:numPr>
                <w:ilvl w:val="0"/>
                <w:numId w:val="0"/>
              </w:numPr>
              <w:rPr>
                <w:sz w:val="20"/>
                <w:szCs w:val="20"/>
              </w:rPr>
            </w:pPr>
            <w:r w:rsidRPr="0025078E">
              <w:rPr>
                <w:sz w:val="20"/>
                <w:szCs w:val="20"/>
              </w:rPr>
              <w:t>(1) Vláda určí ústřední správní úřad, který bude vykonávat podle přímo použitelného předpisu Evropské unie</w:t>
            </w:r>
            <w:r w:rsidRPr="0025078E">
              <w:rPr>
                <w:rStyle w:val="Znakapoznpodarou"/>
                <w:sz w:val="20"/>
                <w:szCs w:val="20"/>
              </w:rPr>
              <w:footnoteReference w:customMarkFollows="1" w:id="11"/>
              <w:t>3)</w:t>
            </w:r>
            <w:r w:rsidRPr="0025078E">
              <w:rPr>
                <w:sz w:val="20"/>
                <w:szCs w:val="20"/>
              </w:rPr>
              <w:t xml:space="preserve"> působnost orgánu odpovědného za zajištění plnění části souhrnného rozpočtu Evropské unie, rozpočtu jiného státu nebo mezinárodní organizace (dále jen „řídicí orgán“), orgánu odpovědného za provádění jeho certifikace (dále jen „certifikační orgán“) nebo orgánu odpovědného za výkon auditu (dále jen „auditní orgán“), podle oboru působnosti ústředního správního úřadu, popřípadě určí ústřední správní úřad, jehož obor působnosti je nejbližší. Česká republika je </w:t>
            </w:r>
            <w:proofErr w:type="gramStart"/>
            <w:r w:rsidRPr="0025078E">
              <w:rPr>
                <w:sz w:val="20"/>
                <w:szCs w:val="20"/>
              </w:rPr>
              <w:t>oprávněna  uzavřít</w:t>
            </w:r>
            <w:proofErr w:type="gramEnd"/>
            <w:r w:rsidRPr="0025078E">
              <w:rPr>
                <w:sz w:val="20"/>
                <w:szCs w:val="20"/>
              </w:rPr>
              <w:t xml:space="preserve"> veřejnoprávní smlouvu s územním samosprávným celkem, jejímž předmětem bude plnění působnosti řídicího orgánu. </w:t>
            </w:r>
          </w:p>
          <w:p w:rsidR="00EE05E1" w:rsidRPr="0025078E" w:rsidRDefault="00EE05E1" w:rsidP="00EE05E1">
            <w:pPr>
              <w:pStyle w:val="Textodstavce"/>
              <w:numPr>
                <w:ilvl w:val="0"/>
                <w:numId w:val="0"/>
              </w:numPr>
              <w:rPr>
                <w:sz w:val="20"/>
                <w:szCs w:val="20"/>
              </w:rPr>
            </w:pPr>
            <w:r w:rsidRPr="0025078E">
              <w:rPr>
                <w:sz w:val="20"/>
                <w:szCs w:val="20"/>
              </w:rPr>
              <w:t>(2) Orgán podle odstavce 1 postupuje při zajištění plnění rozpočtu, provádění certifikace nebo výkonu auditu zahraničních prostředků podle tohoto zákona.</w:t>
            </w:r>
          </w:p>
          <w:p w:rsidR="00EE05E1" w:rsidRPr="0025078E" w:rsidRDefault="00EE05E1" w:rsidP="00EE05E1">
            <w:pPr>
              <w:pStyle w:val="Textodstavce"/>
              <w:numPr>
                <w:ilvl w:val="0"/>
                <w:numId w:val="0"/>
              </w:numPr>
              <w:rPr>
                <w:sz w:val="20"/>
                <w:szCs w:val="20"/>
              </w:rPr>
            </w:pPr>
            <w:r w:rsidRPr="0025078E">
              <w:rPr>
                <w:sz w:val="20"/>
                <w:szCs w:val="20"/>
              </w:rPr>
              <w:t>(3) Řídicí orgán může uzavřít s jedním nebo více správci veřejného rozpočtu, jedním nebo více veřejnými subjekty nebo jednou nebo více třetími osobami (dále jen „zprostředkující subjekt“) veřejnoprávní smlouvu, jejímž předmětem bude plnění některých nebo všech práv a povinností řídicího orgánu. Touto veřejnoprávní smlouvou není dotčena povinnost řídicího orgánu vykonávat kontrolu a odpovědnost za její výkon.</w:t>
            </w:r>
          </w:p>
          <w:p w:rsidR="00EE05E1" w:rsidRPr="0025078E" w:rsidRDefault="00EE05E1" w:rsidP="00EE05E1">
            <w:pPr>
              <w:pStyle w:val="Textodstavce"/>
              <w:numPr>
                <w:ilvl w:val="0"/>
                <w:numId w:val="0"/>
              </w:numPr>
              <w:rPr>
                <w:sz w:val="20"/>
                <w:szCs w:val="20"/>
              </w:rPr>
            </w:pPr>
            <w:r w:rsidRPr="0025078E">
              <w:rPr>
                <w:sz w:val="20"/>
                <w:szCs w:val="20"/>
              </w:rPr>
              <w:t>(4) Řídicí orgán nebo certifikační orgán kontroluje plnění požadavků stanovených přímo použitelnými předpisy Evropské unie</w:t>
            </w:r>
            <w:r w:rsidRPr="0025078E">
              <w:rPr>
                <w:rStyle w:val="Odkaznapoznpodarou"/>
                <w:sz w:val="20"/>
                <w:szCs w:val="20"/>
              </w:rPr>
              <w:t>3)</w:t>
            </w:r>
            <w:r w:rsidRPr="0025078E">
              <w:rPr>
                <w:sz w:val="20"/>
                <w:szCs w:val="20"/>
              </w:rPr>
              <w:t>; přitom posuzuje</w:t>
            </w:r>
          </w:p>
          <w:p w:rsidR="00EE05E1" w:rsidRPr="0025078E" w:rsidRDefault="00EE05E1" w:rsidP="00EE05E1">
            <w:pPr>
              <w:pStyle w:val="Textpsmene"/>
              <w:numPr>
                <w:ilvl w:val="0"/>
                <w:numId w:val="0"/>
              </w:numPr>
              <w:spacing w:before="120" w:after="120"/>
              <w:rPr>
                <w:sz w:val="20"/>
                <w:szCs w:val="20"/>
              </w:rPr>
            </w:pPr>
            <w:r w:rsidRPr="0025078E">
              <w:rPr>
                <w:sz w:val="20"/>
                <w:szCs w:val="20"/>
              </w:rPr>
              <w:t>a) dodržování právních předpisů, rozhodnutí a uzavřených smluv při nakládání s veřejnými prostředky,</w:t>
            </w:r>
          </w:p>
          <w:p w:rsidR="00EE05E1" w:rsidRPr="0025078E" w:rsidRDefault="00EE05E1" w:rsidP="00EE05E1">
            <w:pPr>
              <w:pStyle w:val="Textpsmene"/>
              <w:numPr>
                <w:ilvl w:val="0"/>
                <w:numId w:val="0"/>
              </w:numPr>
              <w:spacing w:before="120" w:after="120"/>
              <w:rPr>
                <w:sz w:val="20"/>
                <w:szCs w:val="20"/>
              </w:rPr>
            </w:pPr>
            <w:r w:rsidRPr="0025078E">
              <w:rPr>
                <w:sz w:val="20"/>
                <w:szCs w:val="20"/>
              </w:rPr>
              <w:t>b) dodržování podmínek, za nichž je veřejná finanční podpora poskytována,</w:t>
            </w:r>
          </w:p>
          <w:p w:rsidR="00EE05E1" w:rsidRPr="0025078E" w:rsidRDefault="00EE05E1" w:rsidP="00EE05E1">
            <w:pPr>
              <w:pStyle w:val="Textpsmene"/>
              <w:numPr>
                <w:ilvl w:val="0"/>
                <w:numId w:val="0"/>
              </w:numPr>
              <w:spacing w:before="120" w:after="120"/>
              <w:rPr>
                <w:sz w:val="20"/>
                <w:szCs w:val="20"/>
              </w:rPr>
            </w:pPr>
            <w:r w:rsidRPr="0025078E">
              <w:rPr>
                <w:sz w:val="20"/>
                <w:szCs w:val="20"/>
              </w:rPr>
              <w:t>c) správnost zachycení operací souvisejících s veřejnou finanční podporou v účetnictví.</w:t>
            </w:r>
          </w:p>
          <w:p w:rsidR="00EE05E1" w:rsidRPr="0025078E" w:rsidRDefault="00EE05E1" w:rsidP="00EE05E1">
            <w:pPr>
              <w:pStyle w:val="Textodstavce"/>
              <w:numPr>
                <w:ilvl w:val="0"/>
                <w:numId w:val="0"/>
              </w:numPr>
              <w:rPr>
                <w:sz w:val="20"/>
                <w:szCs w:val="20"/>
              </w:rPr>
            </w:pPr>
            <w:r w:rsidRPr="0025078E">
              <w:rPr>
                <w:sz w:val="20"/>
                <w:szCs w:val="20"/>
              </w:rPr>
              <w:t xml:space="preserve">(5) Auditní orgán provádí výkon auditu u správce veřejného rozpočtu a u veřejného subjektu, kteří se podílejí na správě prostředků poskytnutých ze souhrnného rozpočtu Evropské unie, rozpočtu jiného státu nebo mezinárodní organizace, a u příjemce veřejné finanční podpory poskytnuté z těchto rozpočtů (dále jen „audit zahraničních prostředků“). </w:t>
            </w:r>
          </w:p>
          <w:p w:rsidR="00EE05E1" w:rsidRPr="0025078E" w:rsidRDefault="00EE05E1" w:rsidP="00EE05E1">
            <w:pPr>
              <w:pStyle w:val="Textodstavce"/>
              <w:numPr>
                <w:ilvl w:val="0"/>
                <w:numId w:val="0"/>
              </w:numPr>
              <w:rPr>
                <w:sz w:val="20"/>
                <w:szCs w:val="20"/>
              </w:rPr>
            </w:pPr>
            <w:r w:rsidRPr="0025078E">
              <w:rPr>
                <w:sz w:val="20"/>
                <w:szCs w:val="20"/>
              </w:rPr>
              <w:t>(6) Při výkonu auditu zahraničních prostředků se postupuje podle kontrolního řádu s výjimkou § 9 písm. f), § 10 odst. 1 písm. c) a d), § 12 až 19, § 21, § 24 až 27 a podle § 21 odst. 3, § 27, § 29, § 30 odst. 4 a 5, § 31 až 33, § 34 odst. 2 a 3, § 35 odst. 3 a § 36 tohoto zákona, pokud přímo použitelné předpisy Evropské unie</w:t>
            </w:r>
            <w:r w:rsidRPr="0025078E">
              <w:rPr>
                <w:rStyle w:val="Odkaznapoznpodarou"/>
                <w:sz w:val="20"/>
                <w:szCs w:val="20"/>
              </w:rPr>
              <w:t>3)</w:t>
            </w:r>
            <w:r w:rsidRPr="0025078E">
              <w:rPr>
                <w:sz w:val="20"/>
                <w:szCs w:val="20"/>
              </w:rPr>
              <w:t xml:space="preserve"> nestanoví jinak.</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124 odst. 2</w:t>
            </w:r>
          </w:p>
        </w:tc>
        <w:tc>
          <w:tcPr>
            <w:tcW w:w="3758"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2.   Určení uvedené v odstavci 1 vychází ze zprávy a stanoviska nezávislého auditního subjektu, které hodnotí, zda orgány dodržují kritéria týkající se prostředí vnitřní kontroly, řízení rizik, řídící a kontrolní činnosti a monitorování stanovená v příloze XIII. Nezávislým auditním subjektem je auditní orgán nebo jiný veřejnoprávní či soukromoprávní subjekt, který má potřebnou auditorskou způsobilost, je nezávislý na řídicím orgánu, a případně i na certifikačním orgánu, a při výkonu své činnosti bere v úvahu mezinárodně uznávané auditorské standardy. Dospěje-li nezávislý auditní subjekt k závěru, že část řídícího a kontrolního systému, která se týká řídicího orgánu nebo certifikačního orgánu, je v zásadě stejná jako v předchozím programovém období a že na základě auditorské činnosti provedené v souladu s příslušnými ustanoveními nařízení (ES) č. 1083/2006 a nařízení Rady (ES) č. 1198/2006 (38) lze doložit jejich účinné fungování během tohoto období, může přijmout závěr, že příslušná kritéria jsou splněna, aniž by prováděl další auditorskou práci.</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pStyle w:val="Nadpisparagrafu"/>
              <w:spacing w:before="120" w:after="120"/>
              <w:jc w:val="left"/>
              <w:rPr>
                <w:b w:val="0"/>
                <w:sz w:val="20"/>
                <w:szCs w:val="20"/>
              </w:rPr>
            </w:pPr>
            <w:r w:rsidRPr="0025078E">
              <w:rPr>
                <w:b w:val="0"/>
                <w:sz w:val="20"/>
                <w:szCs w:val="20"/>
              </w:rPr>
              <w:t>§ 30 odst. 1 až 3</w:t>
            </w:r>
          </w:p>
          <w:p w:rsidR="00EE05E1" w:rsidRPr="0025078E" w:rsidRDefault="00EE05E1" w:rsidP="00EE05E1">
            <w:pPr>
              <w:pStyle w:val="Nadpisparagrafu"/>
              <w:spacing w:before="120" w:after="120"/>
              <w:jc w:val="left"/>
              <w:rPr>
                <w:sz w:val="20"/>
                <w:szCs w:val="20"/>
              </w:rPr>
            </w:pPr>
            <w:r w:rsidRPr="0025078E">
              <w:rPr>
                <w:sz w:val="20"/>
                <w:szCs w:val="20"/>
              </w:rPr>
              <w:t>Výkon vládního a interního auditu</w:t>
            </w:r>
          </w:p>
          <w:p w:rsidR="00EE05E1" w:rsidRPr="0025078E" w:rsidRDefault="00EE05E1" w:rsidP="00EE05E1">
            <w:pPr>
              <w:pStyle w:val="Textodstavce"/>
              <w:numPr>
                <w:ilvl w:val="0"/>
                <w:numId w:val="0"/>
              </w:numPr>
              <w:rPr>
                <w:sz w:val="20"/>
                <w:szCs w:val="20"/>
              </w:rPr>
            </w:pPr>
            <w:r w:rsidRPr="0025078E">
              <w:rPr>
                <w:sz w:val="20"/>
                <w:szCs w:val="20"/>
              </w:rPr>
              <w:t>(1) Ministerstvo financí postupuje při výkonu vrchního auditu podle tohoto zákona, mezinárodních standardů a kontrolního řádu s výjimkou § 9 písm. f), § 10 odst. 1 písm. c) a d), §</w:t>
            </w:r>
            <w:r w:rsidR="005A08E5" w:rsidRPr="0025078E">
              <w:rPr>
                <w:sz w:val="20"/>
                <w:szCs w:val="20"/>
              </w:rPr>
              <w:t xml:space="preserve"> 12 až 19, § 21, 24, 26 a </w:t>
            </w:r>
            <w:r w:rsidRPr="0025078E">
              <w:rPr>
                <w:sz w:val="20"/>
                <w:szCs w:val="20"/>
              </w:rPr>
              <w:t xml:space="preserve">27.  </w:t>
            </w:r>
          </w:p>
          <w:p w:rsidR="00EE05E1" w:rsidRPr="0025078E" w:rsidRDefault="00EE05E1" w:rsidP="00EE05E1">
            <w:pPr>
              <w:pStyle w:val="Textodstavce"/>
              <w:numPr>
                <w:ilvl w:val="0"/>
                <w:numId w:val="0"/>
              </w:numPr>
              <w:rPr>
                <w:sz w:val="20"/>
                <w:szCs w:val="20"/>
              </w:rPr>
            </w:pPr>
            <w:r w:rsidRPr="0025078E">
              <w:rPr>
                <w:sz w:val="20"/>
                <w:szCs w:val="20"/>
              </w:rPr>
              <w:t>(2) Správce veřejného rozpočtu, který vykonává interní audit podle § 24 odst. 1 písm. b), postupuje podle tohoto zákona, mezinárodních standardů a kontrolního řádu s výjimkou § 9 písm. f), § 10 odst. 1 písm. c) a d), §</w:t>
            </w:r>
            <w:r w:rsidR="005A08E5" w:rsidRPr="0025078E">
              <w:rPr>
                <w:sz w:val="20"/>
                <w:szCs w:val="20"/>
              </w:rPr>
              <w:t xml:space="preserve"> 12 až 19, § 21, 24, 26 a </w:t>
            </w:r>
            <w:r w:rsidRPr="0025078E">
              <w:rPr>
                <w:sz w:val="20"/>
                <w:szCs w:val="20"/>
              </w:rPr>
              <w:t>27.</w:t>
            </w:r>
          </w:p>
          <w:p w:rsidR="005A08E5" w:rsidRPr="0025078E" w:rsidRDefault="005A08E5" w:rsidP="005A08E5">
            <w:pPr>
              <w:pStyle w:val="Textodstavce"/>
              <w:numPr>
                <w:ilvl w:val="0"/>
                <w:numId w:val="0"/>
              </w:numPr>
              <w:tabs>
                <w:tab w:val="num" w:pos="782"/>
              </w:tabs>
              <w:rPr>
                <w:sz w:val="20"/>
                <w:szCs w:val="20"/>
              </w:rPr>
            </w:pPr>
            <w:r w:rsidRPr="0025078E">
              <w:rPr>
                <w:sz w:val="20"/>
                <w:szCs w:val="20"/>
              </w:rPr>
              <w:t xml:space="preserve">(3) Správce veřejného rozpočtu, u kterého je vykonáván interní audit podle § 24 odst. 1 písm. a), a veřejný subjekt postupují podle tohoto zákona a mezinárodních standardů. </w:t>
            </w:r>
          </w:p>
          <w:p w:rsidR="005A08E5" w:rsidRPr="0025078E" w:rsidRDefault="005A08E5" w:rsidP="005A08E5">
            <w:pPr>
              <w:pStyle w:val="Textodstavce"/>
              <w:numPr>
                <w:ilvl w:val="0"/>
                <w:numId w:val="0"/>
              </w:numPr>
              <w:tabs>
                <w:tab w:val="num" w:pos="782"/>
              </w:tabs>
              <w:rPr>
                <w:sz w:val="20"/>
                <w:szCs w:val="20"/>
              </w:rPr>
            </w:pPr>
            <w:r w:rsidRPr="0025078E">
              <w:rPr>
                <w:sz w:val="20"/>
                <w:szCs w:val="20"/>
              </w:rPr>
              <w:t xml:space="preserve">(4) Správce veřejného rozpočtu a veřejný subjekt podle odstavce 3 vydají vnitřní předpis k výkonu interního auditu (dále jen „statut útvaru interního auditu“), kterým upraví </w:t>
            </w:r>
          </w:p>
          <w:p w:rsidR="00EE05E1" w:rsidRPr="0025078E" w:rsidRDefault="00EE05E1" w:rsidP="00EE05E1">
            <w:pPr>
              <w:pStyle w:val="Textpsmene"/>
              <w:numPr>
                <w:ilvl w:val="0"/>
                <w:numId w:val="0"/>
              </w:numPr>
              <w:spacing w:before="120" w:after="120"/>
              <w:rPr>
                <w:sz w:val="20"/>
                <w:szCs w:val="20"/>
              </w:rPr>
            </w:pPr>
            <w:r w:rsidRPr="0025078E">
              <w:rPr>
                <w:sz w:val="20"/>
                <w:szCs w:val="20"/>
              </w:rPr>
              <w:t>a) způsob vydání a náležitosti pověření k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b) způsob zahájení a průběh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c) přizvání třetích osob k výkonu interního auditu v zájmu dosažení jeho účelu,</w:t>
            </w:r>
          </w:p>
          <w:p w:rsidR="00EE05E1" w:rsidRPr="0025078E" w:rsidRDefault="00EE05E1" w:rsidP="00EE05E1">
            <w:pPr>
              <w:pStyle w:val="Textpsmene"/>
              <w:numPr>
                <w:ilvl w:val="0"/>
                <w:numId w:val="0"/>
              </w:numPr>
              <w:spacing w:before="120" w:after="120"/>
              <w:rPr>
                <w:sz w:val="20"/>
                <w:szCs w:val="20"/>
              </w:rPr>
            </w:pPr>
            <w:r w:rsidRPr="0025078E">
              <w:rPr>
                <w:sz w:val="20"/>
                <w:szCs w:val="20"/>
              </w:rPr>
              <w:t xml:space="preserve">d) práva a povinnosti vedoucího útvaru interního auditu, interního auditora a asistenta interního auditora, včetně povinnosti zachovávat mlčenlivost, </w:t>
            </w:r>
          </w:p>
          <w:p w:rsidR="00EE05E1" w:rsidRPr="0025078E" w:rsidRDefault="00EE05E1" w:rsidP="00EE05E1">
            <w:pPr>
              <w:pStyle w:val="Textpsmene"/>
              <w:numPr>
                <w:ilvl w:val="0"/>
                <w:numId w:val="0"/>
              </w:numPr>
              <w:tabs>
                <w:tab w:val="num" w:pos="782"/>
              </w:tabs>
              <w:spacing w:before="120" w:after="120"/>
              <w:rPr>
                <w:sz w:val="20"/>
                <w:szCs w:val="20"/>
              </w:rPr>
            </w:pPr>
            <w:r w:rsidRPr="0025078E">
              <w:rPr>
                <w:sz w:val="20"/>
                <w:szCs w:val="20"/>
              </w:rPr>
              <w:t xml:space="preserve">e) práva a povinnosti auditovaných.   </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125 odst. 9</w:t>
            </w:r>
          </w:p>
        </w:tc>
        <w:tc>
          <w:tcPr>
            <w:tcW w:w="3758"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xml:space="preserve">9. Komisi je svěřena pravomoc přijímat akty v přenesené pravomoci v souladu s článkem 149, kterými stanoví podrobné minimální požadavky na auditní stopu uvedenou v odst. 4 prvním </w:t>
            </w:r>
            <w:proofErr w:type="gramStart"/>
            <w:r w:rsidRPr="0025078E">
              <w:rPr>
                <w:rFonts w:ascii="Times New Roman" w:hAnsi="Times New Roman" w:cs="Times New Roman"/>
                <w:sz w:val="20"/>
                <w:szCs w:val="20"/>
              </w:rPr>
              <w:t>pododstavci</w:t>
            </w:r>
            <w:proofErr w:type="gramEnd"/>
            <w:r w:rsidRPr="0025078E">
              <w:rPr>
                <w:rFonts w:ascii="Times New Roman" w:hAnsi="Times New Roman" w:cs="Times New Roman"/>
                <w:sz w:val="20"/>
                <w:szCs w:val="20"/>
              </w:rPr>
              <w:t xml:space="preserve"> písm. d) tohoto článku, pokud jde o účetní záznamy, které mají být uchovány, a o podklady, které mají být uchovávány na úrovni certifikačního orgánu, řídicího orgánu, zprostředkujících subjektů a příjemců podpory.</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15</w:t>
            </w:r>
          </w:p>
          <w:p w:rsidR="00EE05E1" w:rsidRPr="0025078E" w:rsidRDefault="00EE05E1" w:rsidP="00EE05E1">
            <w:pPr>
              <w:pStyle w:val="Nadpisparagrafu"/>
              <w:spacing w:before="120" w:after="120"/>
              <w:jc w:val="left"/>
              <w:rPr>
                <w:sz w:val="20"/>
                <w:szCs w:val="20"/>
              </w:rPr>
            </w:pPr>
            <w:r w:rsidRPr="0025078E">
              <w:rPr>
                <w:sz w:val="20"/>
                <w:szCs w:val="20"/>
              </w:rPr>
              <w:t>Auditní stopa</w:t>
            </w:r>
          </w:p>
          <w:p w:rsidR="00EE05E1" w:rsidRPr="0025078E" w:rsidRDefault="00EE05E1" w:rsidP="00EE05E1">
            <w:pPr>
              <w:pStyle w:val="Textodstavce"/>
              <w:numPr>
                <w:ilvl w:val="0"/>
                <w:numId w:val="0"/>
              </w:numPr>
              <w:rPr>
                <w:sz w:val="20"/>
                <w:szCs w:val="20"/>
              </w:rPr>
            </w:pPr>
            <w:r w:rsidRPr="0025078E">
              <w:rPr>
                <w:sz w:val="20"/>
                <w:szCs w:val="20"/>
              </w:rPr>
              <w:t>Při provádění řídicí ekonomické kontroly musí být pořízeny a uchovávány dokumenty a záznamy související s rozhodnutím o příjmové nebo výdajové operaci, včetně účetních záznamů, ze kterých lze rekonstruovat posloupnost při uskutečňování operace a operaci ověřit (auditní stopa)</w:t>
            </w:r>
            <w:r w:rsidRPr="0025078E">
              <w:rPr>
                <w:rStyle w:val="Znakapoznpodarou"/>
                <w:sz w:val="20"/>
                <w:szCs w:val="20"/>
              </w:rPr>
              <w:footnoteReference w:customMarkFollows="1" w:id="12"/>
              <w:t>5)</w:t>
            </w:r>
            <w:r w:rsidRPr="0025078E">
              <w:rPr>
                <w:sz w:val="20"/>
                <w:szCs w:val="20"/>
              </w:rPr>
              <w:t>.</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r w:rsidR="00EE05E1" w:rsidRPr="0025078E" w:rsidTr="001D336E">
        <w:tc>
          <w:tcPr>
            <w:tcW w:w="2020"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Čl. 148 odst. 4</w:t>
            </w:r>
          </w:p>
        </w:tc>
        <w:tc>
          <w:tcPr>
            <w:tcW w:w="3758"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4.   Bez ohledu na odstavec 1 mohou, auditní orgán a Komise provádět audity operací v případě, že se při posuzování rizik nebo v rámci auditu ze strany Evropského účetního dvora zjistí zvláštní riziko nesrovnalostí či podvodu, v případě důkazů o závažných nedostatcích v účinném fungování systému řízení a kontroly daného operačního programu a po dobu uvedenou v čl. 140 odst. 1. Komise může za účelem hodnocení práce auditního orgánu přezkoumat auditní stopu dotyčného auditního orgánu nebo se zúčastnit auditů na místě prováděných auditním orgánem, a pokud je to z hlediska získání jistoty o účinném fungování auditního orgánu nutné v souladu s mezinárodně přijatými auditními standardy, může Komise provádět i audit operací.</w:t>
            </w:r>
          </w:p>
        </w:tc>
        <w:tc>
          <w:tcPr>
            <w:tcW w:w="1134" w:type="dxa"/>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EE05E1" w:rsidRPr="0025078E" w:rsidRDefault="00EE05E1" w:rsidP="00EE05E1">
            <w:pPr>
              <w:pStyle w:val="Nadpisparagrafu"/>
              <w:spacing w:before="120" w:after="120"/>
              <w:jc w:val="left"/>
              <w:rPr>
                <w:b w:val="0"/>
                <w:sz w:val="20"/>
                <w:szCs w:val="20"/>
              </w:rPr>
            </w:pPr>
            <w:r w:rsidRPr="0025078E">
              <w:rPr>
                <w:b w:val="0"/>
                <w:sz w:val="20"/>
                <w:szCs w:val="20"/>
              </w:rPr>
              <w:t>§ 30 odst. 1 až 3</w:t>
            </w:r>
          </w:p>
          <w:p w:rsidR="00EE05E1" w:rsidRPr="0025078E" w:rsidRDefault="00EE05E1" w:rsidP="00EE05E1">
            <w:pPr>
              <w:pStyle w:val="Nadpisparagrafu"/>
              <w:spacing w:before="120" w:after="120"/>
              <w:jc w:val="left"/>
              <w:rPr>
                <w:sz w:val="20"/>
                <w:szCs w:val="20"/>
              </w:rPr>
            </w:pPr>
            <w:r w:rsidRPr="0025078E">
              <w:rPr>
                <w:sz w:val="20"/>
                <w:szCs w:val="20"/>
              </w:rPr>
              <w:t>Výkon vládního a interního auditu</w:t>
            </w:r>
          </w:p>
          <w:p w:rsidR="00EE05E1" w:rsidRPr="0025078E" w:rsidRDefault="00EE05E1" w:rsidP="00EE05E1">
            <w:pPr>
              <w:pStyle w:val="Textodstavce"/>
              <w:numPr>
                <w:ilvl w:val="0"/>
                <w:numId w:val="0"/>
              </w:numPr>
              <w:rPr>
                <w:sz w:val="20"/>
                <w:szCs w:val="20"/>
              </w:rPr>
            </w:pPr>
            <w:r w:rsidRPr="0025078E">
              <w:rPr>
                <w:sz w:val="20"/>
                <w:szCs w:val="20"/>
              </w:rPr>
              <w:t>(1) Ministerstvo financí postupuje při výkonu vrchního auditu podle tohoto zákona, mezinárodních standardů a kontrolního řádu s výjimkou § 9 písm. f), § 10 odst. 1 písm. c) a d), § 12 a</w:t>
            </w:r>
            <w:r w:rsidR="005A08E5" w:rsidRPr="0025078E">
              <w:rPr>
                <w:sz w:val="20"/>
                <w:szCs w:val="20"/>
              </w:rPr>
              <w:t xml:space="preserve">ž 19, § 21, 24, 26 a </w:t>
            </w:r>
            <w:r w:rsidRPr="0025078E">
              <w:rPr>
                <w:sz w:val="20"/>
                <w:szCs w:val="20"/>
              </w:rPr>
              <w:t xml:space="preserve">27.  </w:t>
            </w:r>
          </w:p>
          <w:p w:rsidR="00EE05E1" w:rsidRPr="0025078E" w:rsidRDefault="00EE05E1" w:rsidP="00EE05E1">
            <w:pPr>
              <w:pStyle w:val="Textodstavce"/>
              <w:numPr>
                <w:ilvl w:val="0"/>
                <w:numId w:val="0"/>
              </w:numPr>
              <w:rPr>
                <w:sz w:val="20"/>
                <w:szCs w:val="20"/>
              </w:rPr>
            </w:pPr>
            <w:r w:rsidRPr="0025078E">
              <w:rPr>
                <w:sz w:val="20"/>
                <w:szCs w:val="20"/>
              </w:rPr>
              <w:t>(2) Správce veřejného rozpočtu, který vykonává interní audit podle § 24 odst. 1 písm. b), postupuje podle tohoto zákona, mezinárodních standardů a kontrolního řádu s výjimkou § 9 písm. f), § 10 odst. 1 písm. c) a d), § 12 a</w:t>
            </w:r>
            <w:r w:rsidR="005A08E5" w:rsidRPr="0025078E">
              <w:rPr>
                <w:sz w:val="20"/>
                <w:szCs w:val="20"/>
              </w:rPr>
              <w:t xml:space="preserve">ž 19, § 21, 24, 26 a </w:t>
            </w:r>
            <w:r w:rsidRPr="0025078E">
              <w:rPr>
                <w:sz w:val="20"/>
                <w:szCs w:val="20"/>
              </w:rPr>
              <w:t>27.</w:t>
            </w:r>
          </w:p>
          <w:p w:rsidR="005A08E5" w:rsidRPr="0025078E" w:rsidRDefault="005A08E5" w:rsidP="005A08E5">
            <w:pPr>
              <w:pStyle w:val="Textodstavce"/>
              <w:numPr>
                <w:ilvl w:val="0"/>
                <w:numId w:val="0"/>
              </w:numPr>
              <w:tabs>
                <w:tab w:val="num" w:pos="782"/>
              </w:tabs>
              <w:rPr>
                <w:sz w:val="20"/>
                <w:szCs w:val="20"/>
              </w:rPr>
            </w:pPr>
            <w:r w:rsidRPr="0025078E">
              <w:rPr>
                <w:sz w:val="20"/>
                <w:szCs w:val="20"/>
              </w:rPr>
              <w:t xml:space="preserve">(3) Správce veřejného rozpočtu, u kterého je vykonáván interní audit podle § 24 odst. 1 písm. a), a veřejný subjekt postupují podle tohoto zákona a mezinárodních standardů. </w:t>
            </w:r>
          </w:p>
          <w:p w:rsidR="00EE05E1" w:rsidRPr="0025078E" w:rsidRDefault="005A08E5" w:rsidP="005A08E5">
            <w:pPr>
              <w:pStyle w:val="Textodstavce"/>
              <w:numPr>
                <w:ilvl w:val="0"/>
                <w:numId w:val="0"/>
              </w:numPr>
              <w:tabs>
                <w:tab w:val="num" w:pos="782"/>
              </w:tabs>
              <w:rPr>
                <w:sz w:val="20"/>
                <w:szCs w:val="20"/>
              </w:rPr>
            </w:pPr>
            <w:r w:rsidRPr="0025078E">
              <w:rPr>
                <w:sz w:val="20"/>
                <w:szCs w:val="20"/>
              </w:rPr>
              <w:t xml:space="preserve">(4) Správce veřejného rozpočtu a veřejný subjekt podle odstavce 3 vydají vnitřní předpis k výkonu interního auditu (dále jen „statut útvaru interního auditu“), kterým upraví </w:t>
            </w:r>
            <w:r w:rsidR="00EE05E1" w:rsidRPr="0025078E">
              <w:rPr>
                <w:sz w:val="20"/>
                <w:szCs w:val="20"/>
              </w:rPr>
              <w:t xml:space="preserve"> </w:t>
            </w:r>
          </w:p>
          <w:p w:rsidR="00EE05E1" w:rsidRPr="0025078E" w:rsidRDefault="00EE05E1" w:rsidP="00EE05E1">
            <w:pPr>
              <w:pStyle w:val="Textpsmene"/>
              <w:numPr>
                <w:ilvl w:val="0"/>
                <w:numId w:val="0"/>
              </w:numPr>
              <w:spacing w:before="120" w:after="120"/>
              <w:rPr>
                <w:sz w:val="20"/>
                <w:szCs w:val="20"/>
              </w:rPr>
            </w:pPr>
            <w:r w:rsidRPr="0025078E">
              <w:rPr>
                <w:sz w:val="20"/>
                <w:szCs w:val="20"/>
              </w:rPr>
              <w:t>a) způsob vydání a náležitosti pověření k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b) způsob zahájení a průběh výkonu interního auditu,</w:t>
            </w:r>
          </w:p>
          <w:p w:rsidR="00EE05E1" w:rsidRPr="0025078E" w:rsidRDefault="00EE05E1" w:rsidP="00EE05E1">
            <w:pPr>
              <w:pStyle w:val="Textpsmene"/>
              <w:numPr>
                <w:ilvl w:val="0"/>
                <w:numId w:val="0"/>
              </w:numPr>
              <w:spacing w:before="120" w:after="120"/>
              <w:rPr>
                <w:sz w:val="20"/>
                <w:szCs w:val="20"/>
              </w:rPr>
            </w:pPr>
            <w:r w:rsidRPr="0025078E">
              <w:rPr>
                <w:sz w:val="20"/>
                <w:szCs w:val="20"/>
              </w:rPr>
              <w:t>c) přizvání třetích osob k výkonu interního auditu v zájmu dosažení jeho účelu,</w:t>
            </w:r>
          </w:p>
          <w:p w:rsidR="00EE05E1" w:rsidRPr="0025078E" w:rsidRDefault="00EE05E1" w:rsidP="00EE05E1">
            <w:pPr>
              <w:pStyle w:val="Textpsmene"/>
              <w:numPr>
                <w:ilvl w:val="0"/>
                <w:numId w:val="0"/>
              </w:numPr>
              <w:spacing w:before="120" w:after="120"/>
              <w:rPr>
                <w:sz w:val="20"/>
                <w:szCs w:val="20"/>
              </w:rPr>
            </w:pPr>
            <w:r w:rsidRPr="0025078E">
              <w:rPr>
                <w:sz w:val="20"/>
                <w:szCs w:val="20"/>
              </w:rPr>
              <w:t xml:space="preserve">d) práva a povinnosti vedoucího útvaru interního auditu, interního auditora a asistenta interního auditora, včetně povinnosti zachovávat mlčenlivost, </w:t>
            </w:r>
          </w:p>
          <w:p w:rsidR="00EE05E1" w:rsidRPr="0025078E" w:rsidRDefault="00EE05E1" w:rsidP="00EE05E1">
            <w:pPr>
              <w:pStyle w:val="Textpsmene"/>
              <w:numPr>
                <w:ilvl w:val="0"/>
                <w:numId w:val="0"/>
              </w:numPr>
              <w:tabs>
                <w:tab w:val="num" w:pos="782"/>
              </w:tabs>
              <w:spacing w:before="120" w:after="120"/>
              <w:rPr>
                <w:sz w:val="20"/>
                <w:szCs w:val="20"/>
              </w:rPr>
            </w:pPr>
            <w:r w:rsidRPr="0025078E">
              <w:rPr>
                <w:sz w:val="20"/>
                <w:szCs w:val="20"/>
              </w:rPr>
              <w:t xml:space="preserve">e) práva a povinnosti auditovaných.   </w:t>
            </w:r>
          </w:p>
        </w:tc>
        <w:tc>
          <w:tcPr>
            <w:tcW w:w="1276" w:type="dxa"/>
            <w:vAlign w:val="center"/>
          </w:tcPr>
          <w:p w:rsidR="00EE05E1" w:rsidRPr="0025078E" w:rsidRDefault="00EE05E1"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EE05E1" w:rsidRPr="0025078E" w:rsidRDefault="00EE05E1" w:rsidP="00EE05E1">
            <w:pPr>
              <w:jc w:val="center"/>
              <w:rPr>
                <w:rFonts w:ascii="Times New Roman" w:hAnsi="Times New Roman" w:cs="Times New Roman"/>
                <w:sz w:val="20"/>
                <w:szCs w:val="20"/>
              </w:rPr>
            </w:pPr>
          </w:p>
        </w:tc>
      </w:tr>
    </w:tbl>
    <w:p w:rsidR="00546D96" w:rsidRPr="0025078E" w:rsidRDefault="00546D96">
      <w:pPr>
        <w:rPr>
          <w:rFonts w:ascii="Times New Roman" w:hAnsi="Times New Roman" w:cs="Times New Roman"/>
          <w:sz w:val="20"/>
          <w:szCs w:val="20"/>
        </w:rPr>
      </w:pPr>
    </w:p>
    <w:p w:rsidR="00546D96" w:rsidRPr="0025078E" w:rsidRDefault="00546D96">
      <w:pPr>
        <w:rPr>
          <w:rFonts w:ascii="Times New Roman" w:hAnsi="Times New Roman" w:cs="Times New Roman"/>
          <w:sz w:val="20"/>
          <w:szCs w:val="20"/>
        </w:rPr>
      </w:pPr>
      <w:r w:rsidRPr="0025078E">
        <w:rPr>
          <w:rFonts w:ascii="Times New Roman" w:hAnsi="Times New Roman" w:cs="Times New Roman"/>
          <w:sz w:val="20"/>
          <w:szCs w:val="20"/>
        </w:rPr>
        <w:br w:type="page"/>
      </w: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55033B" w:rsidRPr="0025078E" w:rsidTr="00FB0673">
        <w:tc>
          <w:tcPr>
            <w:tcW w:w="2357" w:type="dxa"/>
            <w:vAlign w:val="center"/>
          </w:tcPr>
          <w:p w:rsidR="0055033B" w:rsidRPr="0025078E" w:rsidRDefault="0055033B" w:rsidP="00FB0673">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32014R0480</w:t>
            </w:r>
          </w:p>
        </w:tc>
        <w:tc>
          <w:tcPr>
            <w:tcW w:w="1842"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2A6C73"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 xml:space="preserve">Mgr. </w:t>
            </w:r>
            <w:r w:rsidR="002A6C73" w:rsidRPr="0025078E">
              <w:rPr>
                <w:rFonts w:ascii="Times New Roman" w:hAnsi="Times New Roman" w:cs="Times New Roman"/>
                <w:sz w:val="20"/>
                <w:szCs w:val="20"/>
              </w:rPr>
              <w:t>Andrea Vuongová</w:t>
            </w:r>
            <w:r w:rsidRPr="0025078E">
              <w:rPr>
                <w:rFonts w:ascii="Times New Roman" w:hAnsi="Times New Roman" w:cs="Times New Roman"/>
                <w:sz w:val="20"/>
                <w:szCs w:val="20"/>
              </w:rPr>
              <w:t>,</w:t>
            </w:r>
          </w:p>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 xml:space="preserve"> </w:t>
            </w:r>
            <w:r w:rsidR="00426BF0" w:rsidRPr="0025078E">
              <w:rPr>
                <w:rFonts w:ascii="Times New Roman" w:hAnsi="Times New Roman" w:cs="Times New Roman"/>
                <w:sz w:val="20"/>
                <w:szCs w:val="20"/>
              </w:rPr>
              <w:t>28. 11. 2016</w:t>
            </w:r>
          </w:p>
        </w:tc>
      </w:tr>
      <w:tr w:rsidR="0055033B" w:rsidRPr="0025078E" w:rsidTr="00FB0673">
        <w:tc>
          <w:tcPr>
            <w:tcW w:w="2357"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Nařízení Komise v přenesené pravomoci (EU) č. 480/2014 ze dne 3. března 2014, kterým se doplňuje nařízení Evropského parlamentu a Rady (EU) č. 1303/2013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w:t>
            </w:r>
          </w:p>
        </w:tc>
        <w:tc>
          <w:tcPr>
            <w:tcW w:w="1842"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55033B" w:rsidRPr="0025078E" w:rsidRDefault="0055033B" w:rsidP="00FB0673">
            <w:pPr>
              <w:rPr>
                <w:rFonts w:ascii="Times New Roman" w:hAnsi="Times New Roman" w:cs="Times New Roman"/>
                <w:sz w:val="20"/>
                <w:szCs w:val="20"/>
              </w:rPr>
            </w:pPr>
          </w:p>
        </w:tc>
        <w:tc>
          <w:tcPr>
            <w:tcW w:w="2358" w:type="dxa"/>
            <w:vAlign w:val="center"/>
          </w:tcPr>
          <w:p w:rsidR="0055033B" w:rsidRPr="0025078E" w:rsidRDefault="0055033B" w:rsidP="00FB0673">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55033B" w:rsidRPr="0025078E" w:rsidRDefault="002A6C73" w:rsidP="00FB0673">
            <w:pPr>
              <w:rPr>
                <w:rFonts w:ascii="Times New Roman" w:hAnsi="Times New Roman" w:cs="Times New Roman"/>
                <w:sz w:val="20"/>
                <w:szCs w:val="20"/>
              </w:rPr>
            </w:pPr>
            <w:r w:rsidRPr="0025078E">
              <w:rPr>
                <w:rFonts w:ascii="Times New Roman" w:hAnsi="Times New Roman" w:cs="Times New Roman"/>
                <w:sz w:val="20"/>
                <w:szCs w:val="20"/>
              </w:rPr>
              <w:t>Mgr. Jana Kranecová</w:t>
            </w:r>
            <w:r w:rsidR="0055033B" w:rsidRPr="0025078E">
              <w:rPr>
                <w:rFonts w:ascii="Times New Roman" w:hAnsi="Times New Roman" w:cs="Times New Roman"/>
                <w:sz w:val="20"/>
                <w:szCs w:val="20"/>
              </w:rPr>
              <w:t>,</w:t>
            </w:r>
            <w:r w:rsidRPr="0025078E">
              <w:rPr>
                <w:rFonts w:ascii="Times New Roman" w:hAnsi="Times New Roman" w:cs="Times New Roman"/>
                <w:sz w:val="20"/>
                <w:szCs w:val="20"/>
              </w:rPr>
              <w:t xml:space="preserve"> Ph.D.</w:t>
            </w:r>
            <w:r w:rsidR="0055033B" w:rsidRPr="0025078E">
              <w:rPr>
                <w:rFonts w:ascii="Times New Roman" w:hAnsi="Times New Roman" w:cs="Times New Roman"/>
                <w:sz w:val="20"/>
                <w:szCs w:val="20"/>
              </w:rPr>
              <w:t xml:space="preserve"> </w:t>
            </w:r>
            <w:r w:rsidR="00426BF0" w:rsidRPr="0025078E">
              <w:rPr>
                <w:rFonts w:ascii="Times New Roman" w:hAnsi="Times New Roman" w:cs="Times New Roman"/>
                <w:sz w:val="20"/>
                <w:szCs w:val="20"/>
              </w:rPr>
              <w:t>28. 11. 2016</w:t>
            </w:r>
          </w:p>
        </w:tc>
      </w:tr>
    </w:tbl>
    <w:p w:rsidR="0055033B" w:rsidRPr="0025078E" w:rsidRDefault="0055033B">
      <w:pPr>
        <w:rPr>
          <w:rFonts w:ascii="Times New Roman" w:hAnsi="Times New Roman" w:cs="Times New Roman"/>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685"/>
        <w:gridCol w:w="1276"/>
        <w:gridCol w:w="711"/>
      </w:tblGrid>
      <w:tr w:rsidR="00546D96" w:rsidRPr="0025078E" w:rsidTr="001D336E">
        <w:trPr>
          <w:tblHeader/>
        </w:trPr>
        <w:tc>
          <w:tcPr>
            <w:tcW w:w="5778" w:type="dxa"/>
            <w:gridSpan w:val="2"/>
            <w:shd w:val="clear" w:color="auto" w:fill="00B0F0"/>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br w:type="page"/>
              <w:t>Právní předpis EU</w:t>
            </w:r>
          </w:p>
        </w:tc>
        <w:tc>
          <w:tcPr>
            <w:tcW w:w="8366" w:type="dxa"/>
            <w:gridSpan w:val="5"/>
            <w:shd w:val="clear" w:color="auto" w:fill="FFFF00"/>
          </w:tcPr>
          <w:p w:rsidR="00546D96" w:rsidRPr="0025078E" w:rsidRDefault="00546D96" w:rsidP="001D336E">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546D96" w:rsidRPr="0025078E" w:rsidTr="001D336E">
        <w:tc>
          <w:tcPr>
            <w:tcW w:w="2020"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685"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276"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546D96" w:rsidRPr="0025078E" w:rsidRDefault="00546D96" w:rsidP="001D336E">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FB0673" w:rsidRPr="0025078E" w:rsidTr="00EE05E1">
        <w:tc>
          <w:tcPr>
            <w:tcW w:w="2020" w:type="dxa"/>
            <w:vAlign w:val="center"/>
          </w:tcPr>
          <w:p w:rsidR="00FB0673" w:rsidRPr="0025078E" w:rsidRDefault="00FB0673" w:rsidP="00EE05E1">
            <w:pPr>
              <w:jc w:val="center"/>
              <w:rPr>
                <w:rFonts w:ascii="Times New Roman" w:hAnsi="Times New Roman" w:cs="Times New Roman"/>
                <w:sz w:val="20"/>
                <w:szCs w:val="20"/>
              </w:rPr>
            </w:pPr>
            <w:r w:rsidRPr="0025078E">
              <w:rPr>
                <w:rFonts w:ascii="Times New Roman" w:hAnsi="Times New Roman" w:cs="Times New Roman"/>
                <w:sz w:val="20"/>
                <w:szCs w:val="20"/>
              </w:rPr>
              <w:t>Čl. 25</w:t>
            </w:r>
          </w:p>
        </w:tc>
        <w:tc>
          <w:tcPr>
            <w:tcW w:w="3758" w:type="dxa"/>
          </w:tcPr>
          <w:p w:rsidR="00FB0673" w:rsidRPr="0025078E" w:rsidRDefault="00FB0673" w:rsidP="00FB0673">
            <w:pPr>
              <w:pStyle w:val="Textodstavce"/>
              <w:numPr>
                <w:ilvl w:val="0"/>
                <w:numId w:val="0"/>
              </w:numPr>
              <w:tabs>
                <w:tab w:val="num" w:pos="2627"/>
              </w:tabs>
              <w:rPr>
                <w:sz w:val="20"/>
                <w:szCs w:val="20"/>
              </w:rPr>
            </w:pPr>
            <w:r w:rsidRPr="0025078E">
              <w:rPr>
                <w:sz w:val="20"/>
                <w:szCs w:val="20"/>
              </w:rPr>
              <w:t>1. Podrobné minimální požadavky na auditní stopu, pokud jde o účetní záznamy, které mají být uchovány, a o podklady, které mají být uchovávány, jsou následující:</w:t>
            </w:r>
          </w:p>
          <w:p w:rsidR="00FB0673" w:rsidRPr="0025078E" w:rsidRDefault="00FB0673" w:rsidP="00FB0673">
            <w:pPr>
              <w:pStyle w:val="Textodstavce"/>
              <w:numPr>
                <w:ilvl w:val="0"/>
                <w:numId w:val="0"/>
              </w:numPr>
              <w:tabs>
                <w:tab w:val="num" w:pos="2627"/>
              </w:tabs>
              <w:rPr>
                <w:sz w:val="20"/>
                <w:szCs w:val="20"/>
              </w:rPr>
            </w:pPr>
            <w:r w:rsidRPr="0025078E">
              <w:rPr>
                <w:sz w:val="20"/>
                <w:szCs w:val="20"/>
              </w:rPr>
              <w:t>a) auditní stopa umožňuje ověření uplatňování kritérií výběru stanovených monitorovacím výborem pro operační program;</w:t>
            </w:r>
          </w:p>
          <w:p w:rsidR="00FB0673" w:rsidRPr="0025078E" w:rsidRDefault="00FB0673" w:rsidP="00FB0673">
            <w:pPr>
              <w:pStyle w:val="Textodstavce"/>
              <w:numPr>
                <w:ilvl w:val="0"/>
                <w:numId w:val="0"/>
              </w:numPr>
              <w:tabs>
                <w:tab w:val="num" w:pos="2627"/>
              </w:tabs>
              <w:rPr>
                <w:sz w:val="20"/>
                <w:szCs w:val="20"/>
              </w:rPr>
            </w:pPr>
            <w:r w:rsidRPr="0025078E">
              <w:rPr>
                <w:sz w:val="20"/>
                <w:szCs w:val="20"/>
              </w:rPr>
              <w:t>b) v souvislosti s granty a vratnou pomocí podle čl. 67 odst. 1 písm. a) nařízení (EU) č. 1303/2013 auditní stopa umožňuje sesouhlasení souhrnných částek potvrzených Komisi s podrobnými účetními záznamy a podklady vedenými certifikačním orgánem, řídicím orgánem, zprostředkujícími subjekty a příjemci, pokud jde o operace spolufinancované v rámci operačního programu;</w:t>
            </w:r>
          </w:p>
          <w:p w:rsidR="00FB0673" w:rsidRPr="0025078E" w:rsidRDefault="00FB0673" w:rsidP="00FB0673">
            <w:pPr>
              <w:pStyle w:val="Textodstavce"/>
              <w:numPr>
                <w:ilvl w:val="0"/>
                <w:numId w:val="0"/>
              </w:numPr>
              <w:tabs>
                <w:tab w:val="num" w:pos="2627"/>
              </w:tabs>
              <w:rPr>
                <w:sz w:val="20"/>
                <w:szCs w:val="20"/>
              </w:rPr>
            </w:pPr>
            <w:r w:rsidRPr="0025078E">
              <w:rPr>
                <w:sz w:val="20"/>
                <w:szCs w:val="20"/>
              </w:rPr>
              <w:t>c) v souvislosti s granty a vratnou pomocí podle čl. 67 odst. 1 písm. b) a c) a článku 109 nařízení (EU) č. 1303/2013 a podle čl. 14 odst. 1 nařízení (EU) č. 1304/2013 auditní stopa umožňuje sesouhlasení souhrnných částek potvrzených Komisi s podrobnými údaji o výstupech či výsledcích a podklady vedenými certifikačním orgánem, řídicím orgánem, zprostředkujícími subjekty a příjemci, případně včetně dokladů o metodě stanovení standardních stupnic jednotkových nákladů a paušálních částek, pokud jde o operace spolufinancované v rámci operačního programu;</w:t>
            </w:r>
          </w:p>
          <w:p w:rsidR="00FB0673" w:rsidRPr="0025078E" w:rsidRDefault="00FB0673" w:rsidP="00FB0673">
            <w:pPr>
              <w:pStyle w:val="Textodstavce"/>
              <w:numPr>
                <w:ilvl w:val="0"/>
                <w:numId w:val="0"/>
              </w:numPr>
              <w:tabs>
                <w:tab w:val="num" w:pos="2627"/>
              </w:tabs>
              <w:rPr>
                <w:sz w:val="20"/>
                <w:szCs w:val="20"/>
              </w:rPr>
            </w:pPr>
            <w:r w:rsidRPr="0025078E">
              <w:rPr>
                <w:sz w:val="20"/>
                <w:szCs w:val="20"/>
              </w:rPr>
              <w:t>d) v souvislosti s náklady stanovenými v souladu s čl. 67 odst. 1 písm. d) a čl. 68 odst. 1 písm. a) nařízení (EU) č. 1303/2013 auditní stopa podle potřeby dokládá a odůvodňuje metodu výpočtu a základ, na němž bylo rozhodnuto o paušálních sazbách, a způsobilé přímé náklady nebo náklady vykázané v rámci jiných vybraných kategorií, u kterých se uplatní paušální sazba;</w:t>
            </w:r>
          </w:p>
          <w:p w:rsidR="00FB0673" w:rsidRPr="0025078E" w:rsidRDefault="00FB0673" w:rsidP="00FB0673">
            <w:pPr>
              <w:pStyle w:val="Textodstavce"/>
              <w:numPr>
                <w:ilvl w:val="0"/>
                <w:numId w:val="0"/>
              </w:numPr>
              <w:tabs>
                <w:tab w:val="num" w:pos="2627"/>
              </w:tabs>
              <w:rPr>
                <w:sz w:val="20"/>
                <w:szCs w:val="20"/>
              </w:rPr>
            </w:pPr>
            <w:r w:rsidRPr="0025078E">
              <w:rPr>
                <w:sz w:val="20"/>
                <w:szCs w:val="20"/>
              </w:rPr>
              <w:t>e) v souvislosti s náklady stanovenými v souladu s čl. 68 odst. 1 písm. b) a c) nařízení (EU) č. 1303/2013, s čl. 14 odst. 2 nařízení (EU) č. 1304/2013 a s článkem 20 nařízení (EU) č. 1299/2013 auditní stopa umožňuje doložení způsobilých přímých nákladů, u kterých se uplatní paušální sazba;</w:t>
            </w:r>
          </w:p>
          <w:p w:rsidR="00FB0673" w:rsidRPr="0025078E" w:rsidRDefault="00FB0673" w:rsidP="00FB0673">
            <w:pPr>
              <w:pStyle w:val="Textodstavce"/>
              <w:numPr>
                <w:ilvl w:val="0"/>
                <w:numId w:val="0"/>
              </w:numPr>
              <w:tabs>
                <w:tab w:val="num" w:pos="2627"/>
              </w:tabs>
              <w:rPr>
                <w:sz w:val="20"/>
                <w:szCs w:val="20"/>
              </w:rPr>
            </w:pPr>
            <w:r w:rsidRPr="0025078E">
              <w:rPr>
                <w:sz w:val="20"/>
                <w:szCs w:val="20"/>
              </w:rPr>
              <w:t>f) auditní stopa umožňuje ověření platby příspěvku z veřejných zdrojů příjemci;</w:t>
            </w:r>
          </w:p>
          <w:p w:rsidR="00FB0673" w:rsidRPr="0025078E" w:rsidRDefault="00FB0673" w:rsidP="00FB0673">
            <w:pPr>
              <w:pStyle w:val="Textodstavce"/>
              <w:numPr>
                <w:ilvl w:val="0"/>
                <w:numId w:val="0"/>
              </w:numPr>
              <w:tabs>
                <w:tab w:val="num" w:pos="2627"/>
              </w:tabs>
              <w:rPr>
                <w:sz w:val="20"/>
                <w:szCs w:val="20"/>
              </w:rPr>
            </w:pPr>
            <w:r w:rsidRPr="0025078E">
              <w:rPr>
                <w:sz w:val="20"/>
                <w:szCs w:val="20"/>
              </w:rPr>
              <w:t>g) u každé operace, je-li to na místě, auditní stopa obsahuje technické specifikace a plán financování, dokumenty týkající se schválení grantu, dokumenty související se zadáváním veřejných zakázek, zprávy od příjemce a zprávy o provedených ověřováních a auditech;</w:t>
            </w:r>
          </w:p>
          <w:p w:rsidR="00FB0673" w:rsidRPr="0025078E" w:rsidRDefault="00FB0673" w:rsidP="00FB0673">
            <w:pPr>
              <w:pStyle w:val="Textodstavce"/>
              <w:numPr>
                <w:ilvl w:val="0"/>
                <w:numId w:val="0"/>
              </w:numPr>
              <w:tabs>
                <w:tab w:val="num" w:pos="2627"/>
              </w:tabs>
              <w:rPr>
                <w:sz w:val="20"/>
                <w:szCs w:val="20"/>
              </w:rPr>
            </w:pPr>
            <w:r w:rsidRPr="0025078E">
              <w:rPr>
                <w:sz w:val="20"/>
                <w:szCs w:val="20"/>
              </w:rPr>
              <w:t>h) auditní stopa obsahuje informace o řídicích kontrolách a o provedených auditech operací;</w:t>
            </w:r>
          </w:p>
          <w:p w:rsidR="00FB0673" w:rsidRPr="0025078E" w:rsidRDefault="00FB0673" w:rsidP="00FB0673">
            <w:pPr>
              <w:pStyle w:val="Textodstavce"/>
              <w:numPr>
                <w:ilvl w:val="0"/>
                <w:numId w:val="0"/>
              </w:numPr>
              <w:tabs>
                <w:tab w:val="num" w:pos="2627"/>
              </w:tabs>
              <w:rPr>
                <w:sz w:val="20"/>
                <w:szCs w:val="20"/>
              </w:rPr>
            </w:pPr>
            <w:r w:rsidRPr="0025078E">
              <w:rPr>
                <w:sz w:val="20"/>
                <w:szCs w:val="20"/>
              </w:rPr>
              <w:t>i) aniž je dotčen čl. 19 odst. 3 a přílohy I a II nařízení (EU) č. 1304/2013, auditní stopa umožňuje sesouhlasení údajů týkajících se ukazatelů výstupů operace s cíli a vykázanými údaji a výsledkem programu;</w:t>
            </w:r>
          </w:p>
          <w:p w:rsidR="00FB0673" w:rsidRPr="0025078E" w:rsidRDefault="00FB0673" w:rsidP="00FB0673">
            <w:pPr>
              <w:pStyle w:val="Textodstavce"/>
              <w:numPr>
                <w:ilvl w:val="0"/>
                <w:numId w:val="0"/>
              </w:numPr>
              <w:tabs>
                <w:tab w:val="num" w:pos="2627"/>
              </w:tabs>
              <w:rPr>
                <w:sz w:val="20"/>
                <w:szCs w:val="20"/>
              </w:rPr>
            </w:pPr>
            <w:r w:rsidRPr="0025078E">
              <w:rPr>
                <w:sz w:val="20"/>
                <w:szCs w:val="20"/>
              </w:rPr>
              <w:t>j) u finančních nástrojů auditní stopa obsahuje podklady uvedené v čl. 9 odst. 1 písm. e) tohoto nařízení.</w:t>
            </w:r>
          </w:p>
          <w:p w:rsidR="00FB0673" w:rsidRPr="0025078E" w:rsidRDefault="00FB0673" w:rsidP="00FB0673">
            <w:pPr>
              <w:pStyle w:val="Textodstavce"/>
              <w:numPr>
                <w:ilvl w:val="0"/>
                <w:numId w:val="0"/>
              </w:numPr>
              <w:tabs>
                <w:tab w:val="num" w:pos="2627"/>
              </w:tabs>
              <w:rPr>
                <w:sz w:val="20"/>
                <w:szCs w:val="20"/>
              </w:rPr>
            </w:pPr>
            <w:r w:rsidRPr="0025078E">
              <w:rPr>
                <w:sz w:val="20"/>
                <w:szCs w:val="20"/>
              </w:rPr>
              <w:t>U nákladů uvedených v písmenech c) a d) auditní stopa umožňuje ověřování metody výpočtu použité řídicím orgánem z hlediska souladu s čl. 67 odst. 5 a čl. 68 odst. 1 nařízení (EU) č. 1303/2013 a s čl. 14 odst. 3 nařízení (EU) č. 1304/2013.</w:t>
            </w:r>
          </w:p>
          <w:p w:rsidR="00FB0673" w:rsidRPr="0025078E" w:rsidRDefault="00FB0673" w:rsidP="00FB0673">
            <w:pPr>
              <w:rPr>
                <w:rFonts w:ascii="Times New Roman" w:hAnsi="Times New Roman" w:cs="Times New Roman"/>
                <w:b/>
                <w:sz w:val="20"/>
                <w:szCs w:val="20"/>
              </w:rPr>
            </w:pPr>
            <w:r w:rsidRPr="0025078E">
              <w:rPr>
                <w:rFonts w:ascii="Times New Roman" w:hAnsi="Times New Roman" w:cs="Times New Roman"/>
                <w:sz w:val="20"/>
                <w:szCs w:val="20"/>
              </w:rPr>
              <w:t>2.   Řídicí orgán zajistí, aby existoval záznam o totožnosti a umístění subjektů uchovávajících všechny podklady, které jsou nutné k tomu, aby auditní stopa splňovala minimální požadavky uvedené v odstavci 1.</w:t>
            </w:r>
          </w:p>
        </w:tc>
        <w:tc>
          <w:tcPr>
            <w:tcW w:w="1134" w:type="dxa"/>
          </w:tcPr>
          <w:p w:rsidR="00FB0673" w:rsidRPr="0025078E" w:rsidRDefault="00FB0673" w:rsidP="00EE05E1">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FB0673" w:rsidRPr="0025078E" w:rsidRDefault="00FB0673" w:rsidP="00EE05E1">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vAlign w:val="center"/>
          </w:tcPr>
          <w:p w:rsidR="00EE05E1"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 15</w:t>
            </w:r>
          </w:p>
          <w:p w:rsidR="00EE05E1" w:rsidRPr="0025078E" w:rsidRDefault="00EE05E1" w:rsidP="00EE05E1">
            <w:pPr>
              <w:pStyle w:val="Nadpisparagrafu"/>
              <w:spacing w:before="120" w:after="120"/>
              <w:jc w:val="left"/>
              <w:rPr>
                <w:sz w:val="20"/>
                <w:szCs w:val="20"/>
              </w:rPr>
            </w:pPr>
            <w:r w:rsidRPr="0025078E">
              <w:rPr>
                <w:sz w:val="20"/>
                <w:szCs w:val="20"/>
              </w:rPr>
              <w:t>Auditní stopa</w:t>
            </w:r>
          </w:p>
          <w:p w:rsidR="00FB0673" w:rsidRPr="0025078E" w:rsidRDefault="00EE05E1" w:rsidP="00EE05E1">
            <w:pPr>
              <w:rPr>
                <w:rFonts w:ascii="Times New Roman" w:hAnsi="Times New Roman" w:cs="Times New Roman"/>
                <w:sz w:val="20"/>
                <w:szCs w:val="20"/>
              </w:rPr>
            </w:pPr>
            <w:r w:rsidRPr="0025078E">
              <w:rPr>
                <w:rFonts w:ascii="Times New Roman" w:hAnsi="Times New Roman" w:cs="Times New Roman"/>
                <w:sz w:val="20"/>
                <w:szCs w:val="20"/>
              </w:rPr>
              <w:t>Při provádění řídicí ekonomické kontroly musí být pořízeny a uchovávány dokumenty a záznamy související s rozhodnutím o příjmové nebo výdajové operaci, včetně účetních záznamů, ze kterých lze rekonstruovat posloupnost při uskutečňování operace a operaci ověřit (auditní stopa)</w:t>
            </w:r>
            <w:r w:rsidRPr="0025078E">
              <w:rPr>
                <w:rStyle w:val="Znakapoznpodarou"/>
                <w:rFonts w:ascii="Times New Roman" w:hAnsi="Times New Roman" w:cs="Times New Roman"/>
                <w:sz w:val="20"/>
                <w:szCs w:val="20"/>
              </w:rPr>
              <w:footnoteReference w:customMarkFollows="1" w:id="13"/>
              <w:t>5)</w:t>
            </w:r>
            <w:r w:rsidRPr="0025078E">
              <w:rPr>
                <w:rFonts w:ascii="Times New Roman" w:hAnsi="Times New Roman" w:cs="Times New Roman"/>
                <w:sz w:val="20"/>
                <w:szCs w:val="20"/>
              </w:rPr>
              <w:t>.</w:t>
            </w:r>
          </w:p>
        </w:tc>
        <w:tc>
          <w:tcPr>
            <w:tcW w:w="1276" w:type="dxa"/>
            <w:vAlign w:val="center"/>
          </w:tcPr>
          <w:p w:rsidR="00FB0673" w:rsidRPr="0025078E" w:rsidRDefault="00FB0673" w:rsidP="00EE05E1">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FB0673" w:rsidRPr="0025078E" w:rsidRDefault="00FB0673" w:rsidP="00EE05E1">
            <w:pPr>
              <w:jc w:val="center"/>
              <w:rPr>
                <w:rFonts w:ascii="Times New Roman" w:hAnsi="Times New Roman" w:cs="Times New Roman"/>
                <w:sz w:val="20"/>
                <w:szCs w:val="20"/>
              </w:rPr>
            </w:pPr>
          </w:p>
        </w:tc>
      </w:tr>
      <w:tr w:rsidR="00B7002B" w:rsidRPr="0025078E" w:rsidTr="00656740">
        <w:tc>
          <w:tcPr>
            <w:tcW w:w="2020" w:type="dxa"/>
            <w:vAlign w:val="center"/>
          </w:tcPr>
          <w:p w:rsidR="00B7002B" w:rsidRPr="0025078E" w:rsidRDefault="00B7002B" w:rsidP="00B7002B">
            <w:pPr>
              <w:jc w:val="center"/>
              <w:rPr>
                <w:rFonts w:ascii="Times New Roman" w:hAnsi="Times New Roman" w:cs="Times New Roman"/>
                <w:sz w:val="20"/>
                <w:szCs w:val="20"/>
              </w:rPr>
            </w:pPr>
            <w:r w:rsidRPr="0025078E">
              <w:rPr>
                <w:rFonts w:ascii="Times New Roman" w:hAnsi="Times New Roman" w:cs="Times New Roman"/>
                <w:sz w:val="20"/>
                <w:szCs w:val="20"/>
              </w:rPr>
              <w:t>Čl. 27</w:t>
            </w:r>
          </w:p>
        </w:tc>
        <w:tc>
          <w:tcPr>
            <w:tcW w:w="3758" w:type="dxa"/>
          </w:tcPr>
          <w:p w:rsidR="00B7002B" w:rsidRPr="0025078E" w:rsidRDefault="00B7002B" w:rsidP="00B7002B">
            <w:pPr>
              <w:rPr>
                <w:rFonts w:ascii="Times New Roman" w:hAnsi="Times New Roman" w:cs="Times New Roman"/>
                <w:b/>
                <w:sz w:val="20"/>
                <w:szCs w:val="20"/>
              </w:rPr>
            </w:pPr>
            <w:r w:rsidRPr="0025078E">
              <w:rPr>
                <w:rFonts w:ascii="Times New Roman" w:hAnsi="Times New Roman" w:cs="Times New Roman"/>
                <w:b/>
                <w:sz w:val="20"/>
                <w:szCs w:val="20"/>
              </w:rPr>
              <w:t>Audity operací</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(Čl. 127 odst. 7 nařízení (EU) č. 1303/2013)</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1.   Audity operací se provádějí za každé účetní období na vzorku operací vybraném metodou stanovenou či schválenou auditním orgánem v souladu s článkem 28 tohoto nařízení.</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2.   Audity operací se provádějí na základě podkladů, jež představují auditní stopu, a ověřuje se jimi legalita a správnost výdajů vykázaných Komisi, včetně těchto skutečností:</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 xml:space="preserve">a) operace byla vybrána v souladu s kritérii výběru pro operační program, operace nebyla fyzicky dokončená nebo plně provedená před tím, než příjemce podal žádost o financování v rámci operačního programu, operace byla provedena v souladu s rozhodnutím o schválení a splňovala v době auditu veškeré platné podmínky, pokud jde o funkčnost, použití a cíle, které mají být dosaženy; </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b) výdaje vykázané Komisi odpovídají účetním záznamům a požadované podklady dokládají adekvátní auditní stopu podle článku 25 tohoto nařízení;</w:t>
            </w:r>
          </w:p>
          <w:p w:rsidR="00B7002B" w:rsidRPr="0025078E" w:rsidRDefault="00B7002B" w:rsidP="00B7002B">
            <w:pPr>
              <w:rPr>
                <w:rFonts w:ascii="Times New Roman" w:hAnsi="Times New Roman" w:cs="Times New Roman"/>
                <w:sz w:val="20"/>
                <w:szCs w:val="20"/>
              </w:rPr>
            </w:pPr>
            <w:proofErr w:type="gramStart"/>
            <w:r w:rsidRPr="0025078E">
              <w:rPr>
                <w:rFonts w:ascii="Times New Roman" w:hAnsi="Times New Roman" w:cs="Times New Roman"/>
                <w:sz w:val="20"/>
                <w:szCs w:val="20"/>
              </w:rPr>
              <w:t>c)  u výdajů</w:t>
            </w:r>
            <w:proofErr w:type="gramEnd"/>
            <w:r w:rsidRPr="0025078E">
              <w:rPr>
                <w:rFonts w:ascii="Times New Roman" w:hAnsi="Times New Roman" w:cs="Times New Roman"/>
                <w:sz w:val="20"/>
                <w:szCs w:val="20"/>
              </w:rPr>
              <w:t xml:space="preserve"> vykázaných Komisi stanovených v souladu s čl. 67 odst. 1 písm. b) a c) a článkem 109 nařízení (EU) č. 1303/2013 a s čl. 14 odst. 1 nařízení (EU) č. 1304/2013 byly splněny výstupy a výsledky, na jejichž základě se příjemci vyplácejí platby, údaje o účastnících či jiné záznamy týkající se výstupů a výsledků jsou v souladu s informacemi předloženými Komisi a požadované podklady představují adekvátní auditní stopu podle článku 25 tohoto nařízení.</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Audity se dále ověří, zda byl příspěvek z veřejných zdrojů příjemci vyplacen v souladu s článkem 132 odst. 1 nařízení (EU) č. 1303/2013.</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3.   Součástí auditů operací je v příslušných případech ověření fyzického provádění operace na místě.</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4.   Audity operací se ověřuje přesnost a úplnost odpovídajících výdajů zachycených certifikačním orgánem v jeho účetním systému a soulad auditní stopy na všech úrovních.</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5.   Vyjde-li najevo, že zjištěné problémy jsou systémové povahy, a představují tudíž riziko pro jiné operace v rámci operačního programu, zajistí auditní orgán další kontrolu, včetně případných doplňkových auditů, za účelem stanovení rozsahu problémů a doporučí nezbytná nápravná opatření.</w:t>
            </w:r>
          </w:p>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6.   Pro účel podávání zpráv Komisi o ročním pokrytí se do částky auditovaných výdajů započítávají pouze výdaje spadající do rozsahu auditu provedeného podle odstavce 1. Pro tento účel se použije vzor kontrolní zprávy podle čl. 127 odst. 6 nařízení (EU) 1303/2013.</w:t>
            </w:r>
          </w:p>
        </w:tc>
        <w:tc>
          <w:tcPr>
            <w:tcW w:w="1134" w:type="dxa"/>
          </w:tcPr>
          <w:p w:rsidR="00B7002B" w:rsidRPr="0025078E" w:rsidRDefault="00B7002B" w:rsidP="00B7002B">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B7002B" w:rsidRPr="0025078E" w:rsidRDefault="00B7002B" w:rsidP="00B7002B">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tcPr>
          <w:p w:rsidR="00B7002B" w:rsidRPr="0025078E" w:rsidRDefault="00B7002B" w:rsidP="00B7002B">
            <w:pPr>
              <w:pStyle w:val="Nadpisparagrafu"/>
              <w:spacing w:before="120" w:after="120"/>
              <w:jc w:val="left"/>
              <w:rPr>
                <w:b w:val="0"/>
                <w:sz w:val="20"/>
                <w:szCs w:val="20"/>
              </w:rPr>
            </w:pPr>
            <w:r w:rsidRPr="0025078E">
              <w:rPr>
                <w:b w:val="0"/>
                <w:sz w:val="20"/>
                <w:szCs w:val="20"/>
              </w:rPr>
              <w:t>§ 7</w:t>
            </w:r>
          </w:p>
          <w:p w:rsidR="00B7002B" w:rsidRPr="0025078E" w:rsidRDefault="00B7002B" w:rsidP="00B7002B">
            <w:pPr>
              <w:pStyle w:val="Nadpisparagrafu"/>
              <w:spacing w:before="120" w:after="120"/>
              <w:jc w:val="left"/>
              <w:rPr>
                <w:sz w:val="20"/>
                <w:szCs w:val="20"/>
              </w:rPr>
            </w:pPr>
            <w:r w:rsidRPr="0025078E">
              <w:rPr>
                <w:sz w:val="20"/>
                <w:szCs w:val="20"/>
              </w:rPr>
              <w:t>Správa zahraničních prostředků</w:t>
            </w:r>
          </w:p>
          <w:p w:rsidR="00B7002B" w:rsidRPr="0025078E" w:rsidRDefault="00B7002B" w:rsidP="00B7002B">
            <w:pPr>
              <w:pStyle w:val="Textodstavce"/>
              <w:numPr>
                <w:ilvl w:val="0"/>
                <w:numId w:val="0"/>
              </w:numPr>
              <w:rPr>
                <w:sz w:val="20"/>
                <w:szCs w:val="20"/>
              </w:rPr>
            </w:pPr>
            <w:r w:rsidRPr="0025078E">
              <w:rPr>
                <w:sz w:val="20"/>
                <w:szCs w:val="20"/>
              </w:rPr>
              <w:t>(1) Vláda určí ústřední správní úřad, který bude vykonávat podle přímo použitelného předpisu Evropské unie</w:t>
            </w:r>
            <w:r w:rsidRPr="0025078E">
              <w:rPr>
                <w:rStyle w:val="Znakapoznpodarou"/>
                <w:sz w:val="20"/>
                <w:szCs w:val="20"/>
              </w:rPr>
              <w:footnoteReference w:customMarkFollows="1" w:id="14"/>
              <w:t>3)</w:t>
            </w:r>
            <w:r w:rsidRPr="0025078E">
              <w:rPr>
                <w:sz w:val="20"/>
                <w:szCs w:val="20"/>
              </w:rPr>
              <w:t xml:space="preserve"> působnost orgánu odpovědného za zajištění plnění části souhrnného rozpočtu Evropské unie, rozpočtu jiného státu nebo mezinárodní organizace (dále jen „řídicí orgán“), orgánu odpovědného za provádění jeho certifikace (dále jen „certifikační orgán“) nebo orgánu odpovědného za výkon auditu (dále jen „auditní orgán“), podle oboru působnosti ústředního správního úřadu, popřípadě určí ústřední správní úřad, jehož obor působnosti je nejbližší. Česká republika je oprávněna uzavřít veřejnoprávní smlouvu s územním samosprávným celkem, jejímž předmětem bude plnění působnosti řídicího orgánu. </w:t>
            </w:r>
          </w:p>
          <w:p w:rsidR="00B7002B" w:rsidRPr="0025078E" w:rsidRDefault="00B7002B" w:rsidP="00B7002B">
            <w:pPr>
              <w:pStyle w:val="Textodstavce"/>
              <w:numPr>
                <w:ilvl w:val="0"/>
                <w:numId w:val="0"/>
              </w:numPr>
              <w:rPr>
                <w:sz w:val="20"/>
                <w:szCs w:val="20"/>
              </w:rPr>
            </w:pPr>
            <w:r w:rsidRPr="0025078E">
              <w:rPr>
                <w:sz w:val="20"/>
                <w:szCs w:val="20"/>
              </w:rPr>
              <w:t>(2) Orgán podle odstavce 1 postupuje při zajištění plnění rozpočtu, provádění certifikace nebo výkonu auditu zahraničních prostředků podle tohoto zákona.</w:t>
            </w:r>
          </w:p>
          <w:p w:rsidR="00B7002B" w:rsidRPr="0025078E" w:rsidRDefault="00B7002B" w:rsidP="00B7002B">
            <w:pPr>
              <w:pStyle w:val="Textodstavce"/>
              <w:numPr>
                <w:ilvl w:val="0"/>
                <w:numId w:val="0"/>
              </w:numPr>
              <w:rPr>
                <w:sz w:val="20"/>
                <w:szCs w:val="20"/>
              </w:rPr>
            </w:pPr>
            <w:r w:rsidRPr="0025078E">
              <w:rPr>
                <w:sz w:val="20"/>
                <w:szCs w:val="20"/>
              </w:rPr>
              <w:t>(3) Řídicí orgán může uzavřít s jedním nebo více správci veřejného rozpočtu, jedním nebo více veřejnými subjekty nebo jednou nebo více třetími osobami (dále jen „zprostředkující subjekt“) veřejnoprávní smlouvu, jejímž předmětem bude plnění některých nebo všech práv a povinností řídicího orgánu. Touto veřejnoprávní smlouvou není dotčena povinnost řídicího orgánu vykonávat kontrolu a odpovědnost za její výkon.</w:t>
            </w:r>
          </w:p>
          <w:p w:rsidR="00B7002B" w:rsidRPr="0025078E" w:rsidRDefault="00B7002B" w:rsidP="00B7002B">
            <w:pPr>
              <w:pStyle w:val="Textodstavce"/>
              <w:numPr>
                <w:ilvl w:val="0"/>
                <w:numId w:val="0"/>
              </w:numPr>
              <w:rPr>
                <w:sz w:val="20"/>
                <w:szCs w:val="20"/>
              </w:rPr>
            </w:pPr>
            <w:r w:rsidRPr="0025078E">
              <w:rPr>
                <w:sz w:val="20"/>
                <w:szCs w:val="20"/>
              </w:rPr>
              <w:t>(4) Řídicí orgán nebo certifikační orgán kontroluje plnění požadavků stanovených přímo použitelnými předpisy Evropské unie</w:t>
            </w:r>
            <w:r w:rsidRPr="0025078E">
              <w:rPr>
                <w:rStyle w:val="Odkaznapoznpodarou"/>
                <w:sz w:val="20"/>
                <w:szCs w:val="20"/>
              </w:rPr>
              <w:t>3)</w:t>
            </w:r>
            <w:r w:rsidRPr="0025078E">
              <w:rPr>
                <w:sz w:val="20"/>
                <w:szCs w:val="20"/>
              </w:rPr>
              <w:t>; přitom posuzuje</w:t>
            </w:r>
          </w:p>
          <w:p w:rsidR="00B7002B" w:rsidRPr="0025078E" w:rsidRDefault="00B7002B" w:rsidP="00B7002B">
            <w:pPr>
              <w:pStyle w:val="Textpsmene"/>
              <w:numPr>
                <w:ilvl w:val="0"/>
                <w:numId w:val="0"/>
              </w:numPr>
              <w:spacing w:before="120" w:after="120"/>
              <w:rPr>
                <w:sz w:val="20"/>
                <w:szCs w:val="20"/>
              </w:rPr>
            </w:pPr>
            <w:r w:rsidRPr="0025078E">
              <w:rPr>
                <w:sz w:val="20"/>
                <w:szCs w:val="20"/>
              </w:rPr>
              <w:t>a) dodržování právních předpisů, rozhodnutí a uzavřených smluv při nakládání s veřejnými prostředky,</w:t>
            </w:r>
          </w:p>
          <w:p w:rsidR="00B7002B" w:rsidRPr="0025078E" w:rsidRDefault="00B7002B" w:rsidP="00B7002B">
            <w:pPr>
              <w:pStyle w:val="Textpsmene"/>
              <w:numPr>
                <w:ilvl w:val="0"/>
                <w:numId w:val="0"/>
              </w:numPr>
              <w:spacing w:before="120" w:after="120"/>
              <w:rPr>
                <w:sz w:val="20"/>
                <w:szCs w:val="20"/>
              </w:rPr>
            </w:pPr>
            <w:r w:rsidRPr="0025078E">
              <w:rPr>
                <w:sz w:val="20"/>
                <w:szCs w:val="20"/>
              </w:rPr>
              <w:t>b) dodržování podmínek, za nichž je veřejná finanční podpora poskytována,</w:t>
            </w:r>
          </w:p>
          <w:p w:rsidR="00B7002B" w:rsidRPr="0025078E" w:rsidRDefault="00B7002B" w:rsidP="00B7002B">
            <w:pPr>
              <w:pStyle w:val="Textpsmene"/>
              <w:numPr>
                <w:ilvl w:val="0"/>
                <w:numId w:val="0"/>
              </w:numPr>
              <w:spacing w:before="120" w:after="120"/>
              <w:rPr>
                <w:sz w:val="20"/>
                <w:szCs w:val="20"/>
              </w:rPr>
            </w:pPr>
            <w:r w:rsidRPr="0025078E">
              <w:rPr>
                <w:sz w:val="20"/>
                <w:szCs w:val="20"/>
              </w:rPr>
              <w:t>c) správnost zachycení operací souvisejících s veřejnou finanční podporou v účetnictví.</w:t>
            </w:r>
          </w:p>
          <w:p w:rsidR="00B7002B" w:rsidRPr="0025078E" w:rsidRDefault="00B7002B" w:rsidP="00B7002B">
            <w:pPr>
              <w:pStyle w:val="Textodstavce"/>
              <w:numPr>
                <w:ilvl w:val="0"/>
                <w:numId w:val="0"/>
              </w:numPr>
              <w:rPr>
                <w:sz w:val="20"/>
                <w:szCs w:val="20"/>
              </w:rPr>
            </w:pPr>
            <w:r w:rsidRPr="0025078E">
              <w:rPr>
                <w:sz w:val="20"/>
                <w:szCs w:val="20"/>
              </w:rPr>
              <w:t xml:space="preserve">(5) Auditní orgán provádí výkon auditu u správce veřejného rozpočtu a u veřejného subjektu, kteří se podílejí na správě prostředků poskytnutých ze souhrnného rozpočtu Evropské unie, rozpočtu jiného státu nebo mezinárodní organizace, a u příjemce veřejné finanční podpory poskytnuté z těchto rozpočtů (dále jen „audit zahraničních prostředků“). </w:t>
            </w:r>
          </w:p>
          <w:p w:rsidR="00B7002B" w:rsidRPr="0025078E" w:rsidRDefault="00B7002B" w:rsidP="00B7002B">
            <w:pPr>
              <w:pStyle w:val="Textodstavce"/>
              <w:numPr>
                <w:ilvl w:val="0"/>
                <w:numId w:val="0"/>
              </w:numPr>
              <w:rPr>
                <w:sz w:val="20"/>
                <w:szCs w:val="20"/>
              </w:rPr>
            </w:pPr>
            <w:r w:rsidRPr="0025078E">
              <w:rPr>
                <w:sz w:val="20"/>
                <w:szCs w:val="20"/>
              </w:rPr>
              <w:t>(6) Při výkonu auditu zahraničních prostředků se postupuje podle kontrolního řádu s výjimkou § 9 písm. f), § 10 odst. 1 písm. c) a d), § 12 až 19, § 21, § 24 až 27 a podle § 21 odst. 3, § 27, § 29, § 30 odst. 4 a 5, § 31 až 33, § 34 odst. 2 a 3, § 35 odst. 3 a § 36 tohoto zákona, pokud přímo použitelné předpisy Evropské unie</w:t>
            </w:r>
            <w:r w:rsidRPr="0025078E">
              <w:rPr>
                <w:rStyle w:val="Odkaznapoznpodarou"/>
                <w:sz w:val="20"/>
                <w:szCs w:val="20"/>
              </w:rPr>
              <w:t>3)</w:t>
            </w:r>
            <w:r w:rsidRPr="0025078E">
              <w:rPr>
                <w:sz w:val="20"/>
                <w:szCs w:val="20"/>
              </w:rPr>
              <w:t xml:space="preserve"> nestanoví jinak.</w:t>
            </w:r>
          </w:p>
        </w:tc>
        <w:tc>
          <w:tcPr>
            <w:tcW w:w="1276" w:type="dxa"/>
            <w:vAlign w:val="center"/>
          </w:tcPr>
          <w:p w:rsidR="00B7002B" w:rsidRPr="0025078E" w:rsidRDefault="00B7002B" w:rsidP="00B7002B">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B7002B" w:rsidRPr="0025078E" w:rsidRDefault="00B7002B" w:rsidP="00B7002B">
            <w:pPr>
              <w:jc w:val="center"/>
              <w:rPr>
                <w:rFonts w:ascii="Times New Roman" w:hAnsi="Times New Roman" w:cs="Times New Roman"/>
                <w:sz w:val="20"/>
                <w:szCs w:val="20"/>
              </w:rPr>
            </w:pPr>
          </w:p>
        </w:tc>
      </w:tr>
    </w:tbl>
    <w:p w:rsidR="00D20B64" w:rsidRPr="0025078E" w:rsidRDefault="00D20B64">
      <w:pPr>
        <w:rPr>
          <w:rFonts w:ascii="Times New Roman" w:hAnsi="Times New Roman" w:cs="Times New Roman"/>
          <w:sz w:val="20"/>
          <w:szCs w:val="20"/>
        </w:rPr>
      </w:pPr>
    </w:p>
    <w:p w:rsidR="00426BF0" w:rsidRPr="0025078E" w:rsidRDefault="003D6041">
      <w:pPr>
        <w:rPr>
          <w:rFonts w:ascii="Times New Roman" w:hAnsi="Times New Roman" w:cs="Times New Roman"/>
          <w:sz w:val="20"/>
          <w:szCs w:val="20"/>
        </w:rPr>
      </w:pPr>
      <w:r w:rsidRPr="0025078E">
        <w:rPr>
          <w:rFonts w:ascii="Times New Roman" w:hAnsi="Times New Roman" w:cs="Times New Roman"/>
          <w:sz w:val="20"/>
          <w:szCs w:val="20"/>
        </w:rPr>
        <w:br w:type="page"/>
      </w:r>
      <w:r w:rsidR="00426BF0" w:rsidRPr="0025078E">
        <w:rPr>
          <w:rFonts w:ascii="Times New Roman" w:hAnsi="Times New Roman" w:cs="Times New Roman"/>
          <w:sz w:val="20"/>
          <w:szCs w:val="20"/>
        </w:rPr>
        <w:br w:type="page"/>
      </w:r>
    </w:p>
    <w:tbl>
      <w:tblPr>
        <w:tblStyle w:val="Mkatabulky"/>
        <w:tblW w:w="0" w:type="auto"/>
        <w:tblLook w:val="04A0" w:firstRow="1" w:lastRow="0" w:firstColumn="1" w:lastColumn="0" w:noHBand="0" w:noVBand="1"/>
      </w:tblPr>
      <w:tblGrid>
        <w:gridCol w:w="2357"/>
        <w:gridCol w:w="3847"/>
        <w:gridCol w:w="1842"/>
        <w:gridCol w:w="1382"/>
        <w:gridCol w:w="2358"/>
        <w:gridCol w:w="2358"/>
      </w:tblGrid>
      <w:tr w:rsidR="00426BF0" w:rsidRPr="0025078E" w:rsidTr="00E64CEA">
        <w:tc>
          <w:tcPr>
            <w:tcW w:w="2357" w:type="dxa"/>
            <w:vAlign w:val="center"/>
          </w:tcPr>
          <w:p w:rsidR="00426BF0" w:rsidRPr="0025078E" w:rsidRDefault="00426BF0" w:rsidP="00E64CEA">
            <w:pPr>
              <w:rPr>
                <w:rFonts w:ascii="Times New Roman" w:hAnsi="Times New Roman" w:cs="Times New Roman"/>
                <w:sz w:val="20"/>
                <w:szCs w:val="20"/>
              </w:rPr>
            </w:pPr>
            <w:proofErr w:type="spellStart"/>
            <w:r w:rsidRPr="0025078E">
              <w:rPr>
                <w:rFonts w:ascii="Times New Roman" w:hAnsi="Times New Roman" w:cs="Times New Roman"/>
                <w:sz w:val="20"/>
                <w:szCs w:val="20"/>
              </w:rPr>
              <w:t>Celex</w:t>
            </w:r>
            <w:proofErr w:type="spellEnd"/>
            <w:r w:rsidRPr="0025078E">
              <w:rPr>
                <w:rFonts w:ascii="Times New Roman" w:hAnsi="Times New Roman" w:cs="Times New Roman"/>
                <w:sz w:val="20"/>
                <w:szCs w:val="20"/>
              </w:rPr>
              <w:t xml:space="preserve"> kód: </w:t>
            </w:r>
          </w:p>
        </w:tc>
        <w:tc>
          <w:tcPr>
            <w:tcW w:w="3847"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32014R0480</w:t>
            </w:r>
          </w:p>
        </w:tc>
        <w:tc>
          <w:tcPr>
            <w:tcW w:w="1842"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Gestor:</w:t>
            </w:r>
          </w:p>
        </w:tc>
        <w:tc>
          <w:tcPr>
            <w:tcW w:w="1382"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MF</w:t>
            </w:r>
          </w:p>
        </w:tc>
        <w:tc>
          <w:tcPr>
            <w:tcW w:w="2358"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Zpracoval (jméno, datum):</w:t>
            </w:r>
          </w:p>
        </w:tc>
        <w:tc>
          <w:tcPr>
            <w:tcW w:w="2358"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Mgr. Andrea Vuongová,</w:t>
            </w:r>
          </w:p>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 xml:space="preserve"> 28. 11. 2016</w:t>
            </w:r>
          </w:p>
        </w:tc>
      </w:tr>
      <w:tr w:rsidR="00426BF0" w:rsidRPr="0025078E" w:rsidTr="00E64CEA">
        <w:tc>
          <w:tcPr>
            <w:tcW w:w="2357"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Název:</w:t>
            </w:r>
          </w:p>
        </w:tc>
        <w:tc>
          <w:tcPr>
            <w:tcW w:w="3847" w:type="dxa"/>
            <w:vAlign w:val="center"/>
          </w:tcPr>
          <w:p w:rsidR="00426BF0" w:rsidRPr="0025078E" w:rsidRDefault="00426BF0" w:rsidP="00E64CEA">
            <w:pPr>
              <w:rPr>
                <w:rFonts w:ascii="Times New Roman" w:hAnsi="Times New Roman" w:cs="Times New Roman"/>
                <w:sz w:val="20"/>
                <w:szCs w:val="20"/>
              </w:rPr>
            </w:pPr>
            <w:r w:rsidRPr="0025078E">
              <w:rPr>
                <w:rFonts w:ascii="Times New Roman" w:eastAsia="Times New Roman" w:hAnsi="Times New Roman" w:cs="Times New Roman"/>
                <w:bCs/>
                <w:noProof/>
                <w:sz w:val="20"/>
                <w:szCs w:val="20"/>
                <w:lang w:eastAsia="cs-CZ"/>
              </w:rPr>
              <w:t>NAŘÍZENÍ KOMISE V PŘENESENÉ PRAVOMOCI (EU) č. 1268/2012 ze dne 29. října 2012 o prováděcích pravidlech k nařízení Evropského parlamentu a Rady (EU, Euratom) č. 966/2012, kterým se stanoví finanční pravidla o souhrnném rozpočtu Unie</w:t>
            </w:r>
          </w:p>
        </w:tc>
        <w:tc>
          <w:tcPr>
            <w:tcW w:w="1842"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Lhůta pro implementaci:</w:t>
            </w:r>
          </w:p>
        </w:tc>
        <w:tc>
          <w:tcPr>
            <w:tcW w:w="1382" w:type="dxa"/>
            <w:vAlign w:val="center"/>
          </w:tcPr>
          <w:p w:rsidR="00426BF0" w:rsidRPr="0025078E" w:rsidRDefault="00426BF0" w:rsidP="00E64CEA">
            <w:pPr>
              <w:rPr>
                <w:rFonts w:ascii="Times New Roman" w:hAnsi="Times New Roman" w:cs="Times New Roman"/>
                <w:sz w:val="20"/>
                <w:szCs w:val="20"/>
              </w:rPr>
            </w:pPr>
          </w:p>
        </w:tc>
        <w:tc>
          <w:tcPr>
            <w:tcW w:w="2358"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Schválil (jméno, datum):</w:t>
            </w:r>
          </w:p>
        </w:tc>
        <w:tc>
          <w:tcPr>
            <w:tcW w:w="2358" w:type="dxa"/>
            <w:vAlign w:val="center"/>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 xml:space="preserve">Mgr. Jana Kranecová, Ph.D. </w:t>
            </w:r>
          </w:p>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28. 11. 2016</w:t>
            </w:r>
          </w:p>
        </w:tc>
      </w:tr>
    </w:tbl>
    <w:p w:rsidR="00426BF0" w:rsidRPr="0025078E" w:rsidRDefault="00426BF0" w:rsidP="00426BF0">
      <w:pPr>
        <w:rPr>
          <w:rFonts w:ascii="Times New Roman" w:hAnsi="Times New Roman" w:cs="Times New Roman"/>
          <w:sz w:val="20"/>
          <w:szCs w:val="20"/>
        </w:rPr>
      </w:pPr>
    </w:p>
    <w:tbl>
      <w:tblPr>
        <w:tblStyle w:val="Mkatabulky"/>
        <w:tblW w:w="0" w:type="auto"/>
        <w:tblLayout w:type="fixed"/>
        <w:tblLook w:val="04A0" w:firstRow="1" w:lastRow="0" w:firstColumn="1" w:lastColumn="0" w:noHBand="0" w:noVBand="1"/>
      </w:tblPr>
      <w:tblGrid>
        <w:gridCol w:w="2020"/>
        <w:gridCol w:w="3758"/>
        <w:gridCol w:w="1134"/>
        <w:gridCol w:w="1560"/>
        <w:gridCol w:w="3685"/>
        <w:gridCol w:w="1276"/>
        <w:gridCol w:w="711"/>
      </w:tblGrid>
      <w:tr w:rsidR="00426BF0" w:rsidRPr="0025078E" w:rsidTr="00E64CEA">
        <w:trPr>
          <w:tblHeader/>
        </w:trPr>
        <w:tc>
          <w:tcPr>
            <w:tcW w:w="5778" w:type="dxa"/>
            <w:gridSpan w:val="2"/>
            <w:shd w:val="clear" w:color="auto" w:fill="00B0F0"/>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br w:type="page"/>
              <w:t>Právní předpis EU</w:t>
            </w:r>
          </w:p>
        </w:tc>
        <w:tc>
          <w:tcPr>
            <w:tcW w:w="8366" w:type="dxa"/>
            <w:gridSpan w:val="5"/>
            <w:shd w:val="clear" w:color="auto" w:fill="FFFF00"/>
          </w:tcPr>
          <w:p w:rsidR="00426BF0" w:rsidRPr="0025078E" w:rsidRDefault="00426BF0" w:rsidP="00E64CEA">
            <w:pPr>
              <w:tabs>
                <w:tab w:val="center" w:pos="4944"/>
                <w:tab w:val="left" w:pos="6770"/>
              </w:tabs>
              <w:rPr>
                <w:rFonts w:ascii="Times New Roman" w:hAnsi="Times New Roman" w:cs="Times New Roman"/>
                <w:sz w:val="20"/>
                <w:szCs w:val="20"/>
                <w:highlight w:val="yellow"/>
              </w:rPr>
            </w:pPr>
            <w:r w:rsidRPr="0025078E">
              <w:rPr>
                <w:rFonts w:ascii="Times New Roman" w:hAnsi="Times New Roman" w:cs="Times New Roman"/>
                <w:sz w:val="20"/>
                <w:szCs w:val="20"/>
                <w:highlight w:val="yellow"/>
              </w:rPr>
              <w:tab/>
              <w:t>Implementační předpisy ČR</w:t>
            </w:r>
            <w:r w:rsidRPr="0025078E">
              <w:rPr>
                <w:rFonts w:ascii="Times New Roman" w:hAnsi="Times New Roman" w:cs="Times New Roman"/>
                <w:sz w:val="20"/>
                <w:szCs w:val="20"/>
                <w:highlight w:val="yellow"/>
              </w:rPr>
              <w:tab/>
            </w:r>
          </w:p>
        </w:tc>
      </w:tr>
      <w:tr w:rsidR="00426BF0" w:rsidRPr="0025078E" w:rsidTr="00E64CEA">
        <w:tc>
          <w:tcPr>
            <w:tcW w:w="2020"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Ustanovení (článek, odst., písm., atd.)</w:t>
            </w:r>
          </w:p>
        </w:tc>
        <w:tc>
          <w:tcPr>
            <w:tcW w:w="3758"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Citace ustanovení</w:t>
            </w:r>
          </w:p>
        </w:tc>
        <w:tc>
          <w:tcPr>
            <w:tcW w:w="1134"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560"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 xml:space="preserve">Název předpisu, resp. číslo Sb. z. </w:t>
            </w:r>
            <w:proofErr w:type="gramStart"/>
            <w:r w:rsidRPr="0025078E">
              <w:rPr>
                <w:rFonts w:ascii="Times New Roman" w:hAnsi="Times New Roman" w:cs="Times New Roman"/>
                <w:sz w:val="20"/>
                <w:szCs w:val="20"/>
              </w:rPr>
              <w:t>nebo</w:t>
            </w:r>
            <w:proofErr w:type="gramEnd"/>
            <w:r w:rsidRPr="0025078E">
              <w:rPr>
                <w:rFonts w:ascii="Times New Roman" w:hAnsi="Times New Roman" w:cs="Times New Roman"/>
                <w:sz w:val="20"/>
                <w:szCs w:val="20"/>
              </w:rPr>
              <w:t xml:space="preserve"> název návrhu předpisu, resp. číslo ID :</w:t>
            </w:r>
          </w:p>
        </w:tc>
        <w:tc>
          <w:tcPr>
            <w:tcW w:w="3685"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Citace ustanovení (§, odst., písm., atd.)</w:t>
            </w:r>
          </w:p>
        </w:tc>
        <w:tc>
          <w:tcPr>
            <w:tcW w:w="1276"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Vyhodnocení implementace</w:t>
            </w:r>
          </w:p>
        </w:tc>
        <w:tc>
          <w:tcPr>
            <w:tcW w:w="711"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Pozn.</w:t>
            </w:r>
          </w:p>
        </w:tc>
      </w:tr>
      <w:tr w:rsidR="00426BF0" w:rsidRPr="0025078E" w:rsidTr="00E64CEA">
        <w:tc>
          <w:tcPr>
            <w:tcW w:w="2020"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Čl. 32</w:t>
            </w:r>
          </w:p>
        </w:tc>
        <w:tc>
          <w:tcPr>
            <w:tcW w:w="3758" w:type="dxa"/>
          </w:tcPr>
          <w:p w:rsidR="00426BF0" w:rsidRPr="0025078E" w:rsidRDefault="00426BF0" w:rsidP="00426BF0">
            <w:pPr>
              <w:pStyle w:val="Textodstavce"/>
              <w:numPr>
                <w:ilvl w:val="0"/>
                <w:numId w:val="0"/>
              </w:numPr>
              <w:tabs>
                <w:tab w:val="num" w:pos="2627"/>
              </w:tabs>
              <w:rPr>
                <w:b/>
                <w:sz w:val="20"/>
                <w:szCs w:val="20"/>
              </w:rPr>
            </w:pPr>
            <w:r w:rsidRPr="0025078E">
              <w:rPr>
                <w:b/>
                <w:sz w:val="20"/>
                <w:szCs w:val="20"/>
              </w:rPr>
              <w:t xml:space="preserve">Jednání, jež mohou představovat střet zájmů, a postup (Článek 57 finančního nařízení)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1. Jednání, jež může být ovlivněno střetem zájmů ve smyslu čl. 57 odst. 2 </w:t>
            </w:r>
            <w:proofErr w:type="gramStart"/>
            <w:r w:rsidRPr="0025078E">
              <w:rPr>
                <w:sz w:val="20"/>
                <w:szCs w:val="20"/>
              </w:rPr>
              <w:t>finančního</w:t>
            </w:r>
            <w:proofErr w:type="gramEnd"/>
            <w:r w:rsidRPr="0025078E">
              <w:rPr>
                <w:sz w:val="20"/>
                <w:szCs w:val="20"/>
              </w:rPr>
              <w:t xml:space="preserve"> nařízení, může mít – aniž je dotčeno jeho posouzení jakožto protiprávního jednání podle článku 141 – mimo jiné tyto formy: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a) poskytnutí sobě nebo jinému neoprávněných přímých nebo nepřímých výhod;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b) odmítnutí poskytnout příjemci práva nebo výhody, na něž má nárok;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c) nepřípustná nebo zneužívající jednání nebo opomenutí uskutečnit nezbytná jednání.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Další jednání, jež může být ovlivněno střetem zájmů, je takové jednání, jež může narušit nestranný a objektivní výkon povinností určité osoby, např. členství v hodnotícím výboru v zadávacím řízení nebo v řízení o udělení grantu, může-li tato osoba získat z výsledku těchto řízení přímou či nepřímou finanční výhodu. </w:t>
            </w:r>
          </w:p>
          <w:p w:rsidR="00426BF0" w:rsidRPr="0025078E" w:rsidRDefault="00426BF0" w:rsidP="00426BF0">
            <w:pPr>
              <w:pStyle w:val="Textodstavce"/>
              <w:numPr>
                <w:ilvl w:val="0"/>
                <w:numId w:val="0"/>
              </w:numPr>
              <w:tabs>
                <w:tab w:val="num" w:pos="2627"/>
              </w:tabs>
              <w:rPr>
                <w:sz w:val="20"/>
                <w:szCs w:val="20"/>
              </w:rPr>
            </w:pPr>
            <w:r w:rsidRPr="0025078E">
              <w:rPr>
                <w:sz w:val="20"/>
                <w:szCs w:val="20"/>
              </w:rPr>
              <w:t xml:space="preserve">2. Za střet zájmů se považuje situace, kdy je žadatel, zájemce nebo uchazeč zaměstnancem, na nějž se vztahuje služební řád, ledaže jeho účast v řízení předem schválí jeho nadřízený. </w:t>
            </w:r>
          </w:p>
          <w:p w:rsidR="00426BF0" w:rsidRPr="0025078E" w:rsidRDefault="00426BF0" w:rsidP="00426BF0">
            <w:pPr>
              <w:pStyle w:val="Textodstavce"/>
              <w:numPr>
                <w:ilvl w:val="0"/>
                <w:numId w:val="0"/>
              </w:numPr>
              <w:tabs>
                <w:tab w:val="num" w:pos="2627"/>
              </w:tabs>
              <w:rPr>
                <w:b/>
                <w:sz w:val="20"/>
                <w:szCs w:val="20"/>
              </w:rPr>
            </w:pPr>
            <w:r w:rsidRPr="0025078E">
              <w:rPr>
                <w:sz w:val="20"/>
                <w:szCs w:val="20"/>
              </w:rPr>
              <w:t>3. V případě střetu zájmů přijme pověřená schvalující osoba náležitá opatření k eliminaci nežádoucího vlivu dotčené osoby na daný postup či řízení.</w:t>
            </w:r>
          </w:p>
        </w:tc>
        <w:tc>
          <w:tcPr>
            <w:tcW w:w="1134" w:type="dxa"/>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MF</w:t>
            </w:r>
          </w:p>
        </w:tc>
        <w:tc>
          <w:tcPr>
            <w:tcW w:w="1560" w:type="dxa"/>
          </w:tcPr>
          <w:p w:rsidR="00426BF0" w:rsidRPr="0025078E" w:rsidRDefault="00426BF0" w:rsidP="00E64CEA">
            <w:pPr>
              <w:rPr>
                <w:rFonts w:ascii="Times New Roman" w:hAnsi="Times New Roman" w:cs="Times New Roman"/>
                <w:sz w:val="20"/>
                <w:szCs w:val="20"/>
              </w:rPr>
            </w:pPr>
            <w:r w:rsidRPr="0025078E">
              <w:rPr>
                <w:rFonts w:ascii="Times New Roman" w:hAnsi="Times New Roman" w:cs="Times New Roman"/>
                <w:sz w:val="20"/>
                <w:szCs w:val="20"/>
              </w:rPr>
              <w:t>7117 Návrh zákona o řízení a kontrole veřejných financí</w:t>
            </w:r>
          </w:p>
        </w:tc>
        <w:tc>
          <w:tcPr>
            <w:tcW w:w="3685" w:type="dxa"/>
            <w:vAlign w:val="center"/>
          </w:tcPr>
          <w:p w:rsidR="00426BF0" w:rsidRPr="0025078E" w:rsidRDefault="00426BF0" w:rsidP="00426BF0">
            <w:pPr>
              <w:pStyle w:val="Nadpisparagrafu"/>
              <w:jc w:val="left"/>
              <w:rPr>
                <w:b w:val="0"/>
                <w:sz w:val="20"/>
                <w:szCs w:val="20"/>
              </w:rPr>
            </w:pPr>
            <w:r w:rsidRPr="0025078E">
              <w:rPr>
                <w:b w:val="0"/>
                <w:sz w:val="20"/>
                <w:szCs w:val="20"/>
              </w:rPr>
              <w:t>§ 8</w:t>
            </w:r>
          </w:p>
          <w:p w:rsidR="00426BF0" w:rsidRPr="0025078E" w:rsidRDefault="00426BF0" w:rsidP="00426BF0">
            <w:pPr>
              <w:pStyle w:val="Nadpisparagrafu"/>
              <w:jc w:val="left"/>
              <w:rPr>
                <w:sz w:val="20"/>
                <w:szCs w:val="20"/>
              </w:rPr>
            </w:pPr>
            <w:r w:rsidRPr="0025078E">
              <w:rPr>
                <w:sz w:val="20"/>
                <w:szCs w:val="20"/>
              </w:rPr>
              <w:t>Střet zájmů</w:t>
            </w:r>
          </w:p>
          <w:p w:rsidR="00426BF0" w:rsidRPr="0025078E" w:rsidRDefault="00426BF0" w:rsidP="00426BF0">
            <w:pPr>
              <w:pStyle w:val="Textodstavce"/>
              <w:numPr>
                <w:ilvl w:val="0"/>
                <w:numId w:val="0"/>
              </w:numPr>
              <w:rPr>
                <w:sz w:val="22"/>
                <w:szCs w:val="22"/>
              </w:rPr>
            </w:pPr>
            <w:r w:rsidRPr="0025078E">
              <w:rPr>
                <w:sz w:val="20"/>
                <w:szCs w:val="20"/>
              </w:rPr>
              <w:t>Ten, jehož vlastní zájem je v rozporu s naplňováním cíle řízení a kontroly veřejných financí, nesmí vlastní zájem up</w:t>
            </w:r>
            <w:r w:rsidR="00AD51BE" w:rsidRPr="0025078E">
              <w:rPr>
                <w:sz w:val="20"/>
                <w:szCs w:val="20"/>
              </w:rPr>
              <w:t>řednostňovat</w:t>
            </w:r>
            <w:r w:rsidRPr="0025078E">
              <w:rPr>
                <w:rStyle w:val="Znakapoznpodarou"/>
                <w:sz w:val="20"/>
                <w:szCs w:val="20"/>
              </w:rPr>
              <w:footnoteReference w:customMarkFollows="1" w:id="15"/>
              <w:t>4)</w:t>
            </w:r>
            <w:r w:rsidR="00AD51BE" w:rsidRPr="0025078E">
              <w:rPr>
                <w:sz w:val="22"/>
                <w:szCs w:val="22"/>
              </w:rPr>
              <w:t>.</w:t>
            </w:r>
            <w:r w:rsidRPr="0025078E">
              <w:rPr>
                <w:sz w:val="20"/>
                <w:szCs w:val="20"/>
              </w:rPr>
              <w:t xml:space="preserve"> Za vlastní záje</w:t>
            </w:r>
            <w:r w:rsidR="00AD51BE" w:rsidRPr="0025078E">
              <w:rPr>
                <w:sz w:val="20"/>
                <w:szCs w:val="20"/>
              </w:rPr>
              <w:t>m se pro účely tohoto zákona</w:t>
            </w:r>
            <w:r w:rsidRPr="0025078E">
              <w:rPr>
                <w:sz w:val="20"/>
                <w:szCs w:val="20"/>
              </w:rPr>
              <w:t xml:space="preserve"> považuje i zájem osoby mu blízké, právnické osoby ovládané touto osobou nebo právnické osoby ovládané osobou blízkou této osoby.</w:t>
            </w:r>
          </w:p>
        </w:tc>
        <w:tc>
          <w:tcPr>
            <w:tcW w:w="1276" w:type="dxa"/>
            <w:vAlign w:val="center"/>
          </w:tcPr>
          <w:p w:rsidR="00426BF0" w:rsidRPr="0025078E" w:rsidRDefault="00426BF0" w:rsidP="00E64CEA">
            <w:pPr>
              <w:jc w:val="center"/>
              <w:rPr>
                <w:rFonts w:ascii="Times New Roman" w:hAnsi="Times New Roman" w:cs="Times New Roman"/>
                <w:sz w:val="20"/>
                <w:szCs w:val="20"/>
              </w:rPr>
            </w:pPr>
            <w:r w:rsidRPr="0025078E">
              <w:rPr>
                <w:rFonts w:ascii="Times New Roman" w:hAnsi="Times New Roman" w:cs="Times New Roman"/>
                <w:sz w:val="20"/>
                <w:szCs w:val="20"/>
              </w:rPr>
              <w:t>DT</w:t>
            </w:r>
          </w:p>
        </w:tc>
        <w:tc>
          <w:tcPr>
            <w:tcW w:w="711" w:type="dxa"/>
            <w:vAlign w:val="center"/>
          </w:tcPr>
          <w:p w:rsidR="00426BF0" w:rsidRPr="0025078E" w:rsidRDefault="00426BF0" w:rsidP="00E64CEA">
            <w:pPr>
              <w:jc w:val="center"/>
              <w:rPr>
                <w:rFonts w:ascii="Times New Roman" w:hAnsi="Times New Roman" w:cs="Times New Roman"/>
                <w:sz w:val="20"/>
                <w:szCs w:val="20"/>
              </w:rPr>
            </w:pPr>
          </w:p>
        </w:tc>
      </w:tr>
    </w:tbl>
    <w:p w:rsidR="00426BF0" w:rsidRPr="0025078E" w:rsidRDefault="00426BF0">
      <w:pPr>
        <w:rPr>
          <w:rFonts w:ascii="Times New Roman" w:hAnsi="Times New Roman" w:cs="Times New Roman"/>
          <w:sz w:val="20"/>
          <w:szCs w:val="20"/>
        </w:rPr>
      </w:pPr>
    </w:p>
    <w:p w:rsidR="00426BF0" w:rsidRPr="0025078E" w:rsidRDefault="00426BF0">
      <w:pPr>
        <w:rPr>
          <w:rFonts w:ascii="Times New Roman" w:hAnsi="Times New Roman" w:cs="Times New Roman"/>
          <w:b/>
          <w:bCs/>
          <w:sz w:val="20"/>
          <w:szCs w:val="20"/>
          <w:u w:val="single"/>
        </w:rPr>
      </w:pPr>
      <w:r w:rsidRPr="0025078E">
        <w:rPr>
          <w:rFonts w:ascii="Times New Roman" w:hAnsi="Times New Roman" w:cs="Times New Roman"/>
          <w:b/>
          <w:bCs/>
          <w:sz w:val="20"/>
          <w:szCs w:val="20"/>
          <w:u w:val="single"/>
        </w:rPr>
        <w:br w:type="page"/>
      </w:r>
    </w:p>
    <w:p w:rsidR="0074080B" w:rsidRPr="0025078E" w:rsidRDefault="0074080B" w:rsidP="003D6041">
      <w:pPr>
        <w:rPr>
          <w:rFonts w:ascii="Times New Roman" w:hAnsi="Times New Roman" w:cs="Times New Roman"/>
          <w:sz w:val="20"/>
          <w:szCs w:val="20"/>
        </w:rPr>
      </w:pPr>
      <w:r w:rsidRPr="0025078E">
        <w:rPr>
          <w:rFonts w:ascii="Times New Roman" w:hAnsi="Times New Roman" w:cs="Times New Roman"/>
          <w:b/>
          <w:bCs/>
          <w:sz w:val="20"/>
          <w:szCs w:val="20"/>
          <w:u w:val="single"/>
        </w:rPr>
        <w:t>Rekapitulace platných předpisů a návrhů relevantních z hlediska implementace předpisu ES/EU</w:t>
      </w:r>
    </w:p>
    <w:p w:rsidR="0074080B" w:rsidRPr="0025078E" w:rsidRDefault="0074080B" w:rsidP="0074080B">
      <w:pPr>
        <w:ind w:left="-900"/>
        <w:rPr>
          <w:rFonts w:ascii="Times New Roman" w:hAnsi="Times New Roman" w:cs="Times New Roman"/>
          <w:b/>
          <w:bCs/>
          <w:sz w:val="20"/>
          <w:szCs w:val="20"/>
        </w:rPr>
      </w:pPr>
      <w:r w:rsidRPr="0025078E">
        <w:rPr>
          <w:rFonts w:ascii="Times New Roman" w:hAnsi="Times New Roman" w:cs="Times New Roman"/>
          <w:b/>
          <w:bCs/>
          <w:sz w:val="20"/>
          <w:szCs w:val="20"/>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090"/>
        <w:gridCol w:w="12590"/>
        <w:gridCol w:w="1440"/>
      </w:tblGrid>
      <w:tr w:rsidR="0074080B" w:rsidRPr="0025078E" w:rsidTr="001D336E">
        <w:trPr>
          <w:cantSplit/>
        </w:trPr>
        <w:tc>
          <w:tcPr>
            <w:tcW w:w="720" w:type="dxa"/>
          </w:tcPr>
          <w:p w:rsidR="0074080B" w:rsidRPr="0025078E" w:rsidRDefault="0074080B" w:rsidP="001D336E">
            <w:pPr>
              <w:rPr>
                <w:rFonts w:ascii="Times New Roman" w:hAnsi="Times New Roman" w:cs="Times New Roman"/>
                <w:sz w:val="20"/>
                <w:szCs w:val="20"/>
              </w:rPr>
            </w:pPr>
            <w:proofErr w:type="spellStart"/>
            <w:r w:rsidRPr="0025078E">
              <w:rPr>
                <w:rFonts w:ascii="Times New Roman" w:hAnsi="Times New Roman" w:cs="Times New Roman"/>
                <w:sz w:val="20"/>
                <w:szCs w:val="20"/>
              </w:rPr>
              <w:t>Poř</w:t>
            </w:r>
            <w:proofErr w:type="spellEnd"/>
            <w:r w:rsidRPr="0025078E">
              <w:rPr>
                <w:rFonts w:ascii="Times New Roman" w:hAnsi="Times New Roman" w:cs="Times New Roman"/>
                <w:sz w:val="20"/>
                <w:szCs w:val="20"/>
              </w:rPr>
              <w:t>. č.</w:t>
            </w:r>
          </w:p>
        </w:tc>
        <w:tc>
          <w:tcPr>
            <w:tcW w:w="1090" w:type="dxa"/>
            <w:tcBorders>
              <w:right w:val="single" w:sz="2" w:space="0" w:color="auto"/>
            </w:tcBorders>
            <w:vAlign w:val="center"/>
          </w:tcPr>
          <w:p w:rsidR="0074080B" w:rsidRPr="0025078E" w:rsidRDefault="0074080B" w:rsidP="001D336E">
            <w:pPr>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12590" w:type="dxa"/>
            <w:tcBorders>
              <w:left w:val="single" w:sz="2" w:space="0" w:color="auto"/>
              <w:right w:val="single" w:sz="2" w:space="0" w:color="auto"/>
            </w:tcBorders>
            <w:vAlign w:val="center"/>
          </w:tcPr>
          <w:p w:rsidR="0074080B" w:rsidRPr="0025078E" w:rsidRDefault="0074080B" w:rsidP="001D336E">
            <w:pPr>
              <w:jc w:val="center"/>
              <w:rPr>
                <w:rFonts w:ascii="Times New Roman" w:hAnsi="Times New Roman" w:cs="Times New Roman"/>
                <w:sz w:val="20"/>
                <w:szCs w:val="20"/>
              </w:rPr>
            </w:pPr>
            <w:r w:rsidRPr="0025078E">
              <w:rPr>
                <w:rFonts w:ascii="Times New Roman" w:hAnsi="Times New Roman" w:cs="Times New Roman"/>
                <w:sz w:val="20"/>
                <w:szCs w:val="20"/>
              </w:rPr>
              <w:t>Název předpisu</w:t>
            </w:r>
          </w:p>
        </w:tc>
        <w:tc>
          <w:tcPr>
            <w:tcW w:w="1440" w:type="dxa"/>
            <w:tcBorders>
              <w:left w:val="single" w:sz="2" w:space="0" w:color="auto"/>
            </w:tcBorders>
            <w:vAlign w:val="center"/>
          </w:tcPr>
          <w:p w:rsidR="0074080B" w:rsidRPr="0025078E" w:rsidRDefault="0074080B" w:rsidP="001D336E">
            <w:pPr>
              <w:jc w:val="center"/>
              <w:rPr>
                <w:rFonts w:ascii="Times New Roman" w:hAnsi="Times New Roman" w:cs="Times New Roman"/>
                <w:sz w:val="20"/>
                <w:szCs w:val="20"/>
              </w:rPr>
            </w:pPr>
            <w:r w:rsidRPr="0025078E">
              <w:rPr>
                <w:rFonts w:ascii="Times New Roman" w:hAnsi="Times New Roman" w:cs="Times New Roman"/>
                <w:sz w:val="20"/>
                <w:szCs w:val="20"/>
              </w:rPr>
              <w:t>Účinnost předpisu</w:t>
            </w:r>
          </w:p>
        </w:tc>
      </w:tr>
      <w:tr w:rsidR="0074080B" w:rsidRPr="0025078E" w:rsidTr="001D336E">
        <w:trPr>
          <w:cantSplit/>
        </w:trPr>
        <w:tc>
          <w:tcPr>
            <w:tcW w:w="720" w:type="dxa"/>
          </w:tcPr>
          <w:p w:rsidR="0074080B" w:rsidRPr="0025078E" w:rsidRDefault="0074080B" w:rsidP="001D336E">
            <w:pPr>
              <w:rPr>
                <w:rFonts w:ascii="Times New Roman" w:hAnsi="Times New Roman" w:cs="Times New Roman"/>
                <w:sz w:val="20"/>
                <w:szCs w:val="20"/>
              </w:rPr>
            </w:pPr>
          </w:p>
        </w:tc>
        <w:tc>
          <w:tcPr>
            <w:tcW w:w="1090" w:type="dxa"/>
            <w:tcBorders>
              <w:right w:val="single" w:sz="2" w:space="0" w:color="auto"/>
            </w:tcBorders>
          </w:tcPr>
          <w:p w:rsidR="0074080B" w:rsidRPr="0025078E" w:rsidRDefault="0074080B" w:rsidP="001D336E">
            <w:pPr>
              <w:rPr>
                <w:rFonts w:ascii="Times New Roman" w:hAnsi="Times New Roman" w:cs="Times New Roman"/>
                <w:sz w:val="20"/>
                <w:szCs w:val="20"/>
              </w:rPr>
            </w:pPr>
          </w:p>
        </w:tc>
        <w:tc>
          <w:tcPr>
            <w:tcW w:w="12590" w:type="dxa"/>
            <w:tcBorders>
              <w:left w:val="single" w:sz="2" w:space="0" w:color="auto"/>
              <w:right w:val="single" w:sz="2" w:space="0" w:color="auto"/>
            </w:tcBorders>
          </w:tcPr>
          <w:p w:rsidR="0074080B" w:rsidRPr="0025078E" w:rsidRDefault="0074080B" w:rsidP="001D336E">
            <w:pPr>
              <w:rPr>
                <w:rFonts w:ascii="Times New Roman" w:hAnsi="Times New Roman" w:cs="Times New Roman"/>
                <w:sz w:val="20"/>
                <w:szCs w:val="20"/>
              </w:rPr>
            </w:pPr>
          </w:p>
        </w:tc>
        <w:tc>
          <w:tcPr>
            <w:tcW w:w="1440" w:type="dxa"/>
            <w:tcBorders>
              <w:left w:val="single" w:sz="2" w:space="0" w:color="auto"/>
            </w:tcBorders>
          </w:tcPr>
          <w:p w:rsidR="0074080B" w:rsidRPr="0025078E" w:rsidRDefault="0074080B" w:rsidP="001D336E">
            <w:pPr>
              <w:jc w:val="center"/>
              <w:rPr>
                <w:rFonts w:ascii="Times New Roman" w:hAnsi="Times New Roman" w:cs="Times New Roman"/>
                <w:sz w:val="20"/>
                <w:szCs w:val="20"/>
              </w:rPr>
            </w:pPr>
          </w:p>
        </w:tc>
      </w:tr>
      <w:tr w:rsidR="0074080B" w:rsidRPr="0025078E" w:rsidTr="001D336E">
        <w:trPr>
          <w:cantSplit/>
        </w:trPr>
        <w:tc>
          <w:tcPr>
            <w:tcW w:w="720" w:type="dxa"/>
          </w:tcPr>
          <w:p w:rsidR="0074080B" w:rsidRPr="0025078E" w:rsidRDefault="0074080B" w:rsidP="001D336E">
            <w:pPr>
              <w:rPr>
                <w:rFonts w:ascii="Times New Roman" w:hAnsi="Times New Roman" w:cs="Times New Roman"/>
                <w:sz w:val="20"/>
                <w:szCs w:val="20"/>
              </w:rPr>
            </w:pPr>
          </w:p>
        </w:tc>
        <w:tc>
          <w:tcPr>
            <w:tcW w:w="1090" w:type="dxa"/>
            <w:tcBorders>
              <w:right w:val="single" w:sz="2" w:space="0" w:color="auto"/>
            </w:tcBorders>
          </w:tcPr>
          <w:p w:rsidR="0074080B" w:rsidRPr="0025078E" w:rsidRDefault="0074080B" w:rsidP="001D336E">
            <w:pPr>
              <w:rPr>
                <w:rFonts w:ascii="Times New Roman" w:hAnsi="Times New Roman" w:cs="Times New Roman"/>
                <w:sz w:val="20"/>
                <w:szCs w:val="20"/>
              </w:rPr>
            </w:pPr>
          </w:p>
        </w:tc>
        <w:tc>
          <w:tcPr>
            <w:tcW w:w="12590" w:type="dxa"/>
            <w:tcBorders>
              <w:left w:val="single" w:sz="2" w:space="0" w:color="auto"/>
              <w:right w:val="single" w:sz="2" w:space="0" w:color="auto"/>
            </w:tcBorders>
          </w:tcPr>
          <w:p w:rsidR="0074080B" w:rsidRPr="0025078E" w:rsidRDefault="0074080B" w:rsidP="001D336E">
            <w:pPr>
              <w:rPr>
                <w:rFonts w:ascii="Times New Roman" w:hAnsi="Times New Roman" w:cs="Times New Roman"/>
                <w:sz w:val="20"/>
                <w:szCs w:val="20"/>
              </w:rPr>
            </w:pPr>
          </w:p>
        </w:tc>
        <w:tc>
          <w:tcPr>
            <w:tcW w:w="1440" w:type="dxa"/>
            <w:tcBorders>
              <w:left w:val="single" w:sz="2" w:space="0" w:color="auto"/>
            </w:tcBorders>
          </w:tcPr>
          <w:p w:rsidR="0074080B" w:rsidRPr="0025078E" w:rsidRDefault="0074080B" w:rsidP="001D336E">
            <w:pPr>
              <w:jc w:val="center"/>
              <w:rPr>
                <w:rFonts w:ascii="Times New Roman" w:hAnsi="Times New Roman" w:cs="Times New Roman"/>
                <w:sz w:val="20"/>
                <w:szCs w:val="20"/>
              </w:rPr>
            </w:pPr>
          </w:p>
        </w:tc>
      </w:tr>
      <w:tr w:rsidR="0074080B" w:rsidRPr="0025078E" w:rsidTr="001D336E">
        <w:trPr>
          <w:cantSplit/>
        </w:trPr>
        <w:tc>
          <w:tcPr>
            <w:tcW w:w="720" w:type="dxa"/>
          </w:tcPr>
          <w:p w:rsidR="0074080B" w:rsidRPr="0025078E" w:rsidRDefault="0074080B" w:rsidP="001D336E">
            <w:pPr>
              <w:rPr>
                <w:rFonts w:ascii="Times New Roman" w:hAnsi="Times New Roman" w:cs="Times New Roman"/>
                <w:sz w:val="20"/>
                <w:szCs w:val="20"/>
              </w:rPr>
            </w:pPr>
          </w:p>
        </w:tc>
        <w:tc>
          <w:tcPr>
            <w:tcW w:w="1090" w:type="dxa"/>
            <w:tcBorders>
              <w:right w:val="single" w:sz="2" w:space="0" w:color="auto"/>
            </w:tcBorders>
          </w:tcPr>
          <w:p w:rsidR="0074080B" w:rsidRPr="0025078E" w:rsidRDefault="0074080B" w:rsidP="001D336E">
            <w:pPr>
              <w:rPr>
                <w:rFonts w:ascii="Times New Roman" w:hAnsi="Times New Roman" w:cs="Times New Roman"/>
                <w:sz w:val="20"/>
                <w:szCs w:val="20"/>
              </w:rPr>
            </w:pPr>
          </w:p>
        </w:tc>
        <w:tc>
          <w:tcPr>
            <w:tcW w:w="12590" w:type="dxa"/>
            <w:tcBorders>
              <w:left w:val="single" w:sz="2" w:space="0" w:color="auto"/>
              <w:right w:val="single" w:sz="2" w:space="0" w:color="auto"/>
            </w:tcBorders>
          </w:tcPr>
          <w:p w:rsidR="0074080B" w:rsidRPr="0025078E" w:rsidRDefault="0074080B" w:rsidP="001D336E">
            <w:pPr>
              <w:rPr>
                <w:rFonts w:ascii="Times New Roman" w:hAnsi="Times New Roman" w:cs="Times New Roman"/>
                <w:sz w:val="20"/>
                <w:szCs w:val="20"/>
              </w:rPr>
            </w:pPr>
          </w:p>
        </w:tc>
        <w:tc>
          <w:tcPr>
            <w:tcW w:w="1440" w:type="dxa"/>
            <w:tcBorders>
              <w:left w:val="single" w:sz="2" w:space="0" w:color="auto"/>
            </w:tcBorders>
          </w:tcPr>
          <w:p w:rsidR="0074080B" w:rsidRPr="0025078E" w:rsidRDefault="0074080B" w:rsidP="001D336E">
            <w:pPr>
              <w:jc w:val="center"/>
              <w:rPr>
                <w:rFonts w:ascii="Times New Roman" w:hAnsi="Times New Roman" w:cs="Times New Roman"/>
                <w:sz w:val="20"/>
                <w:szCs w:val="20"/>
              </w:rPr>
            </w:pPr>
          </w:p>
        </w:tc>
      </w:tr>
    </w:tbl>
    <w:p w:rsidR="0074080B" w:rsidRPr="0025078E" w:rsidRDefault="0074080B" w:rsidP="003E2F84">
      <w:pPr>
        <w:spacing w:before="120"/>
        <w:ind w:left="-900"/>
        <w:rPr>
          <w:rFonts w:ascii="Times New Roman" w:hAnsi="Times New Roman" w:cs="Times New Roman"/>
          <w:b/>
          <w:bCs/>
          <w:sz w:val="20"/>
          <w:szCs w:val="20"/>
        </w:rPr>
      </w:pPr>
      <w:r w:rsidRPr="0025078E">
        <w:rPr>
          <w:rFonts w:ascii="Times New Roman" w:hAnsi="Times New Roman" w:cs="Times New Roman"/>
          <w:b/>
          <w:bCs/>
          <w:sz w:val="20"/>
          <w:szCs w:val="20"/>
        </w:rPr>
        <w:t>2. Seznam návrhů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080"/>
        <w:gridCol w:w="540"/>
        <w:gridCol w:w="9360"/>
        <w:gridCol w:w="1440"/>
        <w:gridCol w:w="1440"/>
        <w:gridCol w:w="1260"/>
      </w:tblGrid>
      <w:tr w:rsidR="0074080B" w:rsidRPr="0025078E" w:rsidTr="001D336E">
        <w:trPr>
          <w:cantSplit/>
        </w:trPr>
        <w:tc>
          <w:tcPr>
            <w:tcW w:w="720" w:type="dxa"/>
            <w:vAlign w:val="center"/>
          </w:tcPr>
          <w:p w:rsidR="0074080B" w:rsidRPr="0025078E" w:rsidRDefault="0074080B" w:rsidP="001D336E">
            <w:pPr>
              <w:rPr>
                <w:rFonts w:ascii="Times New Roman" w:hAnsi="Times New Roman" w:cs="Times New Roman"/>
                <w:sz w:val="20"/>
                <w:szCs w:val="20"/>
              </w:rPr>
            </w:pPr>
            <w:proofErr w:type="spellStart"/>
            <w:r w:rsidRPr="0025078E">
              <w:rPr>
                <w:rFonts w:ascii="Times New Roman" w:hAnsi="Times New Roman" w:cs="Times New Roman"/>
                <w:sz w:val="20"/>
                <w:szCs w:val="20"/>
              </w:rPr>
              <w:t>Poř</w:t>
            </w:r>
            <w:proofErr w:type="spellEnd"/>
            <w:r w:rsidRPr="0025078E">
              <w:rPr>
                <w:rFonts w:ascii="Times New Roman" w:hAnsi="Times New Roman" w:cs="Times New Roman"/>
                <w:sz w:val="20"/>
                <w:szCs w:val="20"/>
              </w:rPr>
              <w:t>. č.</w:t>
            </w:r>
          </w:p>
        </w:tc>
        <w:tc>
          <w:tcPr>
            <w:tcW w:w="1080" w:type="dxa"/>
            <w:vAlign w:val="center"/>
          </w:tcPr>
          <w:p w:rsidR="0074080B" w:rsidRPr="0025078E" w:rsidRDefault="0074080B" w:rsidP="001D336E">
            <w:pPr>
              <w:ind w:left="20" w:hanging="52"/>
              <w:rPr>
                <w:rFonts w:ascii="Times New Roman" w:hAnsi="Times New Roman" w:cs="Times New Roman"/>
                <w:sz w:val="20"/>
                <w:szCs w:val="20"/>
              </w:rPr>
            </w:pPr>
            <w:r w:rsidRPr="0025078E">
              <w:rPr>
                <w:rFonts w:ascii="Times New Roman" w:hAnsi="Times New Roman" w:cs="Times New Roman"/>
                <w:sz w:val="20"/>
                <w:szCs w:val="20"/>
              </w:rPr>
              <w:t>Předkladatel</w:t>
            </w:r>
          </w:p>
        </w:tc>
        <w:tc>
          <w:tcPr>
            <w:tcW w:w="540" w:type="dxa"/>
            <w:vAlign w:val="center"/>
          </w:tcPr>
          <w:p w:rsidR="0074080B" w:rsidRPr="0025078E" w:rsidRDefault="0074080B" w:rsidP="001D336E">
            <w:pPr>
              <w:rPr>
                <w:rFonts w:ascii="Times New Roman" w:hAnsi="Times New Roman" w:cs="Times New Roman"/>
                <w:sz w:val="20"/>
                <w:szCs w:val="20"/>
              </w:rPr>
            </w:pPr>
            <w:r w:rsidRPr="0025078E">
              <w:rPr>
                <w:rFonts w:ascii="Times New Roman" w:hAnsi="Times New Roman" w:cs="Times New Roman"/>
                <w:sz w:val="20"/>
                <w:szCs w:val="20"/>
              </w:rPr>
              <w:t>Číslo ID</w:t>
            </w:r>
          </w:p>
        </w:tc>
        <w:tc>
          <w:tcPr>
            <w:tcW w:w="9360" w:type="dxa"/>
            <w:vAlign w:val="center"/>
          </w:tcPr>
          <w:p w:rsidR="0074080B" w:rsidRPr="0025078E" w:rsidRDefault="0074080B" w:rsidP="001D336E">
            <w:pPr>
              <w:rPr>
                <w:rFonts w:ascii="Times New Roman" w:hAnsi="Times New Roman" w:cs="Times New Roman"/>
                <w:sz w:val="20"/>
                <w:szCs w:val="20"/>
              </w:rPr>
            </w:pPr>
            <w:r w:rsidRPr="0025078E">
              <w:rPr>
                <w:rFonts w:ascii="Times New Roman" w:hAnsi="Times New Roman" w:cs="Times New Roman"/>
                <w:sz w:val="20"/>
                <w:szCs w:val="20"/>
              </w:rPr>
              <w:t>Název návrhu předpisu</w:t>
            </w:r>
          </w:p>
        </w:tc>
        <w:tc>
          <w:tcPr>
            <w:tcW w:w="1440" w:type="dxa"/>
            <w:vAlign w:val="center"/>
          </w:tcPr>
          <w:p w:rsidR="0074080B" w:rsidRPr="0025078E" w:rsidRDefault="0074080B" w:rsidP="001D336E">
            <w:pPr>
              <w:ind w:left="95"/>
              <w:rPr>
                <w:rFonts w:ascii="Times New Roman" w:hAnsi="Times New Roman" w:cs="Times New Roman"/>
                <w:sz w:val="20"/>
                <w:szCs w:val="20"/>
              </w:rPr>
            </w:pPr>
            <w:r w:rsidRPr="0025078E">
              <w:rPr>
                <w:rFonts w:ascii="Times New Roman" w:hAnsi="Times New Roman" w:cs="Times New Roman"/>
                <w:sz w:val="20"/>
                <w:szCs w:val="20"/>
              </w:rPr>
              <w:t>Datum zahájení prací na návrhu</w:t>
            </w:r>
          </w:p>
        </w:tc>
        <w:tc>
          <w:tcPr>
            <w:tcW w:w="1440" w:type="dxa"/>
            <w:vAlign w:val="center"/>
          </w:tcPr>
          <w:p w:rsidR="0074080B" w:rsidRPr="0025078E" w:rsidRDefault="0074080B" w:rsidP="001D336E">
            <w:pPr>
              <w:rPr>
                <w:rFonts w:ascii="Times New Roman" w:hAnsi="Times New Roman" w:cs="Times New Roman"/>
                <w:sz w:val="20"/>
                <w:szCs w:val="20"/>
              </w:rPr>
            </w:pPr>
            <w:r w:rsidRPr="0025078E">
              <w:rPr>
                <w:rFonts w:ascii="Times New Roman" w:hAnsi="Times New Roman" w:cs="Times New Roman"/>
                <w:sz w:val="20"/>
                <w:szCs w:val="20"/>
              </w:rPr>
              <w:t>Předpokládané datum předložení vládě</w:t>
            </w:r>
          </w:p>
        </w:tc>
        <w:tc>
          <w:tcPr>
            <w:tcW w:w="1260" w:type="dxa"/>
            <w:vAlign w:val="center"/>
          </w:tcPr>
          <w:p w:rsidR="0074080B" w:rsidRPr="0025078E" w:rsidRDefault="0074080B" w:rsidP="001D336E">
            <w:pPr>
              <w:rPr>
                <w:rFonts w:ascii="Times New Roman" w:hAnsi="Times New Roman" w:cs="Times New Roman"/>
                <w:sz w:val="20"/>
                <w:szCs w:val="20"/>
              </w:rPr>
            </w:pPr>
            <w:r w:rsidRPr="0025078E">
              <w:rPr>
                <w:rFonts w:ascii="Times New Roman" w:hAnsi="Times New Roman" w:cs="Times New Roman"/>
                <w:sz w:val="20"/>
                <w:szCs w:val="20"/>
              </w:rPr>
              <w:t>Předpokládané datum nabytí účinnosti</w:t>
            </w:r>
          </w:p>
        </w:tc>
      </w:tr>
      <w:tr w:rsidR="0074080B" w:rsidRPr="0025078E" w:rsidTr="001D336E">
        <w:trPr>
          <w:cantSplit/>
        </w:trPr>
        <w:tc>
          <w:tcPr>
            <w:tcW w:w="720" w:type="dxa"/>
          </w:tcPr>
          <w:p w:rsidR="0074080B" w:rsidRPr="0025078E" w:rsidRDefault="0074080B" w:rsidP="001D336E">
            <w:pPr>
              <w:jc w:val="center"/>
              <w:rPr>
                <w:rFonts w:ascii="Times New Roman" w:hAnsi="Times New Roman" w:cs="Times New Roman"/>
                <w:sz w:val="20"/>
                <w:szCs w:val="20"/>
              </w:rPr>
            </w:pPr>
          </w:p>
        </w:tc>
        <w:tc>
          <w:tcPr>
            <w:tcW w:w="1080" w:type="dxa"/>
          </w:tcPr>
          <w:p w:rsidR="0074080B" w:rsidRPr="0025078E" w:rsidRDefault="0074080B" w:rsidP="001D336E">
            <w:pPr>
              <w:rPr>
                <w:rFonts w:ascii="Times New Roman" w:hAnsi="Times New Roman" w:cs="Times New Roman"/>
                <w:sz w:val="20"/>
                <w:szCs w:val="20"/>
              </w:rPr>
            </w:pPr>
          </w:p>
        </w:tc>
        <w:tc>
          <w:tcPr>
            <w:tcW w:w="540" w:type="dxa"/>
          </w:tcPr>
          <w:p w:rsidR="0074080B" w:rsidRPr="0025078E" w:rsidRDefault="0074080B" w:rsidP="001D336E">
            <w:pPr>
              <w:rPr>
                <w:rFonts w:ascii="Times New Roman" w:hAnsi="Times New Roman" w:cs="Times New Roman"/>
                <w:sz w:val="20"/>
                <w:szCs w:val="20"/>
              </w:rPr>
            </w:pPr>
          </w:p>
        </w:tc>
        <w:tc>
          <w:tcPr>
            <w:tcW w:w="9360" w:type="dxa"/>
          </w:tcPr>
          <w:p w:rsidR="0074080B" w:rsidRPr="0025078E" w:rsidRDefault="0074080B" w:rsidP="001D336E">
            <w:pPr>
              <w:rPr>
                <w:rFonts w:ascii="Times New Roman" w:hAnsi="Times New Roman" w:cs="Times New Roman"/>
                <w:sz w:val="20"/>
                <w:szCs w:val="20"/>
              </w:rPr>
            </w:pPr>
          </w:p>
        </w:tc>
        <w:tc>
          <w:tcPr>
            <w:tcW w:w="1440" w:type="dxa"/>
          </w:tcPr>
          <w:p w:rsidR="0074080B" w:rsidRPr="0025078E" w:rsidRDefault="0074080B" w:rsidP="001D336E">
            <w:pPr>
              <w:rPr>
                <w:rFonts w:ascii="Times New Roman" w:hAnsi="Times New Roman" w:cs="Times New Roman"/>
                <w:sz w:val="20"/>
                <w:szCs w:val="20"/>
              </w:rPr>
            </w:pPr>
          </w:p>
        </w:tc>
        <w:tc>
          <w:tcPr>
            <w:tcW w:w="1440" w:type="dxa"/>
          </w:tcPr>
          <w:p w:rsidR="0074080B" w:rsidRPr="0025078E" w:rsidRDefault="0074080B" w:rsidP="001D336E">
            <w:pPr>
              <w:rPr>
                <w:rFonts w:ascii="Times New Roman" w:hAnsi="Times New Roman" w:cs="Times New Roman"/>
                <w:sz w:val="20"/>
                <w:szCs w:val="20"/>
              </w:rPr>
            </w:pPr>
          </w:p>
        </w:tc>
        <w:tc>
          <w:tcPr>
            <w:tcW w:w="1260" w:type="dxa"/>
          </w:tcPr>
          <w:p w:rsidR="0074080B" w:rsidRPr="0025078E" w:rsidRDefault="0074080B" w:rsidP="001D336E">
            <w:pPr>
              <w:rPr>
                <w:rFonts w:ascii="Times New Roman" w:hAnsi="Times New Roman" w:cs="Times New Roman"/>
                <w:sz w:val="20"/>
                <w:szCs w:val="20"/>
              </w:rPr>
            </w:pPr>
          </w:p>
        </w:tc>
      </w:tr>
      <w:tr w:rsidR="0074080B" w:rsidRPr="0025078E" w:rsidTr="001D336E">
        <w:trPr>
          <w:cantSplit/>
        </w:trPr>
        <w:tc>
          <w:tcPr>
            <w:tcW w:w="720" w:type="dxa"/>
          </w:tcPr>
          <w:p w:rsidR="0074080B" w:rsidRPr="0025078E" w:rsidRDefault="0074080B" w:rsidP="001D336E">
            <w:pPr>
              <w:jc w:val="center"/>
              <w:rPr>
                <w:rFonts w:ascii="Times New Roman" w:hAnsi="Times New Roman" w:cs="Times New Roman"/>
                <w:sz w:val="20"/>
                <w:szCs w:val="20"/>
              </w:rPr>
            </w:pPr>
          </w:p>
        </w:tc>
        <w:tc>
          <w:tcPr>
            <w:tcW w:w="1080" w:type="dxa"/>
          </w:tcPr>
          <w:p w:rsidR="0074080B" w:rsidRPr="0025078E" w:rsidRDefault="0074080B" w:rsidP="001D336E">
            <w:pPr>
              <w:rPr>
                <w:rFonts w:ascii="Times New Roman" w:hAnsi="Times New Roman" w:cs="Times New Roman"/>
                <w:sz w:val="20"/>
                <w:szCs w:val="20"/>
              </w:rPr>
            </w:pPr>
          </w:p>
        </w:tc>
        <w:tc>
          <w:tcPr>
            <w:tcW w:w="540" w:type="dxa"/>
          </w:tcPr>
          <w:p w:rsidR="0074080B" w:rsidRPr="0025078E" w:rsidRDefault="0074080B" w:rsidP="001D336E">
            <w:pPr>
              <w:rPr>
                <w:rFonts w:ascii="Times New Roman" w:hAnsi="Times New Roman" w:cs="Times New Roman"/>
                <w:sz w:val="20"/>
                <w:szCs w:val="20"/>
              </w:rPr>
            </w:pPr>
          </w:p>
        </w:tc>
        <w:tc>
          <w:tcPr>
            <w:tcW w:w="9360" w:type="dxa"/>
          </w:tcPr>
          <w:p w:rsidR="0074080B" w:rsidRPr="0025078E" w:rsidRDefault="0074080B" w:rsidP="001D336E">
            <w:pPr>
              <w:rPr>
                <w:rFonts w:ascii="Times New Roman" w:hAnsi="Times New Roman" w:cs="Times New Roman"/>
                <w:sz w:val="20"/>
                <w:szCs w:val="20"/>
              </w:rPr>
            </w:pPr>
          </w:p>
        </w:tc>
        <w:tc>
          <w:tcPr>
            <w:tcW w:w="1440" w:type="dxa"/>
          </w:tcPr>
          <w:p w:rsidR="0074080B" w:rsidRPr="0025078E" w:rsidRDefault="0074080B" w:rsidP="001D336E">
            <w:pPr>
              <w:rPr>
                <w:rFonts w:ascii="Times New Roman" w:hAnsi="Times New Roman" w:cs="Times New Roman"/>
                <w:sz w:val="20"/>
                <w:szCs w:val="20"/>
              </w:rPr>
            </w:pPr>
          </w:p>
        </w:tc>
        <w:tc>
          <w:tcPr>
            <w:tcW w:w="1440" w:type="dxa"/>
          </w:tcPr>
          <w:p w:rsidR="0074080B" w:rsidRPr="0025078E" w:rsidRDefault="0074080B" w:rsidP="001D336E">
            <w:pPr>
              <w:rPr>
                <w:rFonts w:ascii="Times New Roman" w:hAnsi="Times New Roman" w:cs="Times New Roman"/>
                <w:sz w:val="20"/>
                <w:szCs w:val="20"/>
              </w:rPr>
            </w:pPr>
          </w:p>
        </w:tc>
        <w:tc>
          <w:tcPr>
            <w:tcW w:w="1260" w:type="dxa"/>
          </w:tcPr>
          <w:p w:rsidR="0074080B" w:rsidRPr="0025078E" w:rsidRDefault="0074080B" w:rsidP="001D336E">
            <w:pPr>
              <w:rPr>
                <w:rFonts w:ascii="Times New Roman" w:hAnsi="Times New Roman" w:cs="Times New Roman"/>
                <w:sz w:val="20"/>
                <w:szCs w:val="20"/>
              </w:rPr>
            </w:pPr>
          </w:p>
        </w:tc>
      </w:tr>
    </w:tbl>
    <w:p w:rsidR="0074080B" w:rsidRPr="0025078E" w:rsidRDefault="0074080B" w:rsidP="0074080B">
      <w:pPr>
        <w:spacing w:before="120"/>
        <w:ind w:left="-900"/>
        <w:rPr>
          <w:rFonts w:ascii="Times New Roman" w:hAnsi="Times New Roman" w:cs="Times New Roman"/>
          <w:sz w:val="20"/>
          <w:szCs w:val="20"/>
        </w:rPr>
      </w:pPr>
      <w:r w:rsidRPr="0025078E">
        <w:rPr>
          <w:rFonts w:ascii="Times New Roman" w:hAnsi="Times New Roman" w:cs="Times New Roman"/>
          <w:b/>
          <w:bCs/>
          <w:sz w:val="20"/>
          <w:szCs w:val="20"/>
        </w:rPr>
        <w:t>3. Poznámky</w:t>
      </w:r>
      <w:r w:rsidRPr="0025078E">
        <w:rPr>
          <w:rStyle w:val="Znakapoznpodarou"/>
          <w:rFonts w:ascii="Times New Roman" w:hAnsi="Times New Roman" w:cs="Times New Roman"/>
          <w:sz w:val="20"/>
          <w:szCs w:val="20"/>
        </w:rPr>
        <w:footnoteReference w:id="16"/>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5120"/>
      </w:tblGrid>
      <w:tr w:rsidR="0074080B" w:rsidRPr="0025078E" w:rsidTr="001D336E">
        <w:tc>
          <w:tcPr>
            <w:tcW w:w="720" w:type="dxa"/>
          </w:tcPr>
          <w:p w:rsidR="0074080B" w:rsidRPr="0025078E" w:rsidRDefault="0074080B" w:rsidP="001D336E">
            <w:pPr>
              <w:rPr>
                <w:rFonts w:ascii="Times New Roman" w:hAnsi="Times New Roman" w:cs="Times New Roman"/>
                <w:sz w:val="20"/>
                <w:szCs w:val="20"/>
              </w:rPr>
            </w:pPr>
            <w:proofErr w:type="spellStart"/>
            <w:proofErr w:type="gramStart"/>
            <w:r w:rsidRPr="0025078E">
              <w:rPr>
                <w:rFonts w:ascii="Times New Roman" w:hAnsi="Times New Roman" w:cs="Times New Roman"/>
                <w:sz w:val="20"/>
                <w:szCs w:val="20"/>
              </w:rPr>
              <w:t>Poř.č</w:t>
            </w:r>
            <w:proofErr w:type="spellEnd"/>
            <w:r w:rsidRPr="0025078E">
              <w:rPr>
                <w:rFonts w:ascii="Times New Roman" w:hAnsi="Times New Roman" w:cs="Times New Roman"/>
                <w:sz w:val="20"/>
                <w:szCs w:val="20"/>
              </w:rPr>
              <w:t>.</w:t>
            </w:r>
            <w:proofErr w:type="gramEnd"/>
          </w:p>
        </w:tc>
        <w:tc>
          <w:tcPr>
            <w:tcW w:w="15120" w:type="dxa"/>
          </w:tcPr>
          <w:p w:rsidR="0074080B" w:rsidRPr="0025078E" w:rsidRDefault="0074080B" w:rsidP="001D336E">
            <w:pPr>
              <w:jc w:val="center"/>
              <w:rPr>
                <w:rFonts w:ascii="Times New Roman" w:hAnsi="Times New Roman" w:cs="Times New Roman"/>
                <w:sz w:val="20"/>
                <w:szCs w:val="20"/>
              </w:rPr>
            </w:pPr>
            <w:r w:rsidRPr="0025078E">
              <w:rPr>
                <w:rFonts w:ascii="Times New Roman" w:hAnsi="Times New Roman" w:cs="Times New Roman"/>
                <w:sz w:val="20"/>
                <w:szCs w:val="20"/>
              </w:rPr>
              <w:t>Text poznámky</w:t>
            </w:r>
          </w:p>
        </w:tc>
      </w:tr>
      <w:tr w:rsidR="0074080B" w:rsidRPr="0025078E" w:rsidTr="001D336E">
        <w:tc>
          <w:tcPr>
            <w:tcW w:w="720" w:type="dxa"/>
          </w:tcPr>
          <w:p w:rsidR="0074080B" w:rsidRPr="0025078E" w:rsidRDefault="0074080B" w:rsidP="001D336E">
            <w:pPr>
              <w:jc w:val="center"/>
              <w:rPr>
                <w:rFonts w:ascii="Times New Roman" w:hAnsi="Times New Roman" w:cs="Times New Roman"/>
                <w:sz w:val="20"/>
                <w:szCs w:val="20"/>
              </w:rPr>
            </w:pPr>
          </w:p>
        </w:tc>
        <w:tc>
          <w:tcPr>
            <w:tcW w:w="15120" w:type="dxa"/>
          </w:tcPr>
          <w:p w:rsidR="0074080B" w:rsidRPr="0025078E" w:rsidRDefault="0074080B" w:rsidP="001D336E">
            <w:pPr>
              <w:rPr>
                <w:rFonts w:ascii="Times New Roman" w:hAnsi="Times New Roman" w:cs="Times New Roman"/>
                <w:sz w:val="20"/>
                <w:szCs w:val="20"/>
              </w:rPr>
            </w:pPr>
          </w:p>
        </w:tc>
      </w:tr>
      <w:tr w:rsidR="0074080B" w:rsidRPr="0025078E" w:rsidTr="001D336E">
        <w:tc>
          <w:tcPr>
            <w:tcW w:w="720" w:type="dxa"/>
          </w:tcPr>
          <w:p w:rsidR="0074080B" w:rsidRPr="0025078E" w:rsidRDefault="0074080B" w:rsidP="001D336E">
            <w:pPr>
              <w:jc w:val="center"/>
              <w:rPr>
                <w:rFonts w:ascii="Times New Roman" w:hAnsi="Times New Roman" w:cs="Times New Roman"/>
                <w:sz w:val="20"/>
                <w:szCs w:val="20"/>
              </w:rPr>
            </w:pPr>
          </w:p>
        </w:tc>
        <w:tc>
          <w:tcPr>
            <w:tcW w:w="15120" w:type="dxa"/>
          </w:tcPr>
          <w:p w:rsidR="0074080B" w:rsidRPr="0025078E" w:rsidRDefault="0074080B" w:rsidP="001D336E">
            <w:pPr>
              <w:rPr>
                <w:rFonts w:ascii="Times New Roman" w:hAnsi="Times New Roman" w:cs="Times New Roman"/>
                <w:sz w:val="20"/>
                <w:szCs w:val="20"/>
              </w:rPr>
            </w:pPr>
          </w:p>
        </w:tc>
      </w:tr>
    </w:tbl>
    <w:p w:rsidR="0074080B" w:rsidRPr="0025078E" w:rsidRDefault="0074080B">
      <w:pPr>
        <w:rPr>
          <w:rFonts w:ascii="Times New Roman" w:hAnsi="Times New Roman" w:cs="Times New Roman"/>
          <w:sz w:val="20"/>
          <w:szCs w:val="20"/>
        </w:rPr>
      </w:pPr>
    </w:p>
    <w:sectPr w:rsidR="0074080B" w:rsidRPr="0025078E" w:rsidSect="00226C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5E1" w:rsidRDefault="00EE05E1" w:rsidP="00EE1BC4">
      <w:pPr>
        <w:spacing w:after="0" w:line="240" w:lineRule="auto"/>
      </w:pPr>
      <w:r>
        <w:separator/>
      </w:r>
    </w:p>
  </w:endnote>
  <w:endnote w:type="continuationSeparator" w:id="0">
    <w:p w:rsidR="00EE05E1" w:rsidRDefault="00EE05E1" w:rsidP="00EE1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5E1" w:rsidRDefault="00EE05E1" w:rsidP="00EE1BC4">
      <w:pPr>
        <w:spacing w:after="0" w:line="240" w:lineRule="auto"/>
      </w:pPr>
      <w:r>
        <w:separator/>
      </w:r>
    </w:p>
  </w:footnote>
  <w:footnote w:type="continuationSeparator" w:id="0">
    <w:p w:rsidR="00EE05E1" w:rsidRDefault="00EE05E1" w:rsidP="00EE1BC4">
      <w:pPr>
        <w:spacing w:after="0" w:line="240" w:lineRule="auto"/>
      </w:pPr>
      <w:r>
        <w:continuationSeparator/>
      </w:r>
    </w:p>
  </w:footnote>
  <w:footnote w:id="1">
    <w:p w:rsidR="00EE05E1" w:rsidRPr="000C57F7" w:rsidRDefault="00EE05E1" w:rsidP="00D34B59">
      <w:pPr>
        <w:pStyle w:val="Textpoznpodarou"/>
        <w:tabs>
          <w:tab w:val="clear" w:pos="425"/>
          <w:tab w:val="left" w:pos="0"/>
        </w:tabs>
        <w:ind w:left="0" w:firstLine="0"/>
      </w:pPr>
      <w:r w:rsidRPr="000C57F7">
        <w:rPr>
          <w:rStyle w:val="Znakapoznpodarou"/>
        </w:rPr>
        <w:t>2)</w:t>
      </w:r>
      <w:r w:rsidRPr="000C57F7" w:rsidDel="00374CBC">
        <w:t xml:space="preserve"> Čl. 3 odst. 1 směrnice Rady 2011/85/EU ze dne 8. listopadu 2011 o požadavcích na rozpočtové rámce členských států.</w:t>
      </w:r>
    </w:p>
  </w:footnote>
  <w:footnote w:id="2">
    <w:p w:rsidR="00EE05E1" w:rsidRPr="000C57F7" w:rsidRDefault="00EE05E1" w:rsidP="00923FE8">
      <w:pPr>
        <w:pStyle w:val="Textpoznpodarou"/>
        <w:ind w:left="0" w:firstLine="0"/>
      </w:pPr>
      <w:r w:rsidRPr="000C57F7">
        <w:rPr>
          <w:rStyle w:val="Znakapoznpodarou"/>
        </w:rPr>
        <w:t>4)</w:t>
      </w:r>
      <w:r w:rsidRPr="000C57F7">
        <w:t xml:space="preserve"> Například čl. 32 nařízení Komise v přenesené pravomoci (EU) č. 1268/2012 ze dne 29. října 2012 o prováděcích pravidlech k nařízení Evropského parlamentu a Rady (EU, Euratom) č. 966/2012, kterým se stanoví finanční pravidla o souhrnném rozpočtu Unie.</w:t>
      </w:r>
    </w:p>
  </w:footnote>
  <w:footnote w:id="3">
    <w:p w:rsidR="00EE05E1" w:rsidRPr="000C57F7" w:rsidRDefault="00EE05E1" w:rsidP="00AC71FE">
      <w:pPr>
        <w:pStyle w:val="Textpoznpodarou"/>
        <w:tabs>
          <w:tab w:val="clear" w:pos="425"/>
          <w:tab w:val="left" w:pos="0"/>
        </w:tabs>
        <w:ind w:left="0" w:firstLine="0"/>
      </w:pPr>
      <w:r w:rsidRPr="000C57F7">
        <w:rPr>
          <w:rStyle w:val="Znakapoznpodarou"/>
        </w:rPr>
        <w:t>1)</w:t>
      </w:r>
      <w:r w:rsidRPr="000C57F7">
        <w:t xml:space="preserve"> Například nařízení Evropského parlamentu a Rady (EU, Euratom) č. 966/2012 ze dne 25. října 2012, kterým se stanoví finanční pravidla o souhrnném rozpočtu</w:t>
      </w:r>
      <w:r w:rsidR="008F01AD" w:rsidRPr="000C57F7">
        <w:t xml:space="preserve"> Unie</w:t>
      </w:r>
      <w:r w:rsidRPr="000C57F7">
        <w:t xml:space="preserve"> a o zrušení nařízení Rady (ES, Euratom) č. 1605/2002, v platném znění,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footnote>
  <w:footnote w:id="4">
    <w:p w:rsidR="00EE05E1" w:rsidRPr="000C57F7" w:rsidRDefault="00EE05E1" w:rsidP="00CC46CF">
      <w:pPr>
        <w:pStyle w:val="Textpoznpodarou"/>
        <w:ind w:left="0" w:firstLine="0"/>
      </w:pPr>
      <w:r w:rsidRPr="000C57F7">
        <w:rPr>
          <w:rStyle w:val="Znakapoznpodarou"/>
        </w:rPr>
        <w:t>6)</w:t>
      </w:r>
      <w:r w:rsidRPr="000C57F7">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5">
    <w:p w:rsidR="00EE05E1" w:rsidRPr="000C57F7" w:rsidRDefault="00EE05E1" w:rsidP="00A84726">
      <w:pPr>
        <w:pStyle w:val="Textpoznpodarou"/>
        <w:ind w:left="0" w:firstLine="0"/>
      </w:pPr>
      <w:r w:rsidRPr="000C57F7">
        <w:rPr>
          <w:rStyle w:val="Znakapoznpodarou"/>
        </w:rPr>
        <w:t>6)</w:t>
      </w:r>
      <w:r w:rsidRPr="000C57F7">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6">
    <w:p w:rsidR="00EE05E1" w:rsidRPr="000C57F7" w:rsidRDefault="00EE05E1" w:rsidP="00024418">
      <w:pPr>
        <w:pStyle w:val="Textpoznpodarou"/>
        <w:ind w:left="0" w:firstLine="0"/>
      </w:pPr>
      <w:r w:rsidRPr="000C57F7">
        <w:rPr>
          <w:rStyle w:val="Znakapoznpodarou"/>
        </w:rPr>
        <w:t>6)</w:t>
      </w:r>
      <w:r w:rsidRPr="000C57F7">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7">
    <w:p w:rsidR="00EE05E1" w:rsidRPr="000C57F7" w:rsidRDefault="00EE05E1" w:rsidP="00EE05E1">
      <w:pPr>
        <w:pStyle w:val="Textpoznpodarou"/>
        <w:ind w:left="0" w:firstLine="0"/>
      </w:pPr>
      <w:r w:rsidRPr="000C57F7">
        <w:rPr>
          <w:rStyle w:val="Znakapoznpodarou"/>
        </w:rPr>
        <w:t>3)</w:t>
      </w:r>
      <w:r w:rsidRPr="000C57F7">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nařízení Evropského parlamentu a Rady (EU) č. 129</w:t>
      </w:r>
      <w:r w:rsidR="00AC7FEA" w:rsidRPr="000C57F7">
        <w:t>9/2013 ze dne 17. prosince 2013</w:t>
      </w:r>
      <w:r w:rsidRPr="000C57F7">
        <w:t xml:space="preserve"> o zvláštních ustanoveních, týkajících se podpory z Evropského fondu pro regionální rozvoj pro cíl Evropská územní spolupráce, nařízení Evropského parlamentu a Rady (EU) č. 1300</w:t>
      </w:r>
      <w:r w:rsidR="00AC7FEA" w:rsidRPr="000C57F7">
        <w:t>/2013  ze dne 17. prosince 2013</w:t>
      </w:r>
      <w:r w:rsidRPr="000C57F7">
        <w:t xml:space="preserve"> o Fondu soudržnosti a </w:t>
      </w:r>
      <w:r w:rsidR="00AC7FEA" w:rsidRPr="000C57F7">
        <w:t>o zrušení nařízení Rady (ES) č. </w:t>
      </w:r>
      <w:r w:rsidRPr="000C57F7">
        <w:t>1084/2006, nařízení Evropského parlamentu a Rady (EU) č. 1301/2013 ze dn</w:t>
      </w:r>
      <w:r w:rsidR="000D20EF" w:rsidRPr="000C57F7">
        <w:t>e 17. prosince 2013</w:t>
      </w:r>
      <w:r w:rsidRPr="000C57F7">
        <w:t xml:space="preserve"> o Evropském fondu pro regionální rozvoj, o zvláštních ustanoveních týkajících se cíle Investice pro růst a zaměstnanost a o zrušení nařízení (ES) č. 1080/2006, nařízení Evropského parlamentu a Rady (EU) č. 1302/2013 ze dne 17. prosince 2013, kterým se mění nařízení (ES) č. 1082/2006 o evropském seskupení pro územní spolupráci (ESÚS), pokud jde o vyjasnění, zjednodušení a zlepšení zřizování a fungování takovýchto seskupení, nařízení Evropského parlamentu a Rady (EU) č. 1304/2013 ze dne 1</w:t>
      </w:r>
      <w:r w:rsidR="000D20EF" w:rsidRPr="000C57F7">
        <w:t>7. prosince 2013</w:t>
      </w:r>
      <w:r w:rsidRPr="000C57F7">
        <w:t xml:space="preserve"> o Evropském sociálním fondu a o zrušení nařízení Rady (ES) č. 1081/2006, nařízení Evropského parlamentu a Rady (EU) č. 130</w:t>
      </w:r>
      <w:r w:rsidR="000D20EF" w:rsidRPr="000C57F7">
        <w:t>5/2013 ze dne 17. prosince 2013</w:t>
      </w:r>
      <w:r w:rsidRPr="000C57F7">
        <w:t xml:space="preserve"> o podpoře pro rozvoj venkova z Evropského zemědělského fondu pro rozvoj venkova (EZFRV) a o zrušení nařízení Rady (ES) č. 1698/2005, nařízení Evropského parlamentu a Rady (EU) č. 130</w:t>
      </w:r>
      <w:r w:rsidR="000D20EF" w:rsidRPr="000C57F7">
        <w:t>6/2013 ze dne 17. prosince 2013</w:t>
      </w:r>
      <w:r w:rsidRPr="000C57F7">
        <w:t xml:space="preserve"> o financování, řízení a sledování společné zemědělské politiky a o zrušení nařízení Rady (EHS) č. 352/78, (ES) č. 165/94, (ES) č. 2799/98, (ES) č. 814/2000, (ES) č. 1290/2005 a (ES) č. 485/2008, nařízení Evropského parlamentu a Rady (EU) č. 508/2014 ze dne 15. května 2014 o Evropském námořním a rybářském fondu a o zrušení nařízení Rady (ES) č. 2328/2003, (ES) č. 861/2006, (ES) č. 1198/2006 a (ES) č. 791/2007 a nařízení Evropského parlamentu a Rady (EU) č. 1255/2011, </w:t>
      </w:r>
      <w:r w:rsidR="000D20EF" w:rsidRPr="000C57F7">
        <w:t xml:space="preserve">nařízení EP a Rady (EU) č. 223/2014 ze dne 11. března 2014 o Fondu evropské pomoci nejchudším osobám, </w:t>
      </w:r>
      <w:r w:rsidRPr="000C57F7">
        <w:t xml:space="preserve">nařízení EP a Rady (EU) č. 514/2014 ze dne 16. dubna 2014 o obecných ustanoveních týkajících se Azylového, migračního a integračního fondu a nástroje pro finanční podporu policejní spolupráce, předcházení trestné činnosti, boje proti </w:t>
      </w:r>
      <w:r w:rsidR="00092092" w:rsidRPr="000C57F7">
        <w:t>trestné činnosti a </w:t>
      </w:r>
      <w:r w:rsidR="000D20EF" w:rsidRPr="000C57F7">
        <w:t>řešení krizí</w:t>
      </w:r>
      <w:r w:rsidRPr="000C57F7">
        <w:t>.</w:t>
      </w:r>
    </w:p>
  </w:footnote>
  <w:footnote w:id="8">
    <w:p w:rsidR="00EE05E1" w:rsidRPr="000C57F7" w:rsidRDefault="00EE05E1" w:rsidP="00024418">
      <w:pPr>
        <w:pStyle w:val="Textpoznpodarou"/>
        <w:tabs>
          <w:tab w:val="clear" w:pos="425"/>
          <w:tab w:val="left" w:pos="0"/>
        </w:tabs>
        <w:ind w:left="0" w:firstLine="0"/>
      </w:pPr>
      <w:r w:rsidRPr="000C57F7">
        <w:rPr>
          <w:rStyle w:val="Znakapoznpodarou"/>
        </w:rPr>
        <w:t>1)</w:t>
      </w:r>
      <w:r w:rsidRPr="000C57F7">
        <w:t xml:space="preserve"> Například nařízení Evropského parlamentu a Rady (EU, Euratom) č. 966/2012 ze dne 25. října 2012, kterým se stanoví finanční pravidla o souhrnném rozpočtu </w:t>
      </w:r>
      <w:r w:rsidR="00886D8A" w:rsidRPr="000C57F7">
        <w:t xml:space="preserve">Unie </w:t>
      </w:r>
      <w:r w:rsidRPr="000C57F7">
        <w:t>a o zrušení nařízení Rady (ES, Euratom) č. 1605/2002, v platném znění,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footnote>
  <w:footnote w:id="9">
    <w:p w:rsidR="00EE05E1" w:rsidRPr="000C57F7" w:rsidRDefault="00EE05E1" w:rsidP="00EE05E1">
      <w:pPr>
        <w:pStyle w:val="Textpoznpodarou"/>
        <w:ind w:left="0" w:firstLine="0"/>
      </w:pPr>
      <w:r w:rsidRPr="000C57F7">
        <w:rPr>
          <w:rStyle w:val="Znakapoznpodarou"/>
        </w:rPr>
        <w:t>6)</w:t>
      </w:r>
      <w:r w:rsidRPr="000C57F7">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10">
    <w:p w:rsidR="00EE05E1" w:rsidRPr="000C57F7" w:rsidRDefault="00EE05E1" w:rsidP="00EE05E1">
      <w:pPr>
        <w:pStyle w:val="Textpoznpodarou"/>
        <w:ind w:left="0" w:firstLine="0"/>
      </w:pPr>
      <w:r w:rsidRPr="000C57F7">
        <w:rPr>
          <w:rStyle w:val="Znakapoznpodarou"/>
        </w:rPr>
        <w:t>6)</w:t>
      </w:r>
      <w:r w:rsidRPr="000C57F7">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11">
    <w:p w:rsidR="00EE05E1" w:rsidRPr="000C57F7" w:rsidRDefault="00EE05E1" w:rsidP="00EE05E1">
      <w:pPr>
        <w:pStyle w:val="Textpoznpodarou"/>
        <w:ind w:left="0" w:firstLine="0"/>
      </w:pPr>
      <w:r w:rsidRPr="000C57F7">
        <w:rPr>
          <w:rStyle w:val="Znakapoznpodarou"/>
        </w:rPr>
        <w:t>3)</w:t>
      </w:r>
      <w:r w:rsidRPr="000C57F7">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nařízení Evropského parlamentu a Rady (EU) č. 1299/2013 ze dne 17. prosince 2013, o zvláštních ustanoveních, týkajících se podpory z Evropského fondu pro regionální rozvoj pro cíl Evropská územní spolupráce, nařízení Evropského parlamentu a Rady (EU) č. 1300/2013  ze dne 17. prosince 2013, o Fondu soudržnosti a o zrušení nařízení Rady (ES) č. 1084/2006, nařízení Evropského parlamentu a Rady (EU) č. 1301/2013 ze dne 17. prosince 2013, o Evropském fondu pro regionální rozvoj, o zvláštních ustanoveních týkajících se cíle Investice pro růst a zaměstnanost a o zrušení nařízení (ES) č. 1080/2006, nařízení Evropského parlamentu a Rady (EU) č. 1302/2013 ze dne 17. prosince 2013, kterým se mění nařízení (ES) č. 1082/2006 o evropském seskupení pro územní spolupráci (ESÚS), pokud jde o vyjasnění, zjednodušení a zlepšení zřizování a fungování takovýchto seskupení, nařízení Evropského parlamentu a Rady (EU) č. 1304/2013 ze dne 17. prosince 2013, o Evropském sociálním fondu a o zrušení nařízení Rady (ES) č. 1081/2006, nařízení Evropského parlamentu a Rady (EU) č. 1305/2013 ze dne 17. prosince 2013, o podpoře pro rozvoj venkova z Evropského zemědělského fondu pro rozvoj venkova (EZFRV) a o zrušení nařízení Rady (ES) č. 1698/2005, nařízení Evropského parlamentu a Rady (EU) č. 1306/2013 ze dne 17. prosince 2013, o financování, řízení a sledování společné zemědělské politiky a o zrušení nařízení Rady (EHS) č. 352/78, (ES) č. 165/94, (ES) č. 2799/98, (ES) č. 814/2000, (ES) č. 1290/2005 a (ES) č. 485/2008, nařízení Evropského parlamentu a Rady (EU) č. 508/2014 ze dne 15. května 2014 o Evropském námořním a rybářském fondu a o zrušení nařízení Rady (ES) č. 2328/2003, (ES) č. 861/2006, (ES) č. 1198/2006 a (ES) č. 791/2007 a nařízení Evropského parlamentu a Rady (EU) č. 1255/2011, nařízení EP a Rady (EU) č. 514/2014 ze dne 16. dubna 2014 o obecných ustanoveních týkajících se Azylového, migračního a integračního fondu a nástroje pro finanční podporu policejní spolupráce, předcházení trestné činnosti, boje proti trestné činnosti a řešení krizí, nařízení EP a Rady (EU) č. 223/2014 ze dne 11. března 2014 o Fondu evropské pomoci nejchudším osobám.</w:t>
      </w:r>
    </w:p>
  </w:footnote>
  <w:footnote w:id="12">
    <w:p w:rsidR="00EE05E1" w:rsidRPr="000C57F7" w:rsidRDefault="00EE05E1" w:rsidP="00EE05E1">
      <w:pPr>
        <w:pStyle w:val="Textpoznpodarou"/>
        <w:ind w:left="0" w:firstLine="0"/>
      </w:pPr>
      <w:r w:rsidRPr="000C57F7">
        <w:rPr>
          <w:rStyle w:val="Znakapoznpodarou"/>
        </w:rPr>
        <w:t>5)</w:t>
      </w:r>
      <w:r w:rsidRPr="000C57F7">
        <w:t xml:space="preserve"> Například čl. 25 nařízení Komise v přenesené pravomoci (EU) č. 480/2014 ze dne 3. března 2014, kterým se doplňuje nařízení Evropského parlamentu a Rady (EU) č. 1303/2013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 v platném znění.</w:t>
      </w:r>
    </w:p>
  </w:footnote>
  <w:footnote w:id="13">
    <w:p w:rsidR="00EE05E1" w:rsidRPr="000C57F7" w:rsidRDefault="00EE05E1" w:rsidP="00EE05E1">
      <w:pPr>
        <w:pStyle w:val="Textpoznpodarou"/>
        <w:ind w:left="0" w:firstLine="0"/>
      </w:pPr>
      <w:r w:rsidRPr="000C57F7">
        <w:rPr>
          <w:rStyle w:val="Znakapoznpodarou"/>
        </w:rPr>
        <w:t>5)</w:t>
      </w:r>
      <w:r w:rsidRPr="000C57F7">
        <w:t xml:space="preserve"> Například čl. 25 nařízení Komise v přenesené pravomoci (EU) č. 480/2014 ze dne 3. března 2014, kterým se doplňuje nařízení Evropského parlamentu a Rady (EU) č. 1303/2013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 v platném znění.</w:t>
      </w:r>
    </w:p>
  </w:footnote>
  <w:footnote w:id="14">
    <w:p w:rsidR="00B7002B" w:rsidRPr="000C57F7" w:rsidRDefault="00B7002B" w:rsidP="00EE05E1">
      <w:pPr>
        <w:pStyle w:val="Textpoznpodarou"/>
        <w:ind w:left="0" w:firstLine="0"/>
      </w:pPr>
      <w:r w:rsidRPr="000C57F7">
        <w:rPr>
          <w:rStyle w:val="Znakapoznpodarou"/>
        </w:rPr>
        <w:t>3)</w:t>
      </w:r>
      <w:r w:rsidRPr="000C57F7">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nařízení Evropského parlamentu a Rady (EU) č. 1299/2013 ze dne 17. prosince 2013, o zvláštních ustanoveních, týkajících se podpory z Evropského fondu pro regionální rozvoj pro cíl Evropská územní spolupráce, nařízení Evropského parlamentu a Rady (EU) č. 1300/2013  ze dne 17. prosince 2013, o Fondu soudržnosti a o zrušení nařízení Rady (ES) č. 1084/2006, nařízení Evropského parlamentu a Rady (EU) č. 1301/2013 ze dne 17. prosince 2013, o Evropském fondu pro regionální rozvoj, o zvláštních ustanoveních týkajících se cíle Investice pro růst a zaměstnanost a o zrušení nařízení (ES) č. 1080/2006, nařízení Evropského parlamentu a Rady (EU) č. 1302/2013 ze dne 17. prosince 2013, kterým se mění nařízení (ES) č. 1082/2006 o evropském seskupení pro územní spolupráci (ESÚS), pokud jde o vyjasnění, zjednodušení a zlepšení zřizování a fungování takovýchto seskupení, nařízení Evropského parlamentu a Rady (EU) č. 1304/2013 ze dne 17. prosince 2013, o Evropském sociálním fondu a o zrušení nařízení Rady (ES) č. 1081/2006, nařízení Evropského parlamentu a Rady (EU) č. 1305/2013 ze dne 17. prosince 2013, o podpoře pro rozvoj venkova z Evropského zemědělského fondu pro rozvoj venkova (EZFRV) a o zrušení nařízení Rady (ES) č. 1698/2005, nařízení Evropského parlamentu a Rady (EU) č. 1306/2013 ze dne 17. prosince 2013, o financování, řízení a sledování společné zemědělské politiky a o zrušení nařízení Rady (EHS) č. 352/78, (ES) č. 165/94, (ES) č. 2799/98, (ES) č. 814/2000, (ES) č. 1290/2005 a (ES) č. 485/2008, nařízení Evropského parlamentu a Rady (EU) č. 508/2014 ze dne 15. května 2014 o Evropském námořním a rybářském fondu a o zrušení nařízení Rady (ES) č. 2328/2003, (ES) č. 861/2006, (ES) č. 1198/2006 a (ES) č. 791/2007 a nařízení Evropského parlamentu a Rady (EU) č. 1255/2011, nařízení EP a Rady (EU) č. 514/2014 ze dne 16. dubna 2014 o obecných ustanoveních týkajících se Azylového, migračního a integračního fondu a nástroje pro finanční podporu policejní spolupráce, předcházení trestné činnosti, boje proti trestné činnosti a řešení krizí, nařízení EP a Rady (EU) č. 223/2014 ze dne 11. března 2014 o Fondu evropské pomoci nejchudším osobám.</w:t>
      </w:r>
    </w:p>
  </w:footnote>
  <w:footnote w:id="15">
    <w:p w:rsidR="00426BF0" w:rsidRPr="000C57F7" w:rsidRDefault="00426BF0" w:rsidP="00426BF0">
      <w:pPr>
        <w:pStyle w:val="Textpoznpodarou"/>
        <w:ind w:left="0" w:firstLine="0"/>
      </w:pPr>
      <w:r w:rsidRPr="000C57F7">
        <w:rPr>
          <w:rStyle w:val="Znakapoznpodarou"/>
        </w:rPr>
        <w:t>4)</w:t>
      </w:r>
      <w:r w:rsidRPr="000C57F7">
        <w:t xml:space="preserve"> Například čl. 32 nařízení Komise v přenesené pravomoci (EU) č. 1268/2012 ze dne 29. října 2012 o prováděcích pravidlech k nařízení Evropského parlamentu a Rady (EU, Euratom) č. 966/2012, kterým se stanoví finanční pravidla o souhrnném rozpočtu Unie.</w:t>
      </w:r>
    </w:p>
  </w:footnote>
  <w:footnote w:id="16">
    <w:p w:rsidR="00EE05E1" w:rsidRPr="000C57F7" w:rsidRDefault="00EE05E1" w:rsidP="0074080B">
      <w:pPr>
        <w:pStyle w:val="Textpoznpodarou"/>
        <w:ind w:left="-720"/>
      </w:pPr>
      <w:r w:rsidRPr="000C57F7">
        <w:rPr>
          <w:rStyle w:val="Znakapoznpodarou"/>
        </w:rPr>
        <w:footnoteRef/>
      </w:r>
      <w:r w:rsidRPr="000C57F7">
        <w:t xml:space="preserve"> V případě rozsáhlejší poznámky uveďte ve sloupci „Poznámka“ pouze pořadové číslo a text poznámky uveďte v této tabulce.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
    <w:nsid w:val="57A06302"/>
    <w:multiLevelType w:val="hybridMultilevel"/>
    <w:tmpl w:val="EE68AC8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AAF1A1F"/>
    <w:multiLevelType w:val="multilevel"/>
    <w:tmpl w:val="29F293A8"/>
    <w:lvl w:ilvl="0">
      <w:start w:val="1"/>
      <w:numFmt w:val="decimal"/>
      <w:pStyle w:val="Textodstavce"/>
      <w:isLgl/>
      <w:lvlText w:val="(%1)"/>
      <w:lvlJc w:val="left"/>
      <w:pPr>
        <w:tabs>
          <w:tab w:val="num" w:pos="926"/>
        </w:tabs>
        <w:ind w:firstLine="425"/>
      </w:pPr>
      <w:rPr>
        <w:b w:val="0"/>
      </w:rPr>
    </w:lvl>
    <w:lvl w:ilvl="1">
      <w:start w:val="1"/>
      <w:numFmt w:val="lowerLetter"/>
      <w:pStyle w:val="Textpsmene"/>
      <w:lvlText w:val="%2)"/>
      <w:lvlJc w:val="left"/>
      <w:pPr>
        <w:tabs>
          <w:tab w:val="num" w:pos="425"/>
        </w:tabs>
        <w:ind w:left="425" w:hanging="425"/>
      </w:pPr>
      <w:rPr>
        <w:rFonts w:ascii="Times New Roman" w:eastAsia="Times New Roman" w:hAnsi="Times New Roman" w:cs="Times New Roman"/>
      </w:rPr>
    </w:lvl>
    <w:lvl w:ilvl="2">
      <w:start w:val="1"/>
      <w:numFmt w:val="decimal"/>
      <w:pStyle w:val="Textbodu"/>
      <w:isLgl/>
      <w:lvlText w:val="%3."/>
      <w:lvlJc w:val="left"/>
      <w:pPr>
        <w:tabs>
          <w:tab w:val="num" w:pos="994"/>
        </w:tabs>
        <w:ind w:left="994" w:hanging="425"/>
      </w:pPr>
    </w:lvl>
    <w:lvl w:ilvl="3">
      <w:start w:val="1"/>
      <w:numFmt w:val="decimal"/>
      <w:lvlText w:val="(%4)"/>
      <w:lvlJc w:val="left"/>
      <w:pPr>
        <w:tabs>
          <w:tab w:val="num" w:pos="1584"/>
        </w:tabs>
        <w:ind w:left="1584" w:hanging="360"/>
      </w:pPr>
    </w:lvl>
    <w:lvl w:ilvl="4">
      <w:start w:val="1"/>
      <w:numFmt w:val="lowerLetter"/>
      <w:lvlText w:val="(%5)"/>
      <w:lvlJc w:val="left"/>
      <w:pPr>
        <w:tabs>
          <w:tab w:val="num" w:pos="1944"/>
        </w:tabs>
        <w:ind w:left="1944" w:hanging="360"/>
      </w:pPr>
    </w:lvl>
    <w:lvl w:ilvl="5">
      <w:start w:val="1"/>
      <w:numFmt w:val="lowerRoman"/>
      <w:lvlText w:val="(%6)"/>
      <w:lvlJc w:val="left"/>
      <w:pPr>
        <w:tabs>
          <w:tab w:val="num" w:pos="2664"/>
        </w:tabs>
        <w:ind w:left="2304" w:hanging="360"/>
      </w:pPr>
    </w:lvl>
    <w:lvl w:ilvl="6">
      <w:start w:val="1"/>
      <w:numFmt w:val="decimal"/>
      <w:lvlText w:val="%7."/>
      <w:lvlJc w:val="left"/>
      <w:pPr>
        <w:tabs>
          <w:tab w:val="num" w:pos="2664"/>
        </w:tabs>
        <w:ind w:left="2664" w:hanging="360"/>
      </w:pPr>
    </w:lvl>
    <w:lvl w:ilvl="7">
      <w:start w:val="1"/>
      <w:numFmt w:val="lowerLetter"/>
      <w:lvlText w:val="%8."/>
      <w:lvlJc w:val="left"/>
      <w:pPr>
        <w:tabs>
          <w:tab w:val="num" w:pos="3024"/>
        </w:tabs>
        <w:ind w:left="3024" w:hanging="360"/>
      </w:pPr>
    </w:lvl>
    <w:lvl w:ilvl="8">
      <w:start w:val="1"/>
      <w:numFmt w:val="lowerRoman"/>
      <w:lvlText w:val="%9."/>
      <w:lvlJc w:val="left"/>
      <w:pPr>
        <w:tabs>
          <w:tab w:val="num" w:pos="3744"/>
        </w:tabs>
        <w:ind w:left="3384"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CB6"/>
    <w:rsid w:val="00024418"/>
    <w:rsid w:val="0004145E"/>
    <w:rsid w:val="00060A90"/>
    <w:rsid w:val="00092092"/>
    <w:rsid w:val="00092540"/>
    <w:rsid w:val="000A181A"/>
    <w:rsid w:val="000A5258"/>
    <w:rsid w:val="000C57F7"/>
    <w:rsid w:val="000D20EF"/>
    <w:rsid w:val="000E285F"/>
    <w:rsid w:val="00104167"/>
    <w:rsid w:val="001070E5"/>
    <w:rsid w:val="0011711A"/>
    <w:rsid w:val="001356A4"/>
    <w:rsid w:val="00136758"/>
    <w:rsid w:val="00147D20"/>
    <w:rsid w:val="001652F5"/>
    <w:rsid w:val="00165513"/>
    <w:rsid w:val="001706C4"/>
    <w:rsid w:val="001707A3"/>
    <w:rsid w:val="00171C85"/>
    <w:rsid w:val="00176C9F"/>
    <w:rsid w:val="001A713D"/>
    <w:rsid w:val="001B105B"/>
    <w:rsid w:val="001C3207"/>
    <w:rsid w:val="001D336E"/>
    <w:rsid w:val="001E0B8B"/>
    <w:rsid w:val="001E2D6C"/>
    <w:rsid w:val="001E5700"/>
    <w:rsid w:val="001E6100"/>
    <w:rsid w:val="001E6BC3"/>
    <w:rsid w:val="0020604B"/>
    <w:rsid w:val="00212A5F"/>
    <w:rsid w:val="00217187"/>
    <w:rsid w:val="00226CB6"/>
    <w:rsid w:val="0025078E"/>
    <w:rsid w:val="002511FE"/>
    <w:rsid w:val="00252951"/>
    <w:rsid w:val="00264BCA"/>
    <w:rsid w:val="00270A17"/>
    <w:rsid w:val="00290CE8"/>
    <w:rsid w:val="002A6C73"/>
    <w:rsid w:val="002B0E23"/>
    <w:rsid w:val="002D531D"/>
    <w:rsid w:val="002D6904"/>
    <w:rsid w:val="002F52B7"/>
    <w:rsid w:val="00303795"/>
    <w:rsid w:val="00326113"/>
    <w:rsid w:val="00335F78"/>
    <w:rsid w:val="003400CC"/>
    <w:rsid w:val="00350802"/>
    <w:rsid w:val="003630D9"/>
    <w:rsid w:val="00371CB1"/>
    <w:rsid w:val="0037592E"/>
    <w:rsid w:val="003878F6"/>
    <w:rsid w:val="00394ECA"/>
    <w:rsid w:val="003977F9"/>
    <w:rsid w:val="003B1191"/>
    <w:rsid w:val="003C2E06"/>
    <w:rsid w:val="003C3C6A"/>
    <w:rsid w:val="003C6AC9"/>
    <w:rsid w:val="003D6041"/>
    <w:rsid w:val="003E2F84"/>
    <w:rsid w:val="003F3EF2"/>
    <w:rsid w:val="00426BF0"/>
    <w:rsid w:val="00427E63"/>
    <w:rsid w:val="00444CF8"/>
    <w:rsid w:val="004A1F77"/>
    <w:rsid w:val="004B1F53"/>
    <w:rsid w:val="004B3433"/>
    <w:rsid w:val="004B77C6"/>
    <w:rsid w:val="004C16DB"/>
    <w:rsid w:val="004D5ADB"/>
    <w:rsid w:val="004E4798"/>
    <w:rsid w:val="004F175C"/>
    <w:rsid w:val="004F2502"/>
    <w:rsid w:val="004F4F3D"/>
    <w:rsid w:val="00507241"/>
    <w:rsid w:val="00546D96"/>
    <w:rsid w:val="0055033B"/>
    <w:rsid w:val="00552CCA"/>
    <w:rsid w:val="005755B0"/>
    <w:rsid w:val="00590117"/>
    <w:rsid w:val="00593EA8"/>
    <w:rsid w:val="00595043"/>
    <w:rsid w:val="005A08E5"/>
    <w:rsid w:val="005A3685"/>
    <w:rsid w:val="005C5F20"/>
    <w:rsid w:val="006428F3"/>
    <w:rsid w:val="006444EF"/>
    <w:rsid w:val="006466DA"/>
    <w:rsid w:val="0065476F"/>
    <w:rsid w:val="00670F55"/>
    <w:rsid w:val="006B6797"/>
    <w:rsid w:val="006C6401"/>
    <w:rsid w:val="006C78F0"/>
    <w:rsid w:val="006D7A02"/>
    <w:rsid w:val="006E08BF"/>
    <w:rsid w:val="006F6A74"/>
    <w:rsid w:val="0074080B"/>
    <w:rsid w:val="00754C5D"/>
    <w:rsid w:val="00756426"/>
    <w:rsid w:val="00770285"/>
    <w:rsid w:val="00770930"/>
    <w:rsid w:val="007765F7"/>
    <w:rsid w:val="007B2B77"/>
    <w:rsid w:val="0081056D"/>
    <w:rsid w:val="008607E6"/>
    <w:rsid w:val="00866D0F"/>
    <w:rsid w:val="008745D0"/>
    <w:rsid w:val="00876730"/>
    <w:rsid w:val="00886D8A"/>
    <w:rsid w:val="00897E1C"/>
    <w:rsid w:val="008D2224"/>
    <w:rsid w:val="008F01AD"/>
    <w:rsid w:val="008F3DD5"/>
    <w:rsid w:val="00923FE8"/>
    <w:rsid w:val="00932D54"/>
    <w:rsid w:val="00933173"/>
    <w:rsid w:val="00943B04"/>
    <w:rsid w:val="00972D86"/>
    <w:rsid w:val="00992B47"/>
    <w:rsid w:val="009B0B7B"/>
    <w:rsid w:val="009B6D2F"/>
    <w:rsid w:val="009F4875"/>
    <w:rsid w:val="00A104DE"/>
    <w:rsid w:val="00A33005"/>
    <w:rsid w:val="00A34805"/>
    <w:rsid w:val="00A50C52"/>
    <w:rsid w:val="00A6167F"/>
    <w:rsid w:val="00A84726"/>
    <w:rsid w:val="00A92384"/>
    <w:rsid w:val="00AC16EA"/>
    <w:rsid w:val="00AC3D33"/>
    <w:rsid w:val="00AC71FE"/>
    <w:rsid w:val="00AC7FEA"/>
    <w:rsid w:val="00AD51BE"/>
    <w:rsid w:val="00B32F0A"/>
    <w:rsid w:val="00B7002B"/>
    <w:rsid w:val="00B74509"/>
    <w:rsid w:val="00B86231"/>
    <w:rsid w:val="00BE00FF"/>
    <w:rsid w:val="00BE5903"/>
    <w:rsid w:val="00BF6F32"/>
    <w:rsid w:val="00BF7ED4"/>
    <w:rsid w:val="00C30CC2"/>
    <w:rsid w:val="00C32DBA"/>
    <w:rsid w:val="00C37AA4"/>
    <w:rsid w:val="00C53F9A"/>
    <w:rsid w:val="00C71E8F"/>
    <w:rsid w:val="00C777D5"/>
    <w:rsid w:val="00C850E8"/>
    <w:rsid w:val="00C91B93"/>
    <w:rsid w:val="00CA6564"/>
    <w:rsid w:val="00CA6A2E"/>
    <w:rsid w:val="00CC46CF"/>
    <w:rsid w:val="00CD3B9F"/>
    <w:rsid w:val="00CF735D"/>
    <w:rsid w:val="00D121EE"/>
    <w:rsid w:val="00D20B64"/>
    <w:rsid w:val="00D25C7A"/>
    <w:rsid w:val="00D26426"/>
    <w:rsid w:val="00D34B59"/>
    <w:rsid w:val="00D35FE3"/>
    <w:rsid w:val="00D4797B"/>
    <w:rsid w:val="00D55EA3"/>
    <w:rsid w:val="00D9151C"/>
    <w:rsid w:val="00D95AEA"/>
    <w:rsid w:val="00DA20E7"/>
    <w:rsid w:val="00DB283F"/>
    <w:rsid w:val="00DB551E"/>
    <w:rsid w:val="00DD2065"/>
    <w:rsid w:val="00DE1490"/>
    <w:rsid w:val="00DF076A"/>
    <w:rsid w:val="00DF07E4"/>
    <w:rsid w:val="00DF2F8D"/>
    <w:rsid w:val="00E0290C"/>
    <w:rsid w:val="00E04433"/>
    <w:rsid w:val="00E07594"/>
    <w:rsid w:val="00E07E00"/>
    <w:rsid w:val="00E12F60"/>
    <w:rsid w:val="00E212F1"/>
    <w:rsid w:val="00E31759"/>
    <w:rsid w:val="00E4038E"/>
    <w:rsid w:val="00E4060B"/>
    <w:rsid w:val="00E73D94"/>
    <w:rsid w:val="00E77CD2"/>
    <w:rsid w:val="00E94D69"/>
    <w:rsid w:val="00EB262E"/>
    <w:rsid w:val="00EC3167"/>
    <w:rsid w:val="00EE05E1"/>
    <w:rsid w:val="00EE1BC4"/>
    <w:rsid w:val="00F11D63"/>
    <w:rsid w:val="00F15AE4"/>
    <w:rsid w:val="00F30196"/>
    <w:rsid w:val="00F7372E"/>
    <w:rsid w:val="00FB0673"/>
    <w:rsid w:val="00FB711A"/>
    <w:rsid w:val="00FE09A1"/>
    <w:rsid w:val="00FE22B1"/>
    <w:rsid w:val="00FF0FF6"/>
    <w:rsid w:val="00FF18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55E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26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u">
    <w:name w:val="Text bodu"/>
    <w:basedOn w:val="Normln"/>
    <w:rsid w:val="001C3207"/>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link w:val="TextpsmeneChar"/>
    <w:rsid w:val="001C3207"/>
    <w:pPr>
      <w:numPr>
        <w:ilvl w:val="1"/>
        <w:numId w:val="1"/>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rsid w:val="001C3207"/>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character" w:customStyle="1" w:styleId="TextpsmeneChar">
    <w:name w:val="Text písmene Char"/>
    <w:link w:val="Textpsmene"/>
    <w:rsid w:val="001C3207"/>
    <w:rPr>
      <w:rFonts w:ascii="Times New Roman" w:eastAsia="Times New Roman" w:hAnsi="Times New Roman" w:cs="Times New Roman"/>
      <w:sz w:val="24"/>
      <w:szCs w:val="24"/>
      <w:lang w:eastAsia="cs-CZ"/>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1C3207"/>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1C3207"/>
    <w:rPr>
      <w:rFonts w:ascii="Times New Roman" w:eastAsia="Times New Roman" w:hAnsi="Times New Roman" w:cs="Times New Roman"/>
      <w:sz w:val="20"/>
      <w:szCs w:val="20"/>
      <w:lang w:eastAsia="cs-CZ"/>
    </w:rPr>
  </w:style>
  <w:style w:type="character" w:styleId="Znakapoznpodarou">
    <w:name w:val="footnote reference"/>
    <w:rsid w:val="001C3207"/>
    <w:rPr>
      <w:vertAlign w:val="superscript"/>
    </w:rPr>
  </w:style>
  <w:style w:type="character" w:customStyle="1" w:styleId="Nadpis1Char">
    <w:name w:val="Nadpis 1 Char"/>
    <w:basedOn w:val="Standardnpsmoodstavce"/>
    <w:link w:val="Nadpis1"/>
    <w:uiPriority w:val="9"/>
    <w:rsid w:val="00D55EA3"/>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427E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7E63"/>
    <w:rPr>
      <w:rFonts w:ascii="Tahoma" w:hAnsi="Tahoma" w:cs="Tahoma"/>
      <w:sz w:val="16"/>
      <w:szCs w:val="16"/>
    </w:rPr>
  </w:style>
  <w:style w:type="paragraph" w:customStyle="1" w:styleId="Paragraf">
    <w:name w:val="Paragraf"/>
    <w:basedOn w:val="Normln"/>
    <w:next w:val="Textodstavce"/>
    <w:rsid w:val="001D336E"/>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Novelizanbodvpozmn">
    <w:name w:val="Novelizační bod v pozm.n."/>
    <w:basedOn w:val="Normln"/>
    <w:next w:val="Normln"/>
    <w:rsid w:val="001D336E"/>
    <w:pPr>
      <w:keepNext/>
      <w:keepLines/>
      <w:numPr>
        <w:numId w:val="3"/>
      </w:numPr>
      <w:tabs>
        <w:tab w:val="clear" w:pos="851"/>
        <w:tab w:val="left" w:pos="1418"/>
      </w:tabs>
      <w:spacing w:before="240" w:after="0" w:line="240" w:lineRule="auto"/>
      <w:ind w:left="1418" w:hanging="567"/>
      <w:jc w:val="both"/>
    </w:pPr>
    <w:rPr>
      <w:rFonts w:ascii="Times New Roman" w:eastAsia="Times New Roman" w:hAnsi="Times New Roman" w:cs="Times New Roman"/>
      <w:sz w:val="24"/>
      <w:szCs w:val="20"/>
      <w:lang w:eastAsia="cs-CZ"/>
    </w:rPr>
  </w:style>
  <w:style w:type="paragraph" w:customStyle="1" w:styleId="Nadpisparagrafu">
    <w:name w:val="Nadpis paragrafu"/>
    <w:basedOn w:val="Normln"/>
    <w:next w:val="Textodstavce"/>
    <w:rsid w:val="00104167"/>
    <w:pPr>
      <w:keepNext/>
      <w:keepLines/>
      <w:spacing w:before="240" w:after="0" w:line="240" w:lineRule="auto"/>
      <w:jc w:val="center"/>
      <w:outlineLvl w:val="5"/>
    </w:pPr>
    <w:rPr>
      <w:rFonts w:ascii="Times New Roman" w:eastAsia="Times New Roman" w:hAnsi="Times New Roman" w:cs="Times New Roman"/>
      <w:b/>
      <w:bCs/>
      <w:sz w:val="24"/>
      <w:szCs w:val="24"/>
      <w:lang w:eastAsia="cs-CZ"/>
    </w:rPr>
  </w:style>
  <w:style w:type="character" w:customStyle="1" w:styleId="Odkaznapoznpodarou">
    <w:name w:val="Odkaz na pozn. pod čarou"/>
    <w:basedOn w:val="Standardnpsmoodstavce"/>
    <w:rsid w:val="00D34B59"/>
    <w:rPr>
      <w:vertAlign w:val="superscript"/>
    </w:rPr>
  </w:style>
  <w:style w:type="character" w:customStyle="1" w:styleId="TextodstavceChar">
    <w:name w:val="Text odstavce Char"/>
    <w:link w:val="Textodstavce"/>
    <w:locked/>
    <w:rsid w:val="005A08E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55E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26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u">
    <w:name w:val="Text bodu"/>
    <w:basedOn w:val="Normln"/>
    <w:rsid w:val="001C3207"/>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link w:val="TextpsmeneChar"/>
    <w:rsid w:val="001C3207"/>
    <w:pPr>
      <w:numPr>
        <w:ilvl w:val="1"/>
        <w:numId w:val="1"/>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rsid w:val="001C3207"/>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character" w:customStyle="1" w:styleId="TextpsmeneChar">
    <w:name w:val="Text písmene Char"/>
    <w:link w:val="Textpsmene"/>
    <w:rsid w:val="001C3207"/>
    <w:rPr>
      <w:rFonts w:ascii="Times New Roman" w:eastAsia="Times New Roman" w:hAnsi="Times New Roman" w:cs="Times New Roman"/>
      <w:sz w:val="24"/>
      <w:szCs w:val="24"/>
      <w:lang w:eastAsia="cs-CZ"/>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1C3207"/>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1C3207"/>
    <w:rPr>
      <w:rFonts w:ascii="Times New Roman" w:eastAsia="Times New Roman" w:hAnsi="Times New Roman" w:cs="Times New Roman"/>
      <w:sz w:val="20"/>
      <w:szCs w:val="20"/>
      <w:lang w:eastAsia="cs-CZ"/>
    </w:rPr>
  </w:style>
  <w:style w:type="character" w:styleId="Znakapoznpodarou">
    <w:name w:val="footnote reference"/>
    <w:rsid w:val="001C3207"/>
    <w:rPr>
      <w:vertAlign w:val="superscript"/>
    </w:rPr>
  </w:style>
  <w:style w:type="character" w:customStyle="1" w:styleId="Nadpis1Char">
    <w:name w:val="Nadpis 1 Char"/>
    <w:basedOn w:val="Standardnpsmoodstavce"/>
    <w:link w:val="Nadpis1"/>
    <w:uiPriority w:val="9"/>
    <w:rsid w:val="00D55EA3"/>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427E6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7E63"/>
    <w:rPr>
      <w:rFonts w:ascii="Tahoma" w:hAnsi="Tahoma" w:cs="Tahoma"/>
      <w:sz w:val="16"/>
      <w:szCs w:val="16"/>
    </w:rPr>
  </w:style>
  <w:style w:type="paragraph" w:customStyle="1" w:styleId="Paragraf">
    <w:name w:val="Paragraf"/>
    <w:basedOn w:val="Normln"/>
    <w:next w:val="Textodstavce"/>
    <w:rsid w:val="001D336E"/>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Novelizanbodvpozmn">
    <w:name w:val="Novelizační bod v pozm.n."/>
    <w:basedOn w:val="Normln"/>
    <w:next w:val="Normln"/>
    <w:rsid w:val="001D336E"/>
    <w:pPr>
      <w:keepNext/>
      <w:keepLines/>
      <w:numPr>
        <w:numId w:val="3"/>
      </w:numPr>
      <w:tabs>
        <w:tab w:val="clear" w:pos="851"/>
        <w:tab w:val="left" w:pos="1418"/>
      </w:tabs>
      <w:spacing w:before="240" w:after="0" w:line="240" w:lineRule="auto"/>
      <w:ind w:left="1418" w:hanging="567"/>
      <w:jc w:val="both"/>
    </w:pPr>
    <w:rPr>
      <w:rFonts w:ascii="Times New Roman" w:eastAsia="Times New Roman" w:hAnsi="Times New Roman" w:cs="Times New Roman"/>
      <w:sz w:val="24"/>
      <w:szCs w:val="20"/>
      <w:lang w:eastAsia="cs-CZ"/>
    </w:rPr>
  </w:style>
  <w:style w:type="paragraph" w:customStyle="1" w:styleId="Nadpisparagrafu">
    <w:name w:val="Nadpis paragrafu"/>
    <w:basedOn w:val="Normln"/>
    <w:next w:val="Textodstavce"/>
    <w:rsid w:val="00104167"/>
    <w:pPr>
      <w:keepNext/>
      <w:keepLines/>
      <w:spacing w:before="240" w:after="0" w:line="240" w:lineRule="auto"/>
      <w:jc w:val="center"/>
      <w:outlineLvl w:val="5"/>
    </w:pPr>
    <w:rPr>
      <w:rFonts w:ascii="Times New Roman" w:eastAsia="Times New Roman" w:hAnsi="Times New Roman" w:cs="Times New Roman"/>
      <w:b/>
      <w:bCs/>
      <w:sz w:val="24"/>
      <w:szCs w:val="24"/>
      <w:lang w:eastAsia="cs-CZ"/>
    </w:rPr>
  </w:style>
  <w:style w:type="character" w:customStyle="1" w:styleId="Odkaznapoznpodarou">
    <w:name w:val="Odkaz na pozn. pod čarou"/>
    <w:basedOn w:val="Standardnpsmoodstavce"/>
    <w:rsid w:val="00D34B59"/>
    <w:rPr>
      <w:vertAlign w:val="superscript"/>
    </w:rPr>
  </w:style>
  <w:style w:type="character" w:customStyle="1" w:styleId="TextodstavceChar">
    <w:name w:val="Text odstavce Char"/>
    <w:link w:val="Textodstavce"/>
    <w:locked/>
    <w:rsid w:val="005A08E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4F358-0A6F-4CBC-AF20-7C501AA73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40</Pages>
  <Words>8892</Words>
  <Characters>52468</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61238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Kranecová Jana Mgr.</dc:creator>
  <cp:lastModifiedBy>Kapounová Radka Ing.</cp:lastModifiedBy>
  <cp:revision>35</cp:revision>
  <cp:lastPrinted>2016-09-19T08:34:00Z</cp:lastPrinted>
  <dcterms:created xsi:type="dcterms:W3CDTF">2016-09-21T04:06:00Z</dcterms:created>
  <dcterms:modified xsi:type="dcterms:W3CDTF">2016-12-20T06:23:00Z</dcterms:modified>
</cp:coreProperties>
</file>