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23" w:rsidRPr="00E942CD" w:rsidRDefault="00F97F23" w:rsidP="00F97F23">
      <w:pPr>
        <w:tabs>
          <w:tab w:val="left" w:pos="720"/>
        </w:tabs>
        <w:ind w:left="360" w:hanging="360"/>
        <w:jc w:val="center"/>
        <w:rPr>
          <w:rFonts w:ascii="Times New Roman" w:hAnsi="Times New Roman"/>
          <w:b/>
          <w:u w:val="single"/>
        </w:rPr>
      </w:pPr>
      <w:bookmarkStart w:id="0" w:name="_GoBack"/>
      <w:bookmarkEnd w:id="0"/>
      <w:r w:rsidRPr="00E942CD">
        <w:rPr>
          <w:rFonts w:ascii="Times New Roman" w:hAnsi="Times New Roman"/>
          <w:b/>
          <w:u w:val="single"/>
        </w:rPr>
        <w:t xml:space="preserve">Rozdílová tabulka návrhu právního předpisu ČR s předpisy EU </w:t>
      </w:r>
    </w:p>
    <w:p w:rsidR="00F97F23" w:rsidRPr="00E942CD" w:rsidRDefault="00F97F23" w:rsidP="00F97F23">
      <w:pPr>
        <w:tabs>
          <w:tab w:val="left" w:pos="720"/>
        </w:tabs>
        <w:ind w:left="360" w:hanging="360"/>
        <w:jc w:val="center"/>
        <w:rPr>
          <w:rFonts w:ascii="Times New Roman" w:hAnsi="Times New Roman"/>
          <w:b/>
          <w:strike/>
          <w:u w:val="single"/>
        </w:rPr>
      </w:pPr>
    </w:p>
    <w:p w:rsidR="00F97F23" w:rsidRPr="00E942CD" w:rsidRDefault="00F83E06" w:rsidP="00F97F23">
      <w:pPr>
        <w:tabs>
          <w:tab w:val="left" w:pos="720"/>
        </w:tabs>
        <w:ind w:left="360" w:hanging="360"/>
        <w:jc w:val="center"/>
        <w:rPr>
          <w:rFonts w:ascii="Times New Roman" w:hAnsi="Times New Roman"/>
          <w:b/>
        </w:rPr>
      </w:pPr>
      <w:r w:rsidRPr="00E942CD">
        <w:rPr>
          <w:rFonts w:ascii="Times New Roman" w:hAnsi="Times New Roman"/>
          <w:b/>
        </w:rPr>
        <w:t>Zákon, kterým se mění zákon č. 90/2016 Sb., o posuzování shody stanovených výrobků při jejich dodávání na trh</w:t>
      </w:r>
    </w:p>
    <w:p w:rsidR="00F97F23" w:rsidRPr="0010304F" w:rsidRDefault="00F97F23" w:rsidP="00F97F23">
      <w:pPr>
        <w:tabs>
          <w:tab w:val="left" w:pos="720"/>
        </w:tabs>
        <w:ind w:left="360" w:hanging="360"/>
        <w:rPr>
          <w:rFonts w:cs="Arial"/>
          <w:strike/>
        </w:rPr>
      </w:pPr>
    </w:p>
    <w:tbl>
      <w:tblPr>
        <w:tblW w:w="1386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35"/>
        <w:gridCol w:w="4111"/>
        <w:gridCol w:w="992"/>
        <w:gridCol w:w="1134"/>
        <w:gridCol w:w="6095"/>
      </w:tblGrid>
      <w:tr w:rsidR="00F97F23" w:rsidRPr="00F30ED3" w:rsidTr="008A3542">
        <w:tblPrEx>
          <w:tblCellMar>
            <w:top w:w="0" w:type="dxa"/>
            <w:left w:w="0" w:type="dxa"/>
            <w:bottom w:w="0" w:type="dxa"/>
            <w:right w:w="0" w:type="dxa"/>
          </w:tblCellMar>
        </w:tblPrEx>
        <w:tc>
          <w:tcPr>
            <w:tcW w:w="5646" w:type="dxa"/>
            <w:gridSpan w:val="2"/>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 xml:space="preserve">Navrhovaný právní předpis </w:t>
            </w:r>
          </w:p>
          <w:p w:rsidR="00F97F23" w:rsidRPr="00F30ED3" w:rsidRDefault="00F97F23" w:rsidP="00F97F23">
            <w:pPr>
              <w:tabs>
                <w:tab w:val="left" w:pos="360"/>
              </w:tabs>
              <w:jc w:val="center"/>
              <w:rPr>
                <w:rFonts w:ascii="Times New Roman" w:hAnsi="Times New Roman"/>
                <w:sz w:val="18"/>
                <w:szCs w:val="18"/>
              </w:rPr>
            </w:pPr>
          </w:p>
        </w:tc>
        <w:tc>
          <w:tcPr>
            <w:tcW w:w="8221" w:type="dxa"/>
            <w:gridSpan w:val="3"/>
          </w:tcPr>
          <w:p w:rsidR="00F97F23" w:rsidRPr="00F30ED3" w:rsidRDefault="00F97F23" w:rsidP="00F97F23">
            <w:pPr>
              <w:tabs>
                <w:tab w:val="left" w:pos="360"/>
              </w:tabs>
              <w:jc w:val="center"/>
              <w:rPr>
                <w:rFonts w:ascii="Times New Roman" w:hAnsi="Times New Roman"/>
                <w:b/>
                <w:sz w:val="18"/>
                <w:szCs w:val="18"/>
              </w:rPr>
            </w:pPr>
            <w:r w:rsidRPr="00F30ED3">
              <w:rPr>
                <w:rFonts w:ascii="Times New Roman" w:hAnsi="Times New Roman"/>
                <w:sz w:val="18"/>
                <w:szCs w:val="18"/>
              </w:rPr>
              <w:t xml:space="preserve">Odpovídající předpis EU </w:t>
            </w:r>
          </w:p>
        </w:tc>
      </w:tr>
      <w:tr w:rsidR="00F97F23" w:rsidRPr="00F30ED3" w:rsidTr="001A59BD">
        <w:tblPrEx>
          <w:tblCellMar>
            <w:top w:w="0" w:type="dxa"/>
            <w:left w:w="0" w:type="dxa"/>
            <w:bottom w:w="0" w:type="dxa"/>
            <w:right w:w="0" w:type="dxa"/>
          </w:tblCellMar>
        </w:tblPrEx>
        <w:tc>
          <w:tcPr>
            <w:tcW w:w="1535" w:type="dxa"/>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Ustanovení (část, §, odst., písm., apod.)</w:t>
            </w:r>
          </w:p>
        </w:tc>
        <w:tc>
          <w:tcPr>
            <w:tcW w:w="4111" w:type="dxa"/>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Obsah</w:t>
            </w:r>
          </w:p>
        </w:tc>
        <w:tc>
          <w:tcPr>
            <w:tcW w:w="992" w:type="dxa"/>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Celex č.</w:t>
            </w:r>
          </w:p>
        </w:tc>
        <w:tc>
          <w:tcPr>
            <w:tcW w:w="1134" w:type="dxa"/>
            <w:shd w:val="clear" w:color="auto" w:fill="auto"/>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Ustanovení (čl., odst., písm., bod, apod.)</w:t>
            </w:r>
          </w:p>
        </w:tc>
        <w:tc>
          <w:tcPr>
            <w:tcW w:w="6095" w:type="dxa"/>
            <w:shd w:val="clear" w:color="auto" w:fill="auto"/>
          </w:tcPr>
          <w:p w:rsidR="00F97F23" w:rsidRPr="00F30ED3" w:rsidRDefault="00F97F23" w:rsidP="00F97F23">
            <w:pPr>
              <w:tabs>
                <w:tab w:val="left" w:pos="360"/>
              </w:tabs>
              <w:jc w:val="center"/>
              <w:rPr>
                <w:rFonts w:ascii="Times New Roman" w:hAnsi="Times New Roman"/>
                <w:sz w:val="18"/>
                <w:szCs w:val="18"/>
              </w:rPr>
            </w:pPr>
            <w:r w:rsidRPr="00F30ED3">
              <w:rPr>
                <w:rFonts w:ascii="Times New Roman" w:hAnsi="Times New Roman"/>
                <w:sz w:val="18"/>
                <w:szCs w:val="18"/>
              </w:rPr>
              <w:t>Obsah</w:t>
            </w:r>
          </w:p>
        </w:tc>
      </w:tr>
      <w:tr w:rsidR="00DA553E" w:rsidRPr="00F30ED3" w:rsidTr="001A59BD">
        <w:tblPrEx>
          <w:tblCellMar>
            <w:top w:w="0" w:type="dxa"/>
            <w:left w:w="0" w:type="dxa"/>
            <w:bottom w:w="0" w:type="dxa"/>
            <w:right w:w="0" w:type="dxa"/>
          </w:tblCellMar>
        </w:tblPrEx>
        <w:tc>
          <w:tcPr>
            <w:tcW w:w="1535" w:type="dxa"/>
          </w:tcPr>
          <w:p w:rsidR="00DA553E" w:rsidRDefault="00416FA7" w:rsidP="00DA553E">
            <w:pPr>
              <w:tabs>
                <w:tab w:val="left" w:pos="360"/>
              </w:tabs>
              <w:rPr>
                <w:rFonts w:ascii="Times New Roman" w:hAnsi="Times New Roman"/>
                <w:sz w:val="18"/>
                <w:szCs w:val="18"/>
              </w:rPr>
            </w:pPr>
            <w:r>
              <w:rPr>
                <w:rFonts w:ascii="Times New Roman" w:hAnsi="Times New Roman"/>
                <w:sz w:val="18"/>
                <w:szCs w:val="18"/>
              </w:rPr>
              <w:t>Čl. I. bod 1</w:t>
            </w:r>
          </w:p>
          <w:p w:rsidR="00DA553E" w:rsidRPr="00F30ED3" w:rsidRDefault="00DA553E" w:rsidP="00DA553E">
            <w:pPr>
              <w:tabs>
                <w:tab w:val="left" w:pos="360"/>
              </w:tabs>
              <w:rPr>
                <w:rFonts w:ascii="Times New Roman" w:hAnsi="Times New Roman"/>
                <w:sz w:val="18"/>
                <w:szCs w:val="18"/>
              </w:rPr>
            </w:pPr>
            <w:r>
              <w:rPr>
                <w:rFonts w:ascii="Times New Roman" w:hAnsi="Times New Roman"/>
                <w:sz w:val="18"/>
                <w:szCs w:val="18"/>
              </w:rPr>
              <w:t>(§ 14 odst. 2 zákona č. 90/2016 Sb.)</w:t>
            </w:r>
          </w:p>
        </w:tc>
        <w:tc>
          <w:tcPr>
            <w:tcW w:w="4111" w:type="dxa"/>
          </w:tcPr>
          <w:p w:rsidR="00DA553E" w:rsidRPr="00F30ED3" w:rsidRDefault="005C47AC" w:rsidP="005C47AC">
            <w:pPr>
              <w:tabs>
                <w:tab w:val="left" w:pos="360"/>
              </w:tabs>
              <w:jc w:val="both"/>
              <w:rPr>
                <w:rFonts w:ascii="Times New Roman" w:hAnsi="Times New Roman"/>
                <w:sz w:val="18"/>
                <w:szCs w:val="18"/>
              </w:rPr>
            </w:pPr>
            <w:r w:rsidRPr="005C47AC">
              <w:rPr>
                <w:rFonts w:ascii="Times New Roman" w:hAnsi="Times New Roman"/>
                <w:sz w:val="18"/>
                <w:szCs w:val="18"/>
              </w:rPr>
              <w:t>V § 14 odst. 2 se slova „úředních jazycích členských států“ nahrazují slovy „jazycích požadovaných členskými státy“</w:t>
            </w:r>
          </w:p>
        </w:tc>
        <w:tc>
          <w:tcPr>
            <w:tcW w:w="992" w:type="dxa"/>
          </w:tcPr>
          <w:p w:rsidR="00DA553E" w:rsidRDefault="00DA553E" w:rsidP="00DA553E">
            <w:pPr>
              <w:tabs>
                <w:tab w:val="left" w:pos="360"/>
              </w:tabs>
              <w:rPr>
                <w:rFonts w:ascii="Times New Roman" w:hAnsi="Times New Roman"/>
                <w:sz w:val="18"/>
                <w:szCs w:val="18"/>
              </w:rPr>
            </w:pPr>
            <w:r>
              <w:rPr>
                <w:rFonts w:ascii="Times New Roman" w:hAnsi="Times New Roman"/>
                <w:sz w:val="18"/>
                <w:szCs w:val="18"/>
              </w:rPr>
              <w:t>32013L0053</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32014L0028</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32014L0029</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32014L0030</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32014L0031</w:t>
            </w: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32014L0032</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32014L0033</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32014L0034</w:t>
            </w: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32014L0035</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r>
              <w:rPr>
                <w:rFonts w:ascii="Times New Roman" w:hAnsi="Times New Roman"/>
                <w:sz w:val="18"/>
                <w:szCs w:val="18"/>
              </w:rPr>
              <w:t>32014L0053</w:t>
            </w: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r>
              <w:rPr>
                <w:rFonts w:ascii="Times New Roman" w:hAnsi="Times New Roman"/>
                <w:sz w:val="18"/>
                <w:szCs w:val="18"/>
              </w:rPr>
              <w:t>32014L0068</w:t>
            </w: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r>
              <w:rPr>
                <w:rFonts w:ascii="Times New Roman" w:hAnsi="Times New Roman"/>
                <w:sz w:val="18"/>
                <w:szCs w:val="18"/>
              </w:rPr>
              <w:t>32014L0090</w:t>
            </w: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lang w:eastAsia="cs-CZ"/>
              </w:rPr>
            </w:pPr>
          </w:p>
          <w:p w:rsidR="000E48D8" w:rsidRPr="00F30ED3" w:rsidRDefault="000E48D8" w:rsidP="00777B7B">
            <w:pPr>
              <w:tabs>
                <w:tab w:val="left" w:pos="360"/>
              </w:tabs>
              <w:rPr>
                <w:rFonts w:ascii="Times New Roman" w:hAnsi="Times New Roman"/>
                <w:sz w:val="18"/>
                <w:szCs w:val="18"/>
              </w:rPr>
            </w:pPr>
          </w:p>
        </w:tc>
        <w:tc>
          <w:tcPr>
            <w:tcW w:w="1134" w:type="dxa"/>
            <w:shd w:val="clear" w:color="auto" w:fill="auto"/>
          </w:tcPr>
          <w:p w:rsidR="00DA553E" w:rsidRDefault="00DA553E" w:rsidP="00DA553E">
            <w:pPr>
              <w:tabs>
                <w:tab w:val="left" w:pos="360"/>
              </w:tabs>
              <w:rPr>
                <w:rFonts w:ascii="Times New Roman" w:hAnsi="Times New Roman"/>
                <w:sz w:val="18"/>
                <w:szCs w:val="18"/>
              </w:rPr>
            </w:pPr>
            <w:r>
              <w:rPr>
                <w:rFonts w:ascii="Times New Roman" w:hAnsi="Times New Roman"/>
                <w:sz w:val="18"/>
                <w:szCs w:val="18"/>
              </w:rPr>
              <w:lastRenderedPageBreak/>
              <w:t>Čl. 15 odst. 2</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Čl. 21 odst. 2</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Čl. 14 odst. 2</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Čl. 15 odst. 2</w:t>
            </w: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p>
          <w:p w:rsidR="00DA553E" w:rsidRDefault="00DA553E" w:rsidP="00DA553E">
            <w:pPr>
              <w:tabs>
                <w:tab w:val="left" w:pos="360"/>
              </w:tabs>
              <w:rPr>
                <w:rFonts w:ascii="Times New Roman" w:hAnsi="Times New Roman"/>
                <w:sz w:val="18"/>
                <w:szCs w:val="18"/>
              </w:rPr>
            </w:pPr>
            <w:r>
              <w:rPr>
                <w:rFonts w:ascii="Times New Roman" w:hAnsi="Times New Roman"/>
                <w:sz w:val="18"/>
                <w:szCs w:val="18"/>
              </w:rPr>
              <w:t>Čl. 14 odst. 2</w:t>
            </w:r>
          </w:p>
          <w:p w:rsidR="00DA553E" w:rsidRDefault="00DA553E"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19 odst. 2</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17 odst. 2</w:t>
            </w:r>
          </w:p>
          <w:p w:rsidR="00DB0D7C" w:rsidRDefault="00DB0D7C" w:rsidP="00DB0D7C">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14 odst. 2</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15 odst. 2</w:t>
            </w:r>
          </w:p>
          <w:p w:rsidR="00DB0D7C" w:rsidRDefault="00DB0D7C" w:rsidP="00DB0D7C">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18 odst. 2</w:t>
            </w: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p>
          <w:p w:rsidR="00DB0D7C" w:rsidRDefault="00DB0D7C" w:rsidP="00DB0D7C">
            <w:pPr>
              <w:tabs>
                <w:tab w:val="left" w:pos="360"/>
              </w:tabs>
              <w:rPr>
                <w:rFonts w:ascii="Times New Roman" w:hAnsi="Times New Roman"/>
                <w:sz w:val="18"/>
                <w:szCs w:val="18"/>
              </w:rPr>
            </w:pPr>
            <w:r>
              <w:rPr>
                <w:rFonts w:ascii="Times New Roman" w:hAnsi="Times New Roman"/>
                <w:sz w:val="18"/>
                <w:szCs w:val="18"/>
              </w:rPr>
              <w:t>Čl. 17 odst. 2</w:t>
            </w:r>
          </w:p>
          <w:p w:rsidR="00DB0D7C" w:rsidRDefault="00DB0D7C" w:rsidP="00DB0D7C">
            <w:pPr>
              <w:tabs>
                <w:tab w:val="left" w:pos="360"/>
              </w:tabs>
              <w:rPr>
                <w:rFonts w:ascii="Times New Roman" w:hAnsi="Times New Roman"/>
                <w:sz w:val="18"/>
                <w:szCs w:val="18"/>
              </w:rPr>
            </w:pPr>
          </w:p>
          <w:p w:rsidR="00DB0D7C" w:rsidRDefault="00DB0D7C" w:rsidP="00DA553E">
            <w:pPr>
              <w:tabs>
                <w:tab w:val="left" w:pos="360"/>
              </w:tabs>
              <w:rPr>
                <w:rFonts w:ascii="Times New Roman" w:hAnsi="Times New Roman"/>
                <w:sz w:val="18"/>
                <w:szCs w:val="18"/>
              </w:rPr>
            </w:pPr>
          </w:p>
          <w:p w:rsidR="001A59BD" w:rsidRDefault="001A59BD" w:rsidP="00DA553E">
            <w:pPr>
              <w:tabs>
                <w:tab w:val="left" w:pos="360"/>
              </w:tabs>
              <w:rPr>
                <w:rFonts w:ascii="Times New Roman" w:hAnsi="Times New Roman"/>
                <w:sz w:val="18"/>
                <w:szCs w:val="18"/>
              </w:rPr>
            </w:pPr>
          </w:p>
          <w:p w:rsidR="001A59BD" w:rsidRDefault="001A59BD" w:rsidP="00DA553E">
            <w:pPr>
              <w:tabs>
                <w:tab w:val="left" w:pos="360"/>
              </w:tabs>
              <w:rPr>
                <w:rFonts w:ascii="Times New Roman" w:hAnsi="Times New Roman"/>
                <w:sz w:val="18"/>
                <w:szCs w:val="18"/>
              </w:rPr>
            </w:pPr>
          </w:p>
          <w:p w:rsidR="001A59BD" w:rsidRDefault="001A59BD" w:rsidP="00DA553E">
            <w:pPr>
              <w:tabs>
                <w:tab w:val="left" w:pos="360"/>
              </w:tabs>
              <w:rPr>
                <w:rFonts w:ascii="Times New Roman" w:hAnsi="Times New Roman"/>
                <w:sz w:val="18"/>
                <w:szCs w:val="18"/>
              </w:rPr>
            </w:pPr>
          </w:p>
          <w:p w:rsidR="001A59BD" w:rsidRDefault="001A59BD" w:rsidP="00DA553E">
            <w:pPr>
              <w:tabs>
                <w:tab w:val="left" w:pos="360"/>
              </w:tabs>
              <w:rPr>
                <w:rFonts w:ascii="Times New Roman" w:hAnsi="Times New Roman"/>
                <w:sz w:val="18"/>
                <w:szCs w:val="18"/>
              </w:rPr>
            </w:pPr>
            <w:r>
              <w:rPr>
                <w:rFonts w:ascii="Times New Roman" w:hAnsi="Times New Roman"/>
                <w:sz w:val="18"/>
                <w:szCs w:val="18"/>
              </w:rPr>
              <w:t>Čl. 16 odst. 4</w:t>
            </w: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Default="000E48D8" w:rsidP="00DA553E">
            <w:pPr>
              <w:tabs>
                <w:tab w:val="left" w:pos="360"/>
              </w:tabs>
              <w:rPr>
                <w:rFonts w:ascii="Times New Roman" w:hAnsi="Times New Roman"/>
                <w:sz w:val="18"/>
                <w:szCs w:val="18"/>
              </w:rPr>
            </w:pPr>
          </w:p>
          <w:p w:rsidR="000E48D8" w:rsidRPr="00F30ED3" w:rsidRDefault="000E48D8" w:rsidP="00777B7B">
            <w:pPr>
              <w:tabs>
                <w:tab w:val="left" w:pos="360"/>
              </w:tabs>
              <w:rPr>
                <w:rFonts w:ascii="Times New Roman" w:hAnsi="Times New Roman"/>
                <w:sz w:val="18"/>
                <w:szCs w:val="18"/>
              </w:rPr>
            </w:pPr>
          </w:p>
        </w:tc>
        <w:tc>
          <w:tcPr>
            <w:tcW w:w="6095" w:type="dxa"/>
            <w:shd w:val="clear" w:color="auto" w:fill="auto"/>
          </w:tcPr>
          <w:p w:rsidR="00DA553E" w:rsidRDefault="00DA553E" w:rsidP="006F71A4">
            <w:pPr>
              <w:tabs>
                <w:tab w:val="left" w:pos="360"/>
              </w:tabs>
              <w:jc w:val="both"/>
              <w:rPr>
                <w:rFonts w:ascii="Times New Roman" w:hAnsi="Times New Roman"/>
                <w:sz w:val="18"/>
                <w:szCs w:val="18"/>
              </w:rPr>
            </w:pPr>
            <w:r w:rsidRPr="00DA553E">
              <w:rPr>
                <w:rFonts w:ascii="Times New Roman" w:hAnsi="Times New Roman"/>
                <w:sz w:val="18"/>
                <w:szCs w:val="18"/>
              </w:rPr>
              <w:lastRenderedPageBreak/>
              <w:t>2. EU prohlášení o shodě se vypracuje podle vzoru uvedeného v příloze IV této směrnice, obsahuje prvky stanovené v příslušných modulech uvedených v příloze II rozhodnutí č. 768/2008/ES a v příloze V této směrnice a je průběžně aktualizováno. Přeloží se do jazyka nebo jazyků požadovaných členským státem, v němž se výrobek dodává na trh nebo uvádí do provozu.</w:t>
            </w:r>
          </w:p>
          <w:p w:rsidR="00DA553E" w:rsidRDefault="00DA553E" w:rsidP="00DA553E">
            <w:pPr>
              <w:tabs>
                <w:tab w:val="left" w:pos="360"/>
              </w:tabs>
              <w:rPr>
                <w:rFonts w:ascii="Times New Roman" w:hAnsi="Times New Roman"/>
                <w:sz w:val="18"/>
                <w:szCs w:val="18"/>
              </w:rPr>
            </w:pPr>
          </w:p>
          <w:p w:rsidR="00DA553E" w:rsidRDefault="00DA553E" w:rsidP="006F71A4">
            <w:pPr>
              <w:tabs>
                <w:tab w:val="left" w:pos="360"/>
              </w:tabs>
              <w:jc w:val="both"/>
              <w:rPr>
                <w:rFonts w:ascii="Times New Roman" w:hAnsi="Times New Roman"/>
                <w:sz w:val="18"/>
                <w:szCs w:val="18"/>
              </w:rPr>
            </w:pPr>
            <w:r w:rsidRPr="00DA553E">
              <w:rPr>
                <w:rFonts w:ascii="Times New Roman" w:hAnsi="Times New Roman"/>
                <w:sz w:val="18"/>
                <w:szCs w:val="18"/>
              </w:rPr>
              <w:t>2. EU prohlášení o shodě se vypracuje podle vzoru uvedeného v příloze IV, obsahuje prvky stanovené v příslušných modulech uvedených v příloze III a je průběžně aktualizováno. Přeloží se do jazyka nebo jazyků požadovaných členským státem, v němž se výbušnina uvádí nebo dodává na trh.</w:t>
            </w:r>
          </w:p>
          <w:p w:rsidR="00DA553E" w:rsidRDefault="00DA553E" w:rsidP="00DA553E">
            <w:pPr>
              <w:tabs>
                <w:tab w:val="left" w:pos="360"/>
              </w:tabs>
              <w:rPr>
                <w:rFonts w:ascii="Times New Roman" w:hAnsi="Times New Roman"/>
                <w:sz w:val="18"/>
                <w:szCs w:val="18"/>
              </w:rPr>
            </w:pPr>
          </w:p>
          <w:p w:rsidR="00DA553E" w:rsidRDefault="00DA553E" w:rsidP="006F71A4">
            <w:pPr>
              <w:tabs>
                <w:tab w:val="left" w:pos="360"/>
              </w:tabs>
              <w:jc w:val="both"/>
              <w:rPr>
                <w:rFonts w:ascii="Times New Roman" w:hAnsi="Times New Roman"/>
                <w:sz w:val="18"/>
                <w:szCs w:val="18"/>
              </w:rPr>
            </w:pPr>
            <w:r w:rsidRPr="00DA553E">
              <w:rPr>
                <w:rFonts w:ascii="Times New Roman" w:hAnsi="Times New Roman"/>
                <w:sz w:val="18"/>
                <w:szCs w:val="18"/>
              </w:rPr>
              <w:t>2. EU prohlášení o shodě se vypracuje podle vzoru uvedeného v příloze IV, obsahuje prvky stanovené v příslušných modulech uvedených v příloze II a je průběžně aktualizováno. Přeloží se do jazyka nebo jazyků požadovaných členským státem, v němž se nádoba uvádí nebo dodává na trh.</w:t>
            </w:r>
          </w:p>
          <w:p w:rsidR="00DA553E" w:rsidRDefault="00DA553E" w:rsidP="00DA553E">
            <w:pPr>
              <w:tabs>
                <w:tab w:val="left" w:pos="360"/>
              </w:tabs>
              <w:rPr>
                <w:rFonts w:ascii="Times New Roman" w:hAnsi="Times New Roman"/>
                <w:sz w:val="18"/>
                <w:szCs w:val="18"/>
              </w:rPr>
            </w:pPr>
          </w:p>
          <w:p w:rsidR="00DA553E" w:rsidRDefault="00DA553E" w:rsidP="006F71A4">
            <w:pPr>
              <w:tabs>
                <w:tab w:val="left" w:pos="360"/>
              </w:tabs>
              <w:jc w:val="both"/>
              <w:rPr>
                <w:rFonts w:ascii="Times New Roman" w:hAnsi="Times New Roman"/>
                <w:sz w:val="18"/>
                <w:szCs w:val="18"/>
              </w:rPr>
            </w:pPr>
            <w:r w:rsidRPr="00DA553E">
              <w:rPr>
                <w:rFonts w:ascii="Times New Roman" w:hAnsi="Times New Roman"/>
                <w:sz w:val="18"/>
                <w:szCs w:val="18"/>
              </w:rPr>
              <w:t>2. EU prohlášení o shodě se vypracuje podle vzoru uvedeného v příloze IV, musí obsahovat prvky stanovené v příslušných modulech uvedených v přílohách II a III a být průběžně aktualizováno. Přeloží se do jazyka nebo jazyků požadovaných členským státem, v němž se přístroj uvádí nebo dodává na trh</w:t>
            </w:r>
          </w:p>
          <w:p w:rsidR="00DA553E" w:rsidRDefault="00DA553E" w:rsidP="00DA553E">
            <w:pPr>
              <w:tabs>
                <w:tab w:val="left" w:pos="360"/>
              </w:tabs>
              <w:rPr>
                <w:rFonts w:ascii="Times New Roman" w:hAnsi="Times New Roman"/>
                <w:sz w:val="18"/>
                <w:szCs w:val="18"/>
              </w:rPr>
            </w:pPr>
          </w:p>
          <w:p w:rsidR="00DA553E" w:rsidRDefault="00DA553E" w:rsidP="006F71A4">
            <w:pPr>
              <w:tabs>
                <w:tab w:val="left" w:pos="360"/>
              </w:tabs>
              <w:jc w:val="both"/>
              <w:rPr>
                <w:rFonts w:ascii="Times New Roman" w:hAnsi="Times New Roman"/>
                <w:sz w:val="18"/>
                <w:szCs w:val="18"/>
              </w:rPr>
            </w:pPr>
            <w:r w:rsidRPr="00DA553E">
              <w:rPr>
                <w:rFonts w:ascii="Times New Roman" w:hAnsi="Times New Roman"/>
                <w:sz w:val="18"/>
                <w:szCs w:val="18"/>
              </w:rPr>
              <w:t>2. EU prohlášení o shodě se vypracuje podle vzoru uvedeného v příloze IV, obsahuje prvky stanovené v příslušných modulech uvedených v příloze II a je průběžně aktualizováno. Přeloží se do jazyka nebo jazyků požadovaných členským státem, v němž se neautomatické váhy uvádějí nebo dodávají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2. EU prohlášení o shodě se vypracuje podle vzoru uvedeného v příloze XIII, obsahuje prvky stanovené v příslušných modulech uvedených v příloze II a je průběžně aktualizováno. Přeloží se do jazyka nebo jazyků požadovaných členským státem, v němž se měřidlo uvádí nebo dodává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 xml:space="preserve">2. EU prohlášení o shodě se vypracuje podle vzoru uvedeného v příloze II, obsahuje </w:t>
            </w:r>
            <w:r w:rsidRPr="00DB0D7C">
              <w:rPr>
                <w:rFonts w:ascii="Times New Roman" w:hAnsi="Times New Roman"/>
                <w:sz w:val="18"/>
                <w:szCs w:val="18"/>
              </w:rPr>
              <w:lastRenderedPageBreak/>
              <w:t>prvky stanovené v příslušných přílohách V až XII a je průběžně aktualizováno. Přeloží se do jazyka nebo jazyků požadovaných členským státem, v němž se výtah nebo bezpečnostní komponenta pro výtahy uvádí nebo dodává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2. EU prohlášení o shodě se vypracuje podle vzoru uvedeného v příloze X, obsahuje prvky stanovené v příslušných postupech posuzování shody uvedených v přílohách III až IX a je průběžně aktualizováno. Přeloží se do jazyka nebo jazyků požadovaných členským státem, v němž se výrobek uvádí nebo dodává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2. EU prohlášení o shodě se vypracuje podle vzoru uvedeného v příloze IV, obsahuje prvky stanovené v modulu A uvedeném v příloze III a je průběžně aktualizováno. Přeloží se do jazyka nebo jazyků požadovaných členským státem, v němž se elektrické zařízení uvádí nebo dodává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2. EU prohlášení o shodě se vypracuje podle vzoru uvedeného v příloze VI, musí obsahovat prvky stanovené ve výše uvedené příloze a být průběžně aktualizováno. Přeloží se do jazyka nebo jazyků požadovaných členským státem, v němž se rádiové zařízení uvádí nebo dodává na trh.</w:t>
            </w:r>
          </w:p>
          <w:p w:rsidR="00DB0D7C" w:rsidRDefault="00DB0D7C" w:rsidP="00DA553E">
            <w:pPr>
              <w:tabs>
                <w:tab w:val="left" w:pos="360"/>
              </w:tabs>
              <w:rPr>
                <w:rFonts w:ascii="Times New Roman" w:hAnsi="Times New Roman"/>
                <w:sz w:val="18"/>
                <w:szCs w:val="18"/>
              </w:rPr>
            </w:pPr>
          </w:p>
          <w:p w:rsidR="00DB0D7C" w:rsidRDefault="00DB0D7C" w:rsidP="006F71A4">
            <w:pPr>
              <w:tabs>
                <w:tab w:val="left" w:pos="360"/>
              </w:tabs>
              <w:jc w:val="both"/>
              <w:rPr>
                <w:rFonts w:ascii="Times New Roman" w:hAnsi="Times New Roman"/>
                <w:sz w:val="18"/>
                <w:szCs w:val="18"/>
              </w:rPr>
            </w:pPr>
            <w:r w:rsidRPr="00DB0D7C">
              <w:rPr>
                <w:rFonts w:ascii="Times New Roman" w:hAnsi="Times New Roman"/>
                <w:sz w:val="18"/>
                <w:szCs w:val="18"/>
              </w:rPr>
              <w:t>2. EU prohlášení o shodě se vypracuje podle vzoru uvedeného v příloze IV, obsahuje prvky stanovené v příslušných postupech posuzování shody uvedených v příloze III a je průběžně aktualizováno. Přeloží se do jazyka nebo jazyků požadovaných členským státem, v němž se tlakové zařízení nebo sestava uvádí nebo dodává na trh.</w:t>
            </w:r>
          </w:p>
          <w:p w:rsidR="001A59BD" w:rsidRDefault="001A59BD" w:rsidP="00DA553E">
            <w:pPr>
              <w:tabs>
                <w:tab w:val="left" w:pos="360"/>
              </w:tabs>
              <w:rPr>
                <w:rFonts w:ascii="Times New Roman" w:hAnsi="Times New Roman"/>
                <w:sz w:val="18"/>
                <w:szCs w:val="18"/>
              </w:rPr>
            </w:pPr>
          </w:p>
          <w:p w:rsidR="001A59BD" w:rsidRDefault="001A59BD" w:rsidP="006F71A4">
            <w:pPr>
              <w:tabs>
                <w:tab w:val="left" w:pos="360"/>
              </w:tabs>
              <w:jc w:val="both"/>
              <w:rPr>
                <w:rFonts w:ascii="Times New Roman" w:hAnsi="Times New Roman"/>
                <w:sz w:val="18"/>
                <w:szCs w:val="18"/>
              </w:rPr>
            </w:pPr>
            <w:r w:rsidRPr="001A59BD">
              <w:rPr>
                <w:rFonts w:ascii="Times New Roman" w:hAnsi="Times New Roman"/>
                <w:sz w:val="18"/>
                <w:szCs w:val="18"/>
              </w:rPr>
              <w:t>4. Jakmile je lodní výstroj umístěna na palubu lodě EU, musí být kopie EU prohlášení o shodě vztahujícího se na dotyčnou výstroj předána lodi a uchovávána na palubě, dokud uvedená výstroj není z lodi odstraněna. Výrobce musí prohlášení přeložit do jazyka nebo jazyků požadovaných členským státem vlajky, včetně nejméně jednoho jazyka běžně užívaného v odvětví námořní dopravy.</w:t>
            </w:r>
          </w:p>
          <w:p w:rsidR="000E48D8" w:rsidRDefault="000E48D8" w:rsidP="006F71A4">
            <w:pPr>
              <w:tabs>
                <w:tab w:val="left" w:pos="360"/>
              </w:tabs>
              <w:jc w:val="both"/>
              <w:rPr>
                <w:rFonts w:ascii="Times New Roman" w:hAnsi="Times New Roman"/>
                <w:sz w:val="18"/>
                <w:szCs w:val="18"/>
              </w:rPr>
            </w:pPr>
          </w:p>
          <w:p w:rsidR="000E48D8" w:rsidRPr="00F30ED3" w:rsidRDefault="000E48D8" w:rsidP="006F71A4">
            <w:pPr>
              <w:tabs>
                <w:tab w:val="left" w:pos="360"/>
              </w:tabs>
              <w:jc w:val="both"/>
              <w:rPr>
                <w:rFonts w:ascii="Times New Roman" w:hAnsi="Times New Roman"/>
                <w:sz w:val="18"/>
                <w:szCs w:val="18"/>
              </w:rPr>
            </w:pPr>
          </w:p>
        </w:tc>
      </w:tr>
      <w:tr w:rsidR="009644FD" w:rsidRPr="00F30ED3" w:rsidTr="001A59BD">
        <w:tblPrEx>
          <w:tblCellMar>
            <w:top w:w="0" w:type="dxa"/>
            <w:left w:w="0" w:type="dxa"/>
            <w:bottom w:w="0" w:type="dxa"/>
            <w:right w:w="0" w:type="dxa"/>
          </w:tblCellMar>
        </w:tblPrEx>
        <w:trPr>
          <w:trHeight w:val="2175"/>
        </w:trPr>
        <w:tc>
          <w:tcPr>
            <w:tcW w:w="1535" w:type="dxa"/>
            <w:vMerge w:val="restart"/>
          </w:tcPr>
          <w:p w:rsidR="009644FD" w:rsidRDefault="00F31AB6" w:rsidP="00F97F23">
            <w:pPr>
              <w:tabs>
                <w:tab w:val="left" w:pos="360"/>
              </w:tabs>
              <w:rPr>
                <w:rFonts w:ascii="Times New Roman" w:hAnsi="Times New Roman"/>
                <w:sz w:val="18"/>
                <w:szCs w:val="18"/>
              </w:rPr>
            </w:pPr>
            <w:r>
              <w:rPr>
                <w:rFonts w:ascii="Times New Roman" w:hAnsi="Times New Roman"/>
                <w:sz w:val="18"/>
                <w:szCs w:val="18"/>
              </w:rPr>
              <w:lastRenderedPageBreak/>
              <w:t>Čl. I bod 2</w:t>
            </w:r>
            <w:r w:rsidR="009644FD">
              <w:rPr>
                <w:rFonts w:ascii="Times New Roman" w:hAnsi="Times New Roman"/>
                <w:sz w:val="18"/>
                <w:szCs w:val="18"/>
              </w:rPr>
              <w:t xml:space="preserve"> </w:t>
            </w:r>
          </w:p>
          <w:p w:rsidR="009644FD" w:rsidRPr="00F30ED3" w:rsidRDefault="009644FD" w:rsidP="00F97F23">
            <w:pPr>
              <w:tabs>
                <w:tab w:val="left" w:pos="360"/>
              </w:tabs>
              <w:rPr>
                <w:rFonts w:ascii="Times New Roman" w:hAnsi="Times New Roman"/>
                <w:sz w:val="18"/>
                <w:szCs w:val="18"/>
              </w:rPr>
            </w:pPr>
            <w:r>
              <w:rPr>
                <w:rFonts w:ascii="Times New Roman" w:hAnsi="Times New Roman"/>
                <w:sz w:val="18"/>
                <w:szCs w:val="18"/>
              </w:rPr>
              <w:t>(§ 27 zákona č. 90/2016 Sb.)</w:t>
            </w:r>
          </w:p>
        </w:tc>
        <w:tc>
          <w:tcPr>
            <w:tcW w:w="4111" w:type="dxa"/>
          </w:tcPr>
          <w:p w:rsidR="009644FD" w:rsidRPr="00E01B2F" w:rsidRDefault="009644FD" w:rsidP="00E01B2F">
            <w:pPr>
              <w:pStyle w:val="Bezmezer"/>
              <w:rPr>
                <w:rFonts w:ascii="Times New Roman" w:hAnsi="Times New Roman"/>
                <w:sz w:val="18"/>
                <w:szCs w:val="24"/>
              </w:rPr>
            </w:pPr>
            <w:r w:rsidRPr="00E01B2F">
              <w:rPr>
                <w:rFonts w:ascii="Times New Roman" w:hAnsi="Times New Roman"/>
                <w:sz w:val="18"/>
                <w:szCs w:val="24"/>
              </w:rPr>
              <w:t>V části druhé v Hlavě I Oddíl 1 zní:</w:t>
            </w:r>
          </w:p>
          <w:p w:rsidR="009644FD" w:rsidRPr="00E01B2F" w:rsidRDefault="009644FD" w:rsidP="00E01B2F">
            <w:pPr>
              <w:pStyle w:val="Bezmezer"/>
              <w:jc w:val="center"/>
              <w:rPr>
                <w:rFonts w:ascii="Times New Roman" w:hAnsi="Times New Roman"/>
                <w:sz w:val="18"/>
                <w:szCs w:val="24"/>
              </w:rPr>
            </w:pPr>
            <w:r w:rsidRPr="00E01B2F">
              <w:rPr>
                <w:rFonts w:ascii="Times New Roman" w:hAnsi="Times New Roman"/>
                <w:sz w:val="18"/>
                <w:szCs w:val="24"/>
              </w:rPr>
              <w:t>„Oddíl 1</w:t>
            </w:r>
          </w:p>
          <w:p w:rsidR="009644FD" w:rsidRPr="00E01B2F" w:rsidRDefault="009644FD" w:rsidP="00E01B2F">
            <w:pPr>
              <w:pStyle w:val="Bezmezer"/>
              <w:jc w:val="center"/>
              <w:rPr>
                <w:rFonts w:ascii="Times New Roman" w:hAnsi="Times New Roman"/>
                <w:b/>
                <w:sz w:val="18"/>
                <w:szCs w:val="24"/>
              </w:rPr>
            </w:pPr>
            <w:r w:rsidRPr="00E01B2F">
              <w:rPr>
                <w:rFonts w:ascii="Times New Roman" w:hAnsi="Times New Roman"/>
                <w:b/>
                <w:sz w:val="18"/>
                <w:szCs w:val="24"/>
              </w:rPr>
              <w:t>Osobní ochranné prostředky</w:t>
            </w:r>
          </w:p>
          <w:p w:rsidR="009644FD" w:rsidRPr="00E01B2F" w:rsidRDefault="009644FD" w:rsidP="00E01B2F">
            <w:pPr>
              <w:pStyle w:val="Bezmezer"/>
              <w:jc w:val="center"/>
              <w:rPr>
                <w:rFonts w:ascii="Times New Roman" w:hAnsi="Times New Roman"/>
                <w:sz w:val="18"/>
                <w:szCs w:val="24"/>
              </w:rPr>
            </w:pPr>
            <w:r w:rsidRPr="00E01B2F">
              <w:rPr>
                <w:rFonts w:ascii="Times New Roman" w:hAnsi="Times New Roman"/>
                <w:sz w:val="18"/>
                <w:szCs w:val="24"/>
              </w:rPr>
              <w:t>§ 27</w:t>
            </w:r>
          </w:p>
          <w:p w:rsidR="009644FD" w:rsidRPr="00E01B2F" w:rsidRDefault="009644FD" w:rsidP="00E01B2F">
            <w:pPr>
              <w:pStyle w:val="Bezmezer"/>
              <w:jc w:val="both"/>
              <w:rPr>
                <w:rFonts w:ascii="Times New Roman" w:hAnsi="Times New Roman"/>
                <w:sz w:val="18"/>
                <w:szCs w:val="24"/>
              </w:rPr>
            </w:pPr>
            <w:r w:rsidRPr="00E01B2F">
              <w:rPr>
                <w:rFonts w:ascii="Times New Roman" w:hAnsi="Times New Roman"/>
                <w:sz w:val="18"/>
                <w:szCs w:val="24"/>
              </w:rPr>
              <w:t xml:space="preserve">(1)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E01B2F">
              <w:rPr>
                <w:rFonts w:ascii="Times New Roman" w:hAnsi="Times New Roman"/>
                <w:sz w:val="18"/>
                <w:szCs w:val="24"/>
              </w:rPr>
              <w:t xml:space="preserve"> v oblasti osobních ochranných prostředků</w:t>
            </w:r>
            <w:r w:rsidRPr="00E01B2F">
              <w:rPr>
                <w:rFonts w:ascii="Times New Roman" w:hAnsi="Times New Roman"/>
                <w:sz w:val="18"/>
                <w:szCs w:val="24"/>
                <w:vertAlign w:val="superscript"/>
              </w:rPr>
              <w:t>11)</w:t>
            </w:r>
            <w:r w:rsidRPr="00E01B2F">
              <w:rPr>
                <w:rFonts w:ascii="Times New Roman" w:hAnsi="Times New Roman"/>
                <w:sz w:val="18"/>
                <w:szCs w:val="24"/>
              </w:rPr>
              <w:t xml:space="preserve"> na příslušný vnitrostátní orgán, je tímto orgánem v České republice orgán dozoru.</w:t>
            </w:r>
          </w:p>
          <w:p w:rsidR="009644FD" w:rsidRPr="00E01B2F" w:rsidRDefault="009644FD" w:rsidP="00E01B2F">
            <w:pPr>
              <w:pStyle w:val="Bezmezer"/>
              <w:jc w:val="both"/>
              <w:rPr>
                <w:rFonts w:ascii="Times New Roman" w:hAnsi="Times New Roman"/>
                <w:sz w:val="18"/>
                <w:szCs w:val="24"/>
              </w:rPr>
            </w:pPr>
          </w:p>
          <w:p w:rsidR="009644FD" w:rsidRDefault="009644FD" w:rsidP="00E01B2F">
            <w:pPr>
              <w:pStyle w:val="Bezmezer"/>
              <w:jc w:val="both"/>
              <w:rPr>
                <w:rFonts w:ascii="Times New Roman" w:hAnsi="Times New Roman"/>
                <w:sz w:val="18"/>
                <w:szCs w:val="24"/>
              </w:rPr>
            </w:pPr>
          </w:p>
          <w:p w:rsidR="009644FD" w:rsidRPr="00FF56FC" w:rsidRDefault="009644FD" w:rsidP="00FF56FC">
            <w:pPr>
              <w:pStyle w:val="Bezmezer"/>
              <w:spacing w:line="360" w:lineRule="auto"/>
              <w:jc w:val="both"/>
              <w:rPr>
                <w:rFonts w:ascii="Times New Roman" w:hAnsi="Times New Roman"/>
                <w:sz w:val="18"/>
                <w:szCs w:val="24"/>
              </w:rPr>
            </w:pPr>
            <w:r w:rsidRPr="00FF56FC">
              <w:rPr>
                <w:rFonts w:ascii="Times New Roman" w:hAnsi="Times New Roman"/>
                <w:sz w:val="18"/>
                <w:szCs w:val="24"/>
              </w:rPr>
              <w:t>_________</w:t>
            </w:r>
          </w:p>
          <w:p w:rsidR="009644FD" w:rsidRPr="00FF56FC" w:rsidRDefault="009644FD" w:rsidP="00FF56FC">
            <w:pPr>
              <w:pStyle w:val="Bezmezer"/>
              <w:jc w:val="both"/>
              <w:rPr>
                <w:rFonts w:ascii="Times New Roman" w:hAnsi="Times New Roman"/>
                <w:sz w:val="18"/>
                <w:szCs w:val="24"/>
              </w:rPr>
            </w:pPr>
            <w:r w:rsidRPr="00FF56FC">
              <w:rPr>
                <w:rFonts w:ascii="Times New Roman" w:hAnsi="Times New Roman"/>
                <w:sz w:val="18"/>
                <w:szCs w:val="24"/>
              </w:rPr>
              <w:lastRenderedPageBreak/>
              <w:t>11) Nařízení Evropského parlamentu a Rady (EU) 2016/425 ze dne 9. března 2016 o osobních ochranných prostředcích a o zrušení směrnice Rady 89/686/EHS.“.</w:t>
            </w:r>
          </w:p>
          <w:p w:rsidR="009644FD" w:rsidRPr="00E01B2F" w:rsidRDefault="009644FD" w:rsidP="00E01B2F">
            <w:pPr>
              <w:pStyle w:val="Bezmezer"/>
              <w:jc w:val="both"/>
              <w:rPr>
                <w:rFonts w:ascii="Times New Roman" w:hAnsi="Times New Roman"/>
                <w:sz w:val="18"/>
                <w:szCs w:val="24"/>
              </w:rPr>
            </w:pPr>
          </w:p>
          <w:p w:rsidR="009644FD" w:rsidRPr="00367A7A" w:rsidRDefault="009644FD" w:rsidP="00F30ED3">
            <w:pPr>
              <w:tabs>
                <w:tab w:val="left" w:pos="360"/>
              </w:tabs>
              <w:rPr>
                <w:rFonts w:ascii="Times New Roman" w:hAnsi="Times New Roman"/>
                <w:sz w:val="20"/>
                <w:szCs w:val="18"/>
              </w:rPr>
            </w:pPr>
          </w:p>
        </w:tc>
        <w:tc>
          <w:tcPr>
            <w:tcW w:w="992" w:type="dxa"/>
          </w:tcPr>
          <w:p w:rsidR="009644FD" w:rsidRPr="00F30ED3" w:rsidRDefault="009644FD" w:rsidP="00367A7A">
            <w:pPr>
              <w:tabs>
                <w:tab w:val="left" w:pos="360"/>
              </w:tabs>
              <w:rPr>
                <w:rFonts w:ascii="Times New Roman" w:hAnsi="Times New Roman"/>
                <w:sz w:val="18"/>
                <w:szCs w:val="18"/>
              </w:rPr>
            </w:pPr>
            <w:r>
              <w:rPr>
                <w:rFonts w:ascii="Times New Roman" w:hAnsi="Times New Roman"/>
                <w:sz w:val="18"/>
                <w:szCs w:val="18"/>
              </w:rPr>
              <w:lastRenderedPageBreak/>
              <w:t>32016R0425</w:t>
            </w:r>
          </w:p>
        </w:tc>
        <w:tc>
          <w:tcPr>
            <w:tcW w:w="1134" w:type="dxa"/>
            <w:shd w:val="clear" w:color="auto" w:fill="auto"/>
          </w:tcPr>
          <w:p w:rsidR="009644FD" w:rsidRDefault="00465B11" w:rsidP="00F97F23">
            <w:pPr>
              <w:tabs>
                <w:tab w:val="left" w:pos="360"/>
              </w:tabs>
              <w:rPr>
                <w:rFonts w:ascii="Times New Roman" w:hAnsi="Times New Roman"/>
                <w:sz w:val="18"/>
                <w:szCs w:val="18"/>
              </w:rPr>
            </w:pPr>
            <w:r>
              <w:rPr>
                <w:rFonts w:ascii="Times New Roman" w:hAnsi="Times New Roman"/>
                <w:sz w:val="18"/>
                <w:szCs w:val="18"/>
              </w:rPr>
              <w:t>Čl. 8 odst. 9</w:t>
            </w: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465B11" w:rsidRDefault="00465B11" w:rsidP="00465B11">
            <w:pPr>
              <w:tabs>
                <w:tab w:val="left" w:pos="360"/>
              </w:tabs>
              <w:rPr>
                <w:rFonts w:ascii="Times New Roman" w:hAnsi="Times New Roman"/>
                <w:sz w:val="18"/>
                <w:szCs w:val="18"/>
              </w:rPr>
            </w:pPr>
            <w:r>
              <w:rPr>
                <w:rFonts w:ascii="Times New Roman" w:hAnsi="Times New Roman"/>
                <w:sz w:val="18"/>
                <w:szCs w:val="18"/>
              </w:rPr>
              <w:t>Čl. 8 odst. 10</w:t>
            </w:r>
          </w:p>
          <w:p w:rsidR="009644FD" w:rsidRDefault="009644FD" w:rsidP="00F97F23">
            <w:pPr>
              <w:tabs>
                <w:tab w:val="left" w:pos="360"/>
              </w:tabs>
              <w:rPr>
                <w:rFonts w:ascii="Times New Roman" w:hAnsi="Times New Roman"/>
                <w:sz w:val="18"/>
                <w:szCs w:val="18"/>
              </w:rPr>
            </w:pPr>
          </w:p>
          <w:p w:rsidR="009644FD" w:rsidRDefault="009644FD"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r>
              <w:rPr>
                <w:rFonts w:ascii="Times New Roman" w:hAnsi="Times New Roman"/>
                <w:sz w:val="18"/>
                <w:szCs w:val="18"/>
              </w:rPr>
              <w:t>Čl. 9 odst. 2</w:t>
            </w: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r>
              <w:rPr>
                <w:rFonts w:ascii="Times New Roman" w:hAnsi="Times New Roman"/>
                <w:sz w:val="18"/>
                <w:szCs w:val="18"/>
              </w:rPr>
              <w:t>Čl. 10 odst. 7</w:t>
            </w: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r>
              <w:rPr>
                <w:rFonts w:ascii="Times New Roman" w:hAnsi="Times New Roman"/>
                <w:sz w:val="18"/>
                <w:szCs w:val="18"/>
              </w:rPr>
              <w:t>Čl. 10 odst. 9</w:t>
            </w: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r>
              <w:rPr>
                <w:rFonts w:ascii="Times New Roman" w:hAnsi="Times New Roman"/>
                <w:sz w:val="18"/>
                <w:szCs w:val="18"/>
              </w:rPr>
              <w:t>Čl. 11 odst. 4</w:t>
            </w: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Pr="00F30ED3" w:rsidRDefault="00761A2B" w:rsidP="00F97F23">
            <w:pPr>
              <w:tabs>
                <w:tab w:val="left" w:pos="360"/>
              </w:tabs>
              <w:rPr>
                <w:rFonts w:ascii="Times New Roman" w:hAnsi="Times New Roman"/>
                <w:sz w:val="18"/>
                <w:szCs w:val="18"/>
              </w:rPr>
            </w:pPr>
            <w:r>
              <w:rPr>
                <w:rFonts w:ascii="Times New Roman" w:hAnsi="Times New Roman"/>
                <w:sz w:val="18"/>
                <w:szCs w:val="18"/>
              </w:rPr>
              <w:t>Čl. 11 odst. 5</w:t>
            </w:r>
          </w:p>
        </w:tc>
        <w:tc>
          <w:tcPr>
            <w:tcW w:w="6095" w:type="dxa"/>
            <w:shd w:val="clear" w:color="auto" w:fill="auto"/>
          </w:tcPr>
          <w:p w:rsid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lastRenderedPageBreak/>
              <w:t>9. Výrobci, kteří se domnívají nebo mají důvod se domnívat, že OOP, který uvedli na trh, není ve shodě s tímto nařízením, přijmou okamžitě nápravná opatření nezbytná k uvedení tohoto OOP do shody, nebo v případě potřeby k jeho stažení z trhu nebo z oběhu. Dále, pokud OOP představuje riziko, informují o tom výrobci neprodleně příslušné vnitrostátní orgány členských států, v nichž OOP dodali na trh, a uvedou podrobnosti, zejména o nesouladu a o přijatých nápravných opatřeních.</w:t>
            </w:r>
          </w:p>
          <w:p w:rsidR="009644FD" w:rsidRDefault="009644FD" w:rsidP="00220DF2">
            <w:pPr>
              <w:tabs>
                <w:tab w:val="left" w:pos="360"/>
              </w:tabs>
              <w:rPr>
                <w:rFonts w:ascii="Times New Roman" w:hAnsi="Times New Roman"/>
                <w:sz w:val="18"/>
                <w:szCs w:val="18"/>
              </w:rPr>
            </w:pPr>
          </w:p>
          <w:p w:rsid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 xml:space="preserve">10. Výrobci poskytnou příslušnému vnitrostátnímu orgánu na základě jeho odůvodněné žádosti všechny informace a dokumentaci nezbytné k prokázání shody OOP s tímto nařízením v papírové nebo elektronické podobě, a to v jazyce snadno srozumitelném tomuto orgánu. Spolupracují s tímto orgánem na jeho žádost při </w:t>
            </w:r>
            <w:r w:rsidRPr="00465B11">
              <w:rPr>
                <w:rFonts w:ascii="Times New Roman" w:hAnsi="Times New Roman"/>
                <w:sz w:val="18"/>
                <w:szCs w:val="18"/>
              </w:rPr>
              <w:lastRenderedPageBreak/>
              <w:t>činnostech, jejichž cílem je odstranit rizika vyvolaná OOP, které uvedli na trh.</w:t>
            </w:r>
          </w:p>
          <w:p w:rsidR="00465B11" w:rsidRDefault="00465B11" w:rsidP="00220DF2">
            <w:pPr>
              <w:tabs>
                <w:tab w:val="left" w:pos="360"/>
              </w:tabs>
              <w:rPr>
                <w:rFonts w:ascii="Times New Roman" w:hAnsi="Times New Roman"/>
                <w:sz w:val="18"/>
                <w:szCs w:val="18"/>
              </w:rPr>
            </w:pPr>
          </w:p>
          <w:p w:rsidR="00465B11" w:rsidRP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2. Zplnomocněný zástupce plní úkoly stanovené v pověření, které obdržel od výrobce. Pověření musí zplnomocněnému zástupci umožňovat alespoň:</w:t>
            </w:r>
          </w:p>
          <w:p w:rsidR="00465B11" w:rsidRP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a) uchovávat EU prohlášení o shodě a technickou dokumentaci pro potřebu vnitrostátních orgánů dozoru nad trhem po dobu deseti let od uvedení OOP na trh;</w:t>
            </w:r>
          </w:p>
          <w:p w:rsidR="00465B11" w:rsidRP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b) poskytnout příslušnému vnitrostátnímu orgánu na základě jeho odůvodněné žádosti všechny informace a dokumentaci nezbytné k prokázání shody OOP;</w:t>
            </w:r>
          </w:p>
          <w:p w:rsid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c) spolupracovat s příslušnými vnitrostátními orgány na jejich žádost při činnostech, jejichž cílem je odstranit rizika vyvolaná OOP, na které se vztahuje jeho pověření.</w:t>
            </w:r>
          </w:p>
          <w:p w:rsidR="00465B11" w:rsidRDefault="00465B11" w:rsidP="006F71A4">
            <w:pPr>
              <w:tabs>
                <w:tab w:val="left" w:pos="360"/>
              </w:tabs>
              <w:jc w:val="both"/>
              <w:rPr>
                <w:rFonts w:ascii="Times New Roman" w:hAnsi="Times New Roman"/>
                <w:sz w:val="18"/>
                <w:szCs w:val="18"/>
              </w:rPr>
            </w:pPr>
          </w:p>
          <w:p w:rsidR="00465B11" w:rsidRDefault="00465B11" w:rsidP="006F71A4">
            <w:pPr>
              <w:tabs>
                <w:tab w:val="left" w:pos="360"/>
              </w:tabs>
              <w:jc w:val="both"/>
              <w:rPr>
                <w:rFonts w:ascii="Times New Roman" w:hAnsi="Times New Roman"/>
                <w:sz w:val="18"/>
                <w:szCs w:val="18"/>
              </w:rPr>
            </w:pPr>
            <w:r w:rsidRPr="00465B11">
              <w:rPr>
                <w:rFonts w:ascii="Times New Roman" w:hAnsi="Times New Roman"/>
                <w:sz w:val="18"/>
                <w:szCs w:val="18"/>
              </w:rPr>
              <w:t>7. Dovozci, kteří se domnívají nebo mají důvod se domnívat, že OOP, který uvedli na trh, není ve shodě s tímto nařízením, přijmou okamžitě nápravná opatření nezbytná k uvedení OOP do shody, nebo v případě potřeby k jeho stažení z trhu nebo z oběhu. Dále, pokud OOP představuje riziko, informují o tom dovozci neprodleně příslušné vnitrostátní orgány členských států, ve kterých OOP dodali na trh, a uvedou podrobnosti, zejména o nesouladu a o přijatých nápravných opatřeních.</w:t>
            </w:r>
          </w:p>
          <w:p w:rsidR="009644FD" w:rsidRDefault="009644FD" w:rsidP="00220DF2">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9. Dovozci poskytnou příslušnému vnitrostátnímu orgánu na základě jeho odůvodněné žádosti všechny informace a dokumentaci nezbytné k prokázání shody OOP v papírové nebo elektronické podobě, a to v jazyce snadno srozumitelném tomuto orgánu. Dovozci spolupracují s tímto orgánem na jeho žádost při činnostech, jejichž cílem je odstranit rizika vyvolaná OOP, které uvedli na trh.</w:t>
            </w:r>
          </w:p>
          <w:p w:rsidR="00761A2B" w:rsidRDefault="00761A2B" w:rsidP="00220DF2">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4. Distributoři, kteří se domnívají nebo mají důvod se domnívat, že OOP, který dodali na trh, není ve shodě s tímto nařízením, zajistí, aby byla přijata nápravná opatření nezbytná k jeho uvedení do shody, nebo v případě potřeby k jeho stažení z trhu nebo z oběhu. Dále, pokud OOP představuje riziko, informují o tom distributoři neprodleně příslušné vnitrostátní orgány členských států, v nichž OOP dodali na trh, a uvedou podrobnosti, zejména o nesouladu a o přijatých nápravných opatřeních.</w:t>
            </w:r>
          </w:p>
          <w:p w:rsidR="00761A2B" w:rsidRDefault="00761A2B" w:rsidP="00220DF2">
            <w:pPr>
              <w:tabs>
                <w:tab w:val="left" w:pos="360"/>
              </w:tabs>
              <w:rPr>
                <w:rFonts w:ascii="Times New Roman" w:hAnsi="Times New Roman"/>
                <w:sz w:val="18"/>
                <w:szCs w:val="18"/>
              </w:rPr>
            </w:pPr>
          </w:p>
          <w:p w:rsidR="00761A2B" w:rsidRPr="00F30ED3"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5. Distributoři poskytnou příslušnému vnitrostátnímu orgánu na základě jeho odůvodněné žádosti všechny informace a dokumentaci v papírové nebo elektronické podobě nezbytné k prokázání shody OOP. Spolupracují s tímto orgánem na jeho žádost při činnostech, jejichž cílem je odstranit rizika vyvolaná OOP, které dodali na trh.</w:t>
            </w:r>
          </w:p>
        </w:tc>
      </w:tr>
      <w:tr w:rsidR="009644FD" w:rsidRPr="00F30ED3" w:rsidTr="001A59BD">
        <w:tblPrEx>
          <w:tblCellMar>
            <w:top w:w="0" w:type="dxa"/>
            <w:left w:w="0" w:type="dxa"/>
            <w:bottom w:w="0" w:type="dxa"/>
            <w:right w:w="0" w:type="dxa"/>
          </w:tblCellMar>
        </w:tblPrEx>
        <w:trPr>
          <w:trHeight w:val="2175"/>
        </w:trPr>
        <w:tc>
          <w:tcPr>
            <w:tcW w:w="1535" w:type="dxa"/>
            <w:vMerge/>
          </w:tcPr>
          <w:p w:rsidR="009644FD" w:rsidRDefault="009644FD" w:rsidP="00F97F23">
            <w:pPr>
              <w:tabs>
                <w:tab w:val="left" w:pos="360"/>
              </w:tabs>
              <w:rPr>
                <w:rFonts w:ascii="Times New Roman" w:hAnsi="Times New Roman"/>
                <w:sz w:val="18"/>
                <w:szCs w:val="18"/>
              </w:rPr>
            </w:pPr>
          </w:p>
        </w:tc>
        <w:tc>
          <w:tcPr>
            <w:tcW w:w="4111" w:type="dxa"/>
          </w:tcPr>
          <w:p w:rsidR="009644FD" w:rsidRDefault="009644FD" w:rsidP="009644FD">
            <w:pPr>
              <w:pStyle w:val="Bezmezer"/>
              <w:jc w:val="both"/>
              <w:rPr>
                <w:rFonts w:ascii="Times New Roman" w:hAnsi="Times New Roman"/>
                <w:sz w:val="18"/>
                <w:szCs w:val="24"/>
              </w:rPr>
            </w:pPr>
            <w:r w:rsidRPr="00E01B2F">
              <w:rPr>
                <w:rFonts w:ascii="Times New Roman" w:hAnsi="Times New Roman"/>
                <w:sz w:val="18"/>
                <w:szCs w:val="24"/>
              </w:rPr>
              <w:t xml:space="preserve">(2)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E01B2F">
              <w:rPr>
                <w:rFonts w:ascii="Times New Roman" w:hAnsi="Times New Roman"/>
                <w:sz w:val="18"/>
                <w:szCs w:val="24"/>
              </w:rPr>
              <w:t xml:space="preserve"> v oblasti osobních ochranných prostředků na jazyk určený nebo požadovaný členským státem, je tímto jazykem v České republice český jazyk.</w:t>
            </w:r>
          </w:p>
          <w:p w:rsidR="009644FD" w:rsidRPr="00E01B2F" w:rsidRDefault="009644FD" w:rsidP="00E01B2F">
            <w:pPr>
              <w:pStyle w:val="Bezmezer"/>
              <w:rPr>
                <w:rFonts w:ascii="Times New Roman" w:hAnsi="Times New Roman"/>
                <w:sz w:val="18"/>
                <w:szCs w:val="24"/>
              </w:rPr>
            </w:pPr>
          </w:p>
        </w:tc>
        <w:tc>
          <w:tcPr>
            <w:tcW w:w="992" w:type="dxa"/>
          </w:tcPr>
          <w:p w:rsidR="009644FD" w:rsidRDefault="00465B11" w:rsidP="00367A7A">
            <w:pPr>
              <w:tabs>
                <w:tab w:val="left" w:pos="360"/>
              </w:tabs>
              <w:rPr>
                <w:rFonts w:ascii="Times New Roman" w:hAnsi="Times New Roman"/>
                <w:sz w:val="18"/>
                <w:szCs w:val="18"/>
              </w:rPr>
            </w:pPr>
            <w:r>
              <w:rPr>
                <w:rFonts w:ascii="Times New Roman" w:hAnsi="Times New Roman"/>
                <w:sz w:val="18"/>
                <w:szCs w:val="18"/>
              </w:rPr>
              <w:t>32016R0425</w:t>
            </w:r>
          </w:p>
        </w:tc>
        <w:tc>
          <w:tcPr>
            <w:tcW w:w="1134" w:type="dxa"/>
            <w:shd w:val="clear" w:color="auto" w:fill="auto"/>
          </w:tcPr>
          <w:p w:rsidR="00465B11" w:rsidRDefault="00465B11" w:rsidP="00465B11">
            <w:pPr>
              <w:tabs>
                <w:tab w:val="left" w:pos="360"/>
              </w:tabs>
              <w:rPr>
                <w:rFonts w:ascii="Times New Roman" w:hAnsi="Times New Roman"/>
                <w:sz w:val="18"/>
                <w:szCs w:val="18"/>
              </w:rPr>
            </w:pPr>
            <w:r>
              <w:rPr>
                <w:rFonts w:ascii="Times New Roman" w:hAnsi="Times New Roman"/>
                <w:sz w:val="18"/>
                <w:szCs w:val="18"/>
              </w:rPr>
              <w:t>Čl. 8 odst. 7</w:t>
            </w:r>
          </w:p>
          <w:p w:rsidR="009644FD" w:rsidRDefault="009644FD"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F97F23">
            <w:pPr>
              <w:tabs>
                <w:tab w:val="left" w:pos="360"/>
              </w:tabs>
              <w:rPr>
                <w:rFonts w:ascii="Times New Roman" w:hAnsi="Times New Roman"/>
                <w:sz w:val="18"/>
                <w:szCs w:val="18"/>
              </w:rPr>
            </w:pPr>
          </w:p>
          <w:p w:rsidR="00465B11" w:rsidRDefault="00465B11" w:rsidP="00465B11">
            <w:pPr>
              <w:tabs>
                <w:tab w:val="left" w:pos="360"/>
              </w:tabs>
              <w:rPr>
                <w:rFonts w:ascii="Times New Roman" w:hAnsi="Times New Roman"/>
                <w:sz w:val="18"/>
                <w:szCs w:val="18"/>
              </w:rPr>
            </w:pPr>
            <w:r>
              <w:rPr>
                <w:rFonts w:ascii="Times New Roman" w:hAnsi="Times New Roman"/>
                <w:sz w:val="18"/>
                <w:szCs w:val="18"/>
              </w:rPr>
              <w:t>Čl. 10 odst. 4</w:t>
            </w:r>
          </w:p>
          <w:p w:rsidR="00465B11" w:rsidRDefault="00465B11" w:rsidP="00465B11">
            <w:pPr>
              <w:tabs>
                <w:tab w:val="left" w:pos="360"/>
              </w:tabs>
              <w:rPr>
                <w:rFonts w:ascii="Times New Roman" w:hAnsi="Times New Roman"/>
                <w:sz w:val="18"/>
                <w:szCs w:val="18"/>
              </w:rPr>
            </w:pPr>
          </w:p>
          <w:p w:rsidR="00465B11" w:rsidRDefault="00465B11" w:rsidP="00465B11">
            <w:pPr>
              <w:tabs>
                <w:tab w:val="left" w:pos="360"/>
              </w:tabs>
              <w:rPr>
                <w:rFonts w:ascii="Times New Roman" w:hAnsi="Times New Roman"/>
                <w:sz w:val="18"/>
                <w:szCs w:val="18"/>
              </w:rPr>
            </w:pPr>
          </w:p>
          <w:p w:rsidR="00465B11" w:rsidRDefault="00465B11" w:rsidP="00465B11">
            <w:pPr>
              <w:tabs>
                <w:tab w:val="left" w:pos="360"/>
              </w:tabs>
              <w:rPr>
                <w:rFonts w:ascii="Times New Roman" w:hAnsi="Times New Roman"/>
                <w:sz w:val="18"/>
                <w:szCs w:val="18"/>
              </w:rPr>
            </w:pPr>
          </w:p>
          <w:p w:rsidR="00465B11" w:rsidRDefault="00465B11" w:rsidP="00465B11">
            <w:pPr>
              <w:tabs>
                <w:tab w:val="left" w:pos="360"/>
              </w:tabs>
              <w:rPr>
                <w:rFonts w:ascii="Times New Roman" w:hAnsi="Times New Roman"/>
                <w:sz w:val="18"/>
                <w:szCs w:val="18"/>
              </w:rPr>
            </w:pPr>
            <w:r>
              <w:rPr>
                <w:rFonts w:ascii="Times New Roman" w:hAnsi="Times New Roman"/>
                <w:sz w:val="18"/>
                <w:szCs w:val="18"/>
              </w:rPr>
              <w:t>Čl. 15 odst. 2</w:t>
            </w:r>
          </w:p>
          <w:p w:rsidR="00465B11" w:rsidRDefault="00465B11" w:rsidP="00F97F23">
            <w:pPr>
              <w:tabs>
                <w:tab w:val="left" w:pos="360"/>
              </w:tabs>
              <w:rPr>
                <w:rFonts w:ascii="Times New Roman" w:hAnsi="Times New Roman"/>
                <w:sz w:val="18"/>
                <w:szCs w:val="18"/>
              </w:rPr>
            </w:pPr>
          </w:p>
        </w:tc>
        <w:tc>
          <w:tcPr>
            <w:tcW w:w="6095" w:type="dxa"/>
            <w:shd w:val="clear" w:color="auto" w:fill="auto"/>
          </w:tcPr>
          <w:p w:rsidR="00465B11" w:rsidRDefault="00465B11" w:rsidP="006F71A4">
            <w:pPr>
              <w:tabs>
                <w:tab w:val="left" w:pos="360"/>
              </w:tabs>
              <w:jc w:val="both"/>
              <w:rPr>
                <w:rFonts w:ascii="Times New Roman" w:hAnsi="Times New Roman"/>
                <w:sz w:val="18"/>
                <w:szCs w:val="18"/>
              </w:rPr>
            </w:pPr>
            <w:r>
              <w:rPr>
                <w:rFonts w:ascii="Times New Roman" w:hAnsi="Times New Roman"/>
                <w:sz w:val="18"/>
                <w:szCs w:val="18"/>
              </w:rPr>
              <w:t xml:space="preserve">7. </w:t>
            </w:r>
            <w:r w:rsidRPr="00220DF2">
              <w:rPr>
                <w:rFonts w:ascii="Times New Roman" w:hAnsi="Times New Roman"/>
                <w:sz w:val="18"/>
                <w:szCs w:val="18"/>
              </w:rPr>
              <w:t>Výrobci zajistí, aby byly k OOP přiloženy návod a informace uvedené v bodě 1.4 přílohy II v jazyce snadno srozumitelném spotřebitelům a ostatním konečným uživatelům, který určí příslušný členský stát. Tento návod a informace a veškerá označení musí být jasné, srozumitelné, snadno pochopitelné a čitelné.</w:t>
            </w:r>
          </w:p>
          <w:p w:rsidR="00465B11" w:rsidRDefault="00465B11" w:rsidP="00465B11">
            <w:pPr>
              <w:tabs>
                <w:tab w:val="left" w:pos="360"/>
              </w:tabs>
              <w:rPr>
                <w:rFonts w:ascii="Times New Roman" w:hAnsi="Times New Roman"/>
                <w:sz w:val="18"/>
                <w:szCs w:val="18"/>
              </w:rPr>
            </w:pPr>
          </w:p>
          <w:p w:rsidR="00465B11" w:rsidRDefault="00465B11" w:rsidP="006F71A4">
            <w:pPr>
              <w:tabs>
                <w:tab w:val="left" w:pos="360"/>
              </w:tabs>
              <w:jc w:val="both"/>
              <w:rPr>
                <w:rFonts w:ascii="Times New Roman" w:hAnsi="Times New Roman"/>
                <w:sz w:val="18"/>
                <w:szCs w:val="18"/>
              </w:rPr>
            </w:pPr>
            <w:r>
              <w:rPr>
                <w:rFonts w:ascii="Times New Roman" w:hAnsi="Times New Roman"/>
                <w:sz w:val="18"/>
                <w:szCs w:val="18"/>
              </w:rPr>
              <w:t xml:space="preserve">4. </w:t>
            </w:r>
            <w:r w:rsidRPr="00220DF2">
              <w:rPr>
                <w:rFonts w:ascii="Times New Roman" w:hAnsi="Times New Roman"/>
                <w:sz w:val="18"/>
                <w:szCs w:val="18"/>
              </w:rPr>
              <w:t>Dovozci zajistí, aby byly k OOP přiloženy návod a informace uvedené v bodě 1.4 přílohy II v jazyce snadno srozumitelném spotřebitelům a ostatním konečným uživatelům, který určí dotčený členský stát.</w:t>
            </w:r>
          </w:p>
          <w:p w:rsidR="00465B11" w:rsidRDefault="00465B11" w:rsidP="00465B11">
            <w:pPr>
              <w:tabs>
                <w:tab w:val="left" w:pos="360"/>
              </w:tabs>
              <w:rPr>
                <w:rFonts w:ascii="Times New Roman" w:hAnsi="Times New Roman"/>
                <w:sz w:val="18"/>
                <w:szCs w:val="18"/>
              </w:rPr>
            </w:pPr>
          </w:p>
          <w:p w:rsidR="009644FD" w:rsidRPr="00220DF2" w:rsidRDefault="00465B11" w:rsidP="006F71A4">
            <w:pPr>
              <w:tabs>
                <w:tab w:val="left" w:pos="360"/>
              </w:tabs>
              <w:jc w:val="both"/>
              <w:rPr>
                <w:rFonts w:ascii="Times New Roman" w:hAnsi="Times New Roman"/>
                <w:sz w:val="18"/>
                <w:szCs w:val="18"/>
              </w:rPr>
            </w:pPr>
            <w:r w:rsidRPr="00FF56FC">
              <w:rPr>
                <w:rFonts w:ascii="Times New Roman" w:hAnsi="Times New Roman"/>
                <w:sz w:val="18"/>
                <w:szCs w:val="18"/>
              </w:rPr>
              <w:t>2. EU prohlášení o shodě musí být vypracováno podle vzoru uvedeného v příloze IX, musí obsahovat prvky stanovené v příslušných modulech uvedených v přílohách IV, VI, VII a VIII a musí být průběžně aktualizováno. Přeloží se do jazyka nebo jazyků požadovaných členským státem, v němž se OOP uvádí nebo dodává na trh.</w:t>
            </w:r>
          </w:p>
        </w:tc>
      </w:tr>
      <w:tr w:rsidR="00761A2B" w:rsidRPr="00F30ED3" w:rsidTr="001A59BD">
        <w:tblPrEx>
          <w:tblCellMar>
            <w:top w:w="0" w:type="dxa"/>
            <w:left w:w="0" w:type="dxa"/>
            <w:bottom w:w="0" w:type="dxa"/>
            <w:right w:w="0" w:type="dxa"/>
          </w:tblCellMar>
        </w:tblPrEx>
        <w:trPr>
          <w:trHeight w:val="5693"/>
        </w:trPr>
        <w:tc>
          <w:tcPr>
            <w:tcW w:w="1535" w:type="dxa"/>
            <w:vMerge w:val="restart"/>
          </w:tcPr>
          <w:p w:rsidR="00761A2B" w:rsidRDefault="00F31AB6" w:rsidP="00F97F23">
            <w:pPr>
              <w:tabs>
                <w:tab w:val="left" w:pos="360"/>
              </w:tabs>
              <w:rPr>
                <w:rFonts w:ascii="Times New Roman" w:hAnsi="Times New Roman"/>
                <w:sz w:val="18"/>
                <w:szCs w:val="18"/>
              </w:rPr>
            </w:pPr>
            <w:r>
              <w:rPr>
                <w:rFonts w:ascii="Times New Roman" w:hAnsi="Times New Roman"/>
                <w:sz w:val="18"/>
                <w:szCs w:val="18"/>
              </w:rPr>
              <w:t>Čl. I bod 3</w:t>
            </w:r>
          </w:p>
          <w:p w:rsidR="00761A2B" w:rsidRPr="00F30ED3" w:rsidRDefault="00761A2B" w:rsidP="00F97F23">
            <w:pPr>
              <w:tabs>
                <w:tab w:val="left" w:pos="360"/>
              </w:tabs>
              <w:rPr>
                <w:rFonts w:ascii="Times New Roman" w:hAnsi="Times New Roman"/>
                <w:sz w:val="18"/>
                <w:szCs w:val="18"/>
              </w:rPr>
            </w:pPr>
            <w:r>
              <w:rPr>
                <w:rFonts w:ascii="Times New Roman" w:hAnsi="Times New Roman"/>
                <w:sz w:val="18"/>
                <w:szCs w:val="18"/>
              </w:rPr>
              <w:t xml:space="preserve">(§ 27a zákona č. 90/2016 Sb.) </w:t>
            </w:r>
          </w:p>
        </w:tc>
        <w:tc>
          <w:tcPr>
            <w:tcW w:w="4111" w:type="dxa"/>
          </w:tcPr>
          <w:p w:rsidR="00761A2B" w:rsidRPr="00FF56FC" w:rsidRDefault="00761A2B" w:rsidP="00FF56FC">
            <w:pPr>
              <w:pStyle w:val="Bezmezer"/>
              <w:jc w:val="both"/>
              <w:rPr>
                <w:rFonts w:ascii="Times New Roman" w:hAnsi="Times New Roman"/>
                <w:sz w:val="18"/>
                <w:szCs w:val="24"/>
              </w:rPr>
            </w:pPr>
            <w:r w:rsidRPr="00FF56FC">
              <w:rPr>
                <w:rFonts w:ascii="Times New Roman" w:hAnsi="Times New Roman"/>
                <w:sz w:val="18"/>
                <w:szCs w:val="24"/>
              </w:rPr>
              <w:t>V části druhé Hlavě I se za Oddíl 1 vkládají nové Oddíly 2 a 3, které včetně nadpisů a poznámek pod čarou č. 12 až 15 znějí:</w:t>
            </w: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center"/>
              <w:rPr>
                <w:rFonts w:ascii="Times New Roman" w:hAnsi="Times New Roman"/>
                <w:sz w:val="18"/>
                <w:szCs w:val="24"/>
              </w:rPr>
            </w:pPr>
            <w:r w:rsidRPr="00FF56FC">
              <w:rPr>
                <w:rFonts w:ascii="Times New Roman" w:hAnsi="Times New Roman"/>
                <w:sz w:val="18"/>
                <w:szCs w:val="24"/>
              </w:rPr>
              <w:t>„Oddíl 2</w:t>
            </w: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center"/>
              <w:rPr>
                <w:rFonts w:ascii="Times New Roman" w:hAnsi="Times New Roman"/>
                <w:b/>
                <w:sz w:val="18"/>
                <w:szCs w:val="24"/>
              </w:rPr>
            </w:pPr>
            <w:r w:rsidRPr="00FF56FC">
              <w:rPr>
                <w:rFonts w:ascii="Times New Roman" w:hAnsi="Times New Roman"/>
                <w:b/>
                <w:sz w:val="18"/>
                <w:szCs w:val="24"/>
              </w:rPr>
              <w:t>Spotřebiče plynných paliv</w:t>
            </w: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center"/>
              <w:rPr>
                <w:rFonts w:ascii="Times New Roman" w:hAnsi="Times New Roman"/>
                <w:sz w:val="18"/>
                <w:szCs w:val="24"/>
              </w:rPr>
            </w:pPr>
            <w:r w:rsidRPr="00FF56FC">
              <w:rPr>
                <w:rFonts w:ascii="Times New Roman" w:hAnsi="Times New Roman"/>
                <w:sz w:val="18"/>
                <w:szCs w:val="24"/>
              </w:rPr>
              <w:t>§ 27a</w:t>
            </w: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both"/>
              <w:rPr>
                <w:rFonts w:ascii="Times New Roman" w:hAnsi="Times New Roman"/>
                <w:sz w:val="18"/>
                <w:szCs w:val="24"/>
              </w:rPr>
            </w:pPr>
            <w:r w:rsidRPr="00FF56FC">
              <w:rPr>
                <w:rFonts w:ascii="Times New Roman" w:hAnsi="Times New Roman"/>
                <w:sz w:val="18"/>
                <w:szCs w:val="24"/>
              </w:rPr>
              <w:t xml:space="preserve">(1)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FF56FC">
              <w:rPr>
                <w:rFonts w:ascii="Times New Roman" w:hAnsi="Times New Roman"/>
                <w:sz w:val="18"/>
                <w:szCs w:val="24"/>
              </w:rPr>
              <w:t xml:space="preserve"> v oblasti spotřebičů plynných paliv12) na příslušný vnitrostátní orgán, je tímto orgánem v České republice orgán dozoru.</w:t>
            </w: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both"/>
              <w:rPr>
                <w:rFonts w:ascii="Times New Roman" w:hAnsi="Times New Roman"/>
                <w:sz w:val="18"/>
                <w:szCs w:val="24"/>
              </w:rPr>
            </w:pPr>
          </w:p>
          <w:p w:rsidR="00761A2B" w:rsidRPr="00FF56FC" w:rsidRDefault="00761A2B" w:rsidP="00FF56FC">
            <w:pPr>
              <w:pStyle w:val="Bezmezer"/>
              <w:jc w:val="both"/>
              <w:rPr>
                <w:rFonts w:ascii="Times New Roman" w:hAnsi="Times New Roman"/>
                <w:sz w:val="18"/>
                <w:szCs w:val="24"/>
              </w:rPr>
            </w:pPr>
            <w:r w:rsidRPr="00FF56FC">
              <w:rPr>
                <w:rFonts w:ascii="Times New Roman" w:hAnsi="Times New Roman"/>
                <w:sz w:val="18"/>
                <w:szCs w:val="24"/>
              </w:rPr>
              <w:t>________________</w:t>
            </w:r>
          </w:p>
          <w:p w:rsidR="00761A2B" w:rsidRPr="00FF56FC" w:rsidRDefault="00761A2B" w:rsidP="00FF56FC">
            <w:pPr>
              <w:pStyle w:val="Bezmezer"/>
              <w:jc w:val="both"/>
              <w:rPr>
                <w:rFonts w:ascii="Times New Roman" w:hAnsi="Times New Roman"/>
                <w:sz w:val="18"/>
                <w:szCs w:val="24"/>
              </w:rPr>
            </w:pPr>
            <w:r w:rsidRPr="00FF56FC">
              <w:rPr>
                <w:rFonts w:ascii="Times New Roman" w:hAnsi="Times New Roman"/>
                <w:sz w:val="18"/>
                <w:szCs w:val="24"/>
              </w:rPr>
              <w:t>12) Nařízení Evropského parlamentu a Rady (EU) 2016/426 ze dne 9. března 2016 o spotřebičích plynných paliv a o zrušení směrnice Rady 2009/142/ES.</w:t>
            </w:r>
          </w:p>
          <w:p w:rsidR="00761A2B" w:rsidRPr="00FF56FC" w:rsidRDefault="00761A2B" w:rsidP="0099561F">
            <w:pPr>
              <w:pStyle w:val="Bezmezer"/>
              <w:jc w:val="both"/>
              <w:rPr>
                <w:rFonts w:ascii="Times New Roman" w:hAnsi="Times New Roman"/>
                <w:sz w:val="18"/>
                <w:szCs w:val="24"/>
              </w:rPr>
            </w:pPr>
          </w:p>
        </w:tc>
        <w:tc>
          <w:tcPr>
            <w:tcW w:w="992" w:type="dxa"/>
          </w:tcPr>
          <w:p w:rsidR="00761A2B" w:rsidRDefault="00761A2B" w:rsidP="00FF56FC">
            <w:pPr>
              <w:tabs>
                <w:tab w:val="left" w:pos="360"/>
              </w:tabs>
              <w:jc w:val="both"/>
              <w:rPr>
                <w:rFonts w:ascii="Times New Roman" w:eastAsia="Calibri" w:hAnsi="Times New Roman"/>
                <w:sz w:val="18"/>
                <w:szCs w:val="24"/>
                <w:lang w:eastAsia="en-US"/>
              </w:rPr>
            </w:pPr>
            <w:r>
              <w:rPr>
                <w:rFonts w:ascii="Times New Roman" w:eastAsia="Calibri" w:hAnsi="Times New Roman"/>
                <w:sz w:val="18"/>
                <w:szCs w:val="24"/>
                <w:lang w:eastAsia="en-US"/>
              </w:rPr>
              <w:t>32016R0426</w:t>
            </w: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Default="00761A2B" w:rsidP="00FF56FC">
            <w:pPr>
              <w:tabs>
                <w:tab w:val="left" w:pos="360"/>
              </w:tabs>
              <w:jc w:val="both"/>
              <w:rPr>
                <w:rFonts w:ascii="Times New Roman" w:eastAsia="Calibri" w:hAnsi="Times New Roman"/>
                <w:sz w:val="18"/>
                <w:szCs w:val="24"/>
                <w:lang w:eastAsia="en-US"/>
              </w:rPr>
            </w:pPr>
          </w:p>
          <w:p w:rsidR="00761A2B" w:rsidRPr="00FF56FC" w:rsidRDefault="00761A2B" w:rsidP="0099561F">
            <w:pPr>
              <w:tabs>
                <w:tab w:val="left" w:pos="360"/>
              </w:tabs>
              <w:jc w:val="both"/>
              <w:rPr>
                <w:rFonts w:ascii="Times New Roman" w:eastAsia="Calibri" w:hAnsi="Times New Roman"/>
                <w:sz w:val="18"/>
                <w:szCs w:val="24"/>
                <w:lang w:eastAsia="en-US"/>
              </w:rPr>
            </w:pPr>
          </w:p>
        </w:tc>
        <w:tc>
          <w:tcPr>
            <w:tcW w:w="1134" w:type="dxa"/>
            <w:shd w:val="clear" w:color="auto" w:fill="auto"/>
          </w:tcPr>
          <w:p w:rsidR="00761A2B" w:rsidRDefault="00761A2B" w:rsidP="00F97F23">
            <w:pPr>
              <w:tabs>
                <w:tab w:val="left" w:pos="360"/>
              </w:tabs>
              <w:rPr>
                <w:rFonts w:ascii="Times New Roman" w:hAnsi="Times New Roman"/>
                <w:sz w:val="18"/>
                <w:szCs w:val="18"/>
              </w:rPr>
            </w:pPr>
            <w:r>
              <w:rPr>
                <w:rFonts w:ascii="Times New Roman" w:hAnsi="Times New Roman"/>
                <w:sz w:val="18"/>
                <w:szCs w:val="18"/>
              </w:rPr>
              <w:lastRenderedPageBreak/>
              <w:t>Čl. 7 odst. 8</w:t>
            </w: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r>
              <w:rPr>
                <w:rFonts w:ascii="Times New Roman" w:hAnsi="Times New Roman"/>
                <w:sz w:val="18"/>
                <w:szCs w:val="18"/>
              </w:rPr>
              <w:t>Čl. 7 odst. 9</w:t>
            </w: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8 odst. 2</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9 odst. 7</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9 odst. 9</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10 odst. 4</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Pr="00F30ED3" w:rsidRDefault="00FE3E95" w:rsidP="00761A2B">
            <w:pPr>
              <w:tabs>
                <w:tab w:val="left" w:pos="360"/>
              </w:tabs>
              <w:rPr>
                <w:rFonts w:ascii="Times New Roman" w:hAnsi="Times New Roman"/>
                <w:sz w:val="18"/>
                <w:szCs w:val="18"/>
              </w:rPr>
            </w:pPr>
            <w:r>
              <w:rPr>
                <w:rFonts w:ascii="Times New Roman" w:hAnsi="Times New Roman"/>
                <w:sz w:val="18"/>
                <w:szCs w:val="18"/>
              </w:rPr>
              <w:t>Čl. 10 odst. 5</w:t>
            </w:r>
          </w:p>
        </w:tc>
        <w:tc>
          <w:tcPr>
            <w:tcW w:w="6095" w:type="dxa"/>
            <w:shd w:val="clear" w:color="auto" w:fill="auto"/>
          </w:tcPr>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lastRenderedPageBreak/>
              <w:t>8. Výrobci, kteří se domnívají nebo mají důvod se domnívat, že spotřebič nebo vybavení, které uvedli na trh, není ve shodě s tímto nařízením, přijmou okamžitě nezbytná nápravná opatření k uvedení tohoto spotřebiče nebo vybavení do shody, nebo v případě potřeby k jeho stažení z trhu nebo z oběhu. Dále, pokud spotřebič nebo vybavení představuje riziko, informují o tom výrobci neprodleně příslušné vnitrostátní orgány členských států, v nichž spotřebič nebo vybavení dodali na trh, a uvedou podrobnosti, zejména o nesouladu a o přijatých nápravných opatřeních.</w:t>
            </w:r>
          </w:p>
          <w:p w:rsidR="00761A2B" w:rsidRDefault="00761A2B" w:rsidP="002C31AF">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9. Výrobci poskytnou příslušnému vnitrostátnímu orgánu na základě jeho odůvodněné žádosti všechny informace a dokumentaci nezbytné k prokázání shody spotřebiče nebo vybavení s tímto nařízením, a to v jazyce snadno srozumitelném tomuto orgánu. Tyto informace a dokumentace mohou být poskytnuty v papírové nebo elektronické podobě. Spolupracují s tímto orgánem na jeho žádost při činnostech, jejichž cílem je odstranit rizika vyvolaná spotřebiči nebo vybaveními, které uvedli na trh.</w:t>
            </w:r>
          </w:p>
          <w:p w:rsidR="00761A2B" w:rsidRDefault="00761A2B" w:rsidP="0099561F">
            <w:pPr>
              <w:tabs>
                <w:tab w:val="left" w:pos="360"/>
              </w:tabs>
              <w:rPr>
                <w:rFonts w:ascii="Times New Roman" w:hAnsi="Times New Roman"/>
                <w:sz w:val="18"/>
                <w:szCs w:val="18"/>
              </w:rPr>
            </w:pPr>
            <w:r w:rsidRPr="004736AC">
              <w:rPr>
                <w:rFonts w:ascii="Times New Roman" w:hAnsi="Times New Roman"/>
                <w:sz w:val="18"/>
                <w:szCs w:val="18"/>
              </w:rPr>
              <w:t>.</w:t>
            </w:r>
          </w:p>
          <w:p w:rsidR="00761A2B" w:rsidRP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2. Zplnomocněný zástupce plní úkoly stanovené v pověření, které obdržel od výrobce. Pověření musí zplnomocněnému zástupci umožňovat alespoň:</w:t>
            </w:r>
          </w:p>
          <w:p w:rsidR="00761A2B" w:rsidRP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a) uchovávat EU prohlášení o shodě a technickou dokumentaci pro potřebu vnitrostátních orgánů dozoru nad trhem po dobu deseti let od uvedení spotřebiče nebo vybavení na trh;</w:t>
            </w:r>
          </w:p>
          <w:p w:rsidR="00761A2B" w:rsidRP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b) poskytnout příslušnému vnitrostátnímu orgánu na základě jeho odůvodněné žádosti všechny informace a dokumentaci nezbytné k prokázání shody spotřebiče nebo vybavení;</w:t>
            </w: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c) spolupracovat s příslušnými vnitrostátními orgány na jejich žádost při činnostech, jejichž cílem je odstranit rizika vyvolaná spotřebiči nebo vybaveními, na které se vztahuje jeho pověření.</w:t>
            </w:r>
          </w:p>
          <w:p w:rsidR="00761A2B"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 xml:space="preserve">7. Dovozci, kteří se domnívají nebo mají důvod se domnívat, že spotřebič nebo vybavení, které uvedli na trh, není ve shodě s tímto nařízením, přijmou okamžitě </w:t>
            </w:r>
            <w:r w:rsidRPr="00761A2B">
              <w:rPr>
                <w:rFonts w:ascii="Times New Roman" w:hAnsi="Times New Roman"/>
                <w:sz w:val="18"/>
                <w:szCs w:val="18"/>
              </w:rPr>
              <w:lastRenderedPageBreak/>
              <w:t>nápravná opatření k uvedení tohoto spotřebiče nebo vybavení do shody, nebo v případě potřeby k jeho stažení z trhu nebo z oběhu. Dále, pokud spotřebič nebo vybavení představuje riziko, informují o tom dovozci neprodleně příslušné vnitrostátní orgány členských států, v nichž spotřebič nebo vybavení dodali na trh, a uvedou podrobnosti, zejména o nesouladu a o přijatých nápravných opatřeních.</w:t>
            </w:r>
          </w:p>
          <w:p w:rsidR="00761A2B"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9. Dovozci poskytnou příslušnému vnitrostátnímu orgánu na základě jeho odůvodněné žádosti všechny informace a dokumentaci nezbytné k prokázání shody spotřebiče nebo vybavení, a to v jazyce snadno srozumitelném tomuto orgánu. Tyto informace a dokumentace mohou být poskytnuty v papírové nebo elektronické podobě. Dovozci spolupracují s tímto orgánem na jeho žádost při činnostech, jejichž cílem je odstranit rizika vyvolaná spotřebiči nebo vybaveními, které uvedli na trh.</w:t>
            </w:r>
          </w:p>
          <w:p w:rsidR="00761A2B"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4. Distributoři, kteří se domnívají nebo mají důvod se domnívat, že spotřebič nebo vybavení, které dodali na trh, nejsou ve shodě s tímto nařízením, zajistí, aby byla přijata nezbytná nápravná opatření k uvedení tohoto spotřebiče nebo vybavení do shody, nebo v případě potřeby k jejich stažení z trhu nebo z oběhu. Dále, pokud spotřebič nebo vybavení představuje riziko, distributoři o tom neprodleně informují příslušné vnitrostátní orgány členských států, v nichž spotřebič nebo vybavení dodali na trh, a uvedou podrobnosti, zejména o nesouladu a o přijatých nápravných opatřeních.</w:t>
            </w:r>
          </w:p>
          <w:p w:rsidR="00761A2B" w:rsidRDefault="00761A2B" w:rsidP="00761A2B">
            <w:pPr>
              <w:tabs>
                <w:tab w:val="left" w:pos="360"/>
              </w:tabs>
              <w:rPr>
                <w:rFonts w:ascii="Times New Roman" w:hAnsi="Times New Roman"/>
                <w:sz w:val="18"/>
                <w:szCs w:val="18"/>
              </w:rPr>
            </w:pPr>
          </w:p>
          <w:p w:rsidR="00761A2B" w:rsidRPr="00F30ED3" w:rsidRDefault="00761A2B" w:rsidP="006F71A4">
            <w:pPr>
              <w:tabs>
                <w:tab w:val="left" w:pos="360"/>
              </w:tabs>
              <w:jc w:val="both"/>
              <w:rPr>
                <w:rFonts w:ascii="Times New Roman" w:hAnsi="Times New Roman"/>
                <w:sz w:val="18"/>
                <w:szCs w:val="18"/>
              </w:rPr>
            </w:pPr>
            <w:r w:rsidRPr="00761A2B">
              <w:rPr>
                <w:rFonts w:ascii="Times New Roman" w:hAnsi="Times New Roman"/>
                <w:sz w:val="18"/>
                <w:szCs w:val="18"/>
              </w:rPr>
              <w:t>5. Distributoři poskytnou příslušnému vnitrostátnímu orgánu na základě jeho odůvodněné žádosti všechny informace a dokumentaci nezbytné k prokázání shody spotřebiče nebo vybavení. Tyto informace a dokumentace mohou být poskytnuty v papírové nebo elektronické podobě. Distributoři spolupracují s tímto orgánem na jeho žádost při činnostech, jejichž cílem je odstranit rizika vyvolaná spotřebiči nebo vybaveními, které dodali na trh.</w:t>
            </w:r>
          </w:p>
        </w:tc>
      </w:tr>
      <w:tr w:rsidR="00761A2B" w:rsidRPr="00F30ED3" w:rsidTr="00D94B17">
        <w:tblPrEx>
          <w:tblCellMar>
            <w:top w:w="0" w:type="dxa"/>
            <w:left w:w="0" w:type="dxa"/>
            <w:bottom w:w="0" w:type="dxa"/>
            <w:right w:w="0" w:type="dxa"/>
          </w:tblCellMar>
        </w:tblPrEx>
        <w:trPr>
          <w:trHeight w:val="2976"/>
        </w:trPr>
        <w:tc>
          <w:tcPr>
            <w:tcW w:w="1535" w:type="dxa"/>
            <w:vMerge/>
          </w:tcPr>
          <w:p w:rsidR="00761A2B" w:rsidRDefault="00761A2B" w:rsidP="00F97F23">
            <w:pPr>
              <w:tabs>
                <w:tab w:val="left" w:pos="360"/>
              </w:tabs>
              <w:rPr>
                <w:rFonts w:ascii="Times New Roman" w:hAnsi="Times New Roman"/>
                <w:sz w:val="18"/>
                <w:szCs w:val="18"/>
              </w:rPr>
            </w:pPr>
          </w:p>
        </w:tc>
        <w:tc>
          <w:tcPr>
            <w:tcW w:w="4111" w:type="dxa"/>
          </w:tcPr>
          <w:p w:rsidR="00761A2B" w:rsidRPr="00FF56FC" w:rsidRDefault="00761A2B" w:rsidP="00761A2B">
            <w:pPr>
              <w:pStyle w:val="Bezmezer"/>
              <w:jc w:val="both"/>
              <w:rPr>
                <w:rFonts w:ascii="Times New Roman" w:hAnsi="Times New Roman"/>
                <w:sz w:val="18"/>
                <w:szCs w:val="24"/>
              </w:rPr>
            </w:pPr>
            <w:r w:rsidRPr="00FF56FC">
              <w:rPr>
                <w:rFonts w:ascii="Times New Roman" w:hAnsi="Times New Roman"/>
                <w:sz w:val="18"/>
                <w:szCs w:val="24"/>
              </w:rPr>
              <w:t xml:space="preserve">(2)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FF56FC">
              <w:rPr>
                <w:rFonts w:ascii="Times New Roman" w:hAnsi="Times New Roman"/>
                <w:sz w:val="18"/>
                <w:szCs w:val="24"/>
              </w:rPr>
              <w:t xml:space="preserve"> v oblasti spotřebičů plynných paliv na jazyk určený nebo požadovaný členským státem, je tímto jazykem v České republice český jazyk.</w:t>
            </w:r>
          </w:p>
          <w:p w:rsidR="00761A2B" w:rsidRPr="00FF56FC" w:rsidRDefault="00761A2B" w:rsidP="00FF56FC">
            <w:pPr>
              <w:pStyle w:val="Bezmezer"/>
              <w:jc w:val="both"/>
              <w:rPr>
                <w:rFonts w:ascii="Times New Roman" w:hAnsi="Times New Roman"/>
                <w:sz w:val="18"/>
                <w:szCs w:val="24"/>
              </w:rPr>
            </w:pPr>
          </w:p>
        </w:tc>
        <w:tc>
          <w:tcPr>
            <w:tcW w:w="992" w:type="dxa"/>
          </w:tcPr>
          <w:p w:rsidR="00761A2B" w:rsidRDefault="00761A2B" w:rsidP="00FF56FC">
            <w:pPr>
              <w:tabs>
                <w:tab w:val="left" w:pos="360"/>
              </w:tabs>
              <w:jc w:val="both"/>
              <w:rPr>
                <w:rFonts w:ascii="Times New Roman" w:eastAsia="Calibri" w:hAnsi="Times New Roman"/>
                <w:sz w:val="18"/>
                <w:szCs w:val="24"/>
                <w:lang w:eastAsia="en-US"/>
              </w:rPr>
            </w:pPr>
          </w:p>
        </w:tc>
        <w:tc>
          <w:tcPr>
            <w:tcW w:w="1134" w:type="dxa"/>
            <w:shd w:val="clear" w:color="auto" w:fill="auto"/>
          </w:tcPr>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7 odst. 7</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9 odst. 4</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r>
              <w:rPr>
                <w:rFonts w:ascii="Times New Roman" w:hAnsi="Times New Roman"/>
                <w:sz w:val="18"/>
                <w:szCs w:val="18"/>
              </w:rPr>
              <w:t>Čl. 10 odst. 2</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1E4CA2" w:rsidRDefault="001E4CA2" w:rsidP="00761A2B">
            <w:pPr>
              <w:tabs>
                <w:tab w:val="left" w:pos="360"/>
              </w:tabs>
              <w:rPr>
                <w:rFonts w:ascii="Times New Roman" w:hAnsi="Times New Roman"/>
                <w:sz w:val="18"/>
                <w:szCs w:val="18"/>
              </w:rPr>
            </w:pPr>
          </w:p>
          <w:p w:rsidR="001E4CA2" w:rsidRDefault="001E4CA2" w:rsidP="00761A2B">
            <w:pPr>
              <w:tabs>
                <w:tab w:val="left" w:pos="360"/>
              </w:tabs>
              <w:rPr>
                <w:rFonts w:ascii="Times New Roman" w:hAnsi="Times New Roman"/>
                <w:sz w:val="18"/>
                <w:szCs w:val="18"/>
              </w:rPr>
            </w:pPr>
          </w:p>
          <w:p w:rsidR="00761A2B" w:rsidRDefault="004224E6" w:rsidP="00761A2B">
            <w:pPr>
              <w:tabs>
                <w:tab w:val="left" w:pos="360"/>
              </w:tabs>
              <w:rPr>
                <w:rFonts w:ascii="Times New Roman" w:hAnsi="Times New Roman"/>
                <w:sz w:val="18"/>
                <w:szCs w:val="18"/>
              </w:rPr>
            </w:pPr>
            <w:r>
              <w:rPr>
                <w:rFonts w:ascii="Times New Roman" w:hAnsi="Times New Roman"/>
                <w:sz w:val="18"/>
                <w:szCs w:val="18"/>
              </w:rPr>
              <w:t>Čl. 15 odst. 2</w:t>
            </w:r>
          </w:p>
          <w:p w:rsidR="004224E6" w:rsidRDefault="004224E6" w:rsidP="00761A2B">
            <w:pPr>
              <w:tabs>
                <w:tab w:val="left" w:pos="360"/>
              </w:tabs>
              <w:rPr>
                <w:rFonts w:ascii="Times New Roman" w:hAnsi="Times New Roman"/>
                <w:sz w:val="18"/>
                <w:szCs w:val="18"/>
              </w:rPr>
            </w:pPr>
          </w:p>
          <w:p w:rsidR="001E4CA2" w:rsidRDefault="001E4CA2" w:rsidP="00761A2B">
            <w:pPr>
              <w:tabs>
                <w:tab w:val="left" w:pos="360"/>
              </w:tabs>
              <w:rPr>
                <w:rFonts w:ascii="Times New Roman" w:hAnsi="Times New Roman"/>
                <w:sz w:val="18"/>
                <w:szCs w:val="18"/>
              </w:rPr>
            </w:pPr>
          </w:p>
          <w:p w:rsidR="001E4CA2" w:rsidRDefault="001E4CA2" w:rsidP="00761A2B">
            <w:pPr>
              <w:tabs>
                <w:tab w:val="left" w:pos="360"/>
              </w:tabs>
              <w:rPr>
                <w:rFonts w:ascii="Times New Roman" w:hAnsi="Times New Roman"/>
                <w:sz w:val="18"/>
                <w:szCs w:val="18"/>
              </w:rPr>
            </w:pPr>
          </w:p>
          <w:p w:rsidR="004224E6" w:rsidRDefault="004224E6" w:rsidP="00761A2B">
            <w:pPr>
              <w:tabs>
                <w:tab w:val="left" w:pos="360"/>
              </w:tabs>
              <w:rPr>
                <w:rFonts w:ascii="Times New Roman" w:hAnsi="Times New Roman"/>
                <w:sz w:val="18"/>
                <w:szCs w:val="18"/>
              </w:rPr>
            </w:pPr>
          </w:p>
          <w:p w:rsidR="004224E6" w:rsidRDefault="004224E6" w:rsidP="00761A2B">
            <w:pPr>
              <w:tabs>
                <w:tab w:val="left" w:pos="360"/>
              </w:tabs>
              <w:rPr>
                <w:rFonts w:ascii="Times New Roman" w:hAnsi="Times New Roman"/>
                <w:sz w:val="18"/>
                <w:szCs w:val="18"/>
              </w:rPr>
            </w:pPr>
            <w:r>
              <w:rPr>
                <w:rFonts w:ascii="Times New Roman" w:hAnsi="Times New Roman"/>
                <w:sz w:val="18"/>
                <w:szCs w:val="18"/>
              </w:rPr>
              <w:t>Čl. 15 odst. 3</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Default="00761A2B" w:rsidP="00F97F23">
            <w:pPr>
              <w:tabs>
                <w:tab w:val="left" w:pos="360"/>
              </w:tabs>
              <w:rPr>
                <w:rFonts w:ascii="Times New Roman" w:hAnsi="Times New Roman"/>
                <w:sz w:val="18"/>
                <w:szCs w:val="18"/>
              </w:rPr>
            </w:pPr>
          </w:p>
        </w:tc>
        <w:tc>
          <w:tcPr>
            <w:tcW w:w="6095" w:type="dxa"/>
            <w:shd w:val="clear" w:color="auto" w:fill="auto"/>
          </w:tcPr>
          <w:p w:rsidR="00761A2B" w:rsidRPr="004736AC" w:rsidRDefault="001E4CA2" w:rsidP="006F71A4">
            <w:pPr>
              <w:tabs>
                <w:tab w:val="left" w:pos="360"/>
              </w:tabs>
              <w:jc w:val="both"/>
              <w:rPr>
                <w:rFonts w:ascii="Times New Roman" w:hAnsi="Times New Roman"/>
                <w:sz w:val="18"/>
                <w:szCs w:val="18"/>
              </w:rPr>
            </w:pPr>
            <w:r>
              <w:rPr>
                <w:rFonts w:ascii="Times New Roman" w:hAnsi="Times New Roman"/>
                <w:sz w:val="18"/>
                <w:szCs w:val="18"/>
              </w:rPr>
              <w:lastRenderedPageBreak/>
              <w:t xml:space="preserve">7. </w:t>
            </w:r>
            <w:r w:rsidR="00761A2B" w:rsidRPr="004736AC">
              <w:rPr>
                <w:rFonts w:ascii="Times New Roman" w:hAnsi="Times New Roman"/>
                <w:sz w:val="18"/>
                <w:szCs w:val="18"/>
              </w:rPr>
              <w:t>Výrobci zajistí, aby byly ke spotřebiči přiloženy návod a bezpečnostní informace podle bodu 1.5 přílohy I v jazyce snadno srozumitelném spotřebitelům a ostatním konečným uživatelům, který určí dotčený členský stát. Tento návod a bezpečnostní informace a veškerá označení musí být jasné, srozumitelné a snadno pochopitelné.</w:t>
            </w:r>
          </w:p>
          <w:p w:rsidR="00761A2B" w:rsidRPr="004736AC" w:rsidRDefault="00761A2B" w:rsidP="00761A2B">
            <w:pPr>
              <w:tabs>
                <w:tab w:val="left" w:pos="360"/>
              </w:tabs>
              <w:rPr>
                <w:rFonts w:ascii="Times New Roman" w:hAnsi="Times New Roman"/>
                <w:sz w:val="18"/>
                <w:szCs w:val="18"/>
              </w:rPr>
            </w:pPr>
          </w:p>
          <w:p w:rsidR="00761A2B" w:rsidRPr="004736AC" w:rsidRDefault="00761A2B" w:rsidP="006F71A4">
            <w:pPr>
              <w:tabs>
                <w:tab w:val="left" w:pos="360"/>
              </w:tabs>
              <w:jc w:val="both"/>
              <w:rPr>
                <w:rFonts w:ascii="Times New Roman" w:hAnsi="Times New Roman"/>
                <w:sz w:val="18"/>
                <w:szCs w:val="18"/>
              </w:rPr>
            </w:pPr>
            <w:r w:rsidRPr="004736AC">
              <w:rPr>
                <w:rFonts w:ascii="Times New Roman" w:hAnsi="Times New Roman"/>
                <w:sz w:val="18"/>
                <w:szCs w:val="18"/>
              </w:rPr>
              <w:t>Výrobci zajistí, aby byla k vybavení přiložena kopie EU prohlášení o shodě obsahující mimo jiné návod k zabudování nebo montáži, seřízení, provozu a údržbě podle bodu 1.7 přílohy I v jazyce snadno srozumitelném výrobcům spotřebičů, který určí dotčený členský stát.</w:t>
            </w:r>
          </w:p>
          <w:p w:rsidR="00761A2B" w:rsidRPr="004736AC"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4736AC">
              <w:rPr>
                <w:rFonts w:ascii="Times New Roman" w:hAnsi="Times New Roman"/>
                <w:sz w:val="18"/>
                <w:szCs w:val="18"/>
              </w:rPr>
              <w:t>Nicméně v případech, kdy je jedinému dodavateli dodáváno velké množství vybavení, je možné k dotčené dodávce přiložit jedinou kopii EU prohlášení o shodě.</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Pr="004736AC" w:rsidRDefault="001E4CA2" w:rsidP="006F71A4">
            <w:pPr>
              <w:tabs>
                <w:tab w:val="left" w:pos="360"/>
              </w:tabs>
              <w:jc w:val="both"/>
              <w:rPr>
                <w:rFonts w:ascii="Times New Roman" w:hAnsi="Times New Roman"/>
                <w:sz w:val="18"/>
                <w:szCs w:val="18"/>
              </w:rPr>
            </w:pPr>
            <w:r>
              <w:rPr>
                <w:rFonts w:ascii="Times New Roman" w:hAnsi="Times New Roman"/>
                <w:sz w:val="18"/>
                <w:szCs w:val="18"/>
              </w:rPr>
              <w:t>4.</w:t>
            </w:r>
            <w:r w:rsidRPr="004736AC">
              <w:rPr>
                <w:rFonts w:ascii="Times New Roman" w:hAnsi="Times New Roman"/>
                <w:sz w:val="18"/>
                <w:szCs w:val="18"/>
              </w:rPr>
              <w:t xml:space="preserve"> Dovozci</w:t>
            </w:r>
            <w:r w:rsidR="00761A2B" w:rsidRPr="004736AC">
              <w:rPr>
                <w:rFonts w:ascii="Times New Roman" w:hAnsi="Times New Roman"/>
                <w:sz w:val="18"/>
                <w:szCs w:val="18"/>
              </w:rPr>
              <w:t xml:space="preserve"> zajistí, aby byly ke spotřebiči přiloženy návod a bezpečnostní informace </w:t>
            </w:r>
            <w:r w:rsidR="00761A2B" w:rsidRPr="004736AC">
              <w:rPr>
                <w:rFonts w:ascii="Times New Roman" w:hAnsi="Times New Roman"/>
                <w:sz w:val="18"/>
                <w:szCs w:val="18"/>
              </w:rPr>
              <w:lastRenderedPageBreak/>
              <w:t>podle bodu 1.5 přílohy I v jazyce snadno srozumitelném spotřebitelům a ostatním konečným uživatelům, který určí dotčený členský stát.</w:t>
            </w:r>
          </w:p>
          <w:p w:rsidR="00761A2B" w:rsidRPr="004736AC"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4736AC">
              <w:rPr>
                <w:rFonts w:ascii="Times New Roman" w:hAnsi="Times New Roman"/>
                <w:sz w:val="18"/>
                <w:szCs w:val="18"/>
              </w:rPr>
              <w:t>Dovozci zajistí, aby byla k vybavení přiložena kopie EU prohlášení o shodě obsahující mimo jiné návod k zabudování nebo montáži, seřízení, provozu a údržbě podle bodu 1.7 přílohy I v jazyce snadno srozumitelném výrobcům spotřebičů, který určí dotčený členský stát.</w:t>
            </w:r>
          </w:p>
          <w:p w:rsidR="00761A2B" w:rsidRDefault="00761A2B" w:rsidP="00761A2B">
            <w:pPr>
              <w:tabs>
                <w:tab w:val="left" w:pos="360"/>
              </w:tabs>
              <w:rPr>
                <w:rFonts w:ascii="Times New Roman" w:hAnsi="Times New Roman"/>
                <w:sz w:val="18"/>
                <w:szCs w:val="18"/>
              </w:rPr>
            </w:pPr>
          </w:p>
          <w:p w:rsidR="00761A2B" w:rsidRDefault="00761A2B" w:rsidP="00761A2B">
            <w:pPr>
              <w:tabs>
                <w:tab w:val="left" w:pos="360"/>
              </w:tabs>
              <w:rPr>
                <w:rFonts w:ascii="Times New Roman" w:hAnsi="Times New Roman"/>
                <w:sz w:val="18"/>
                <w:szCs w:val="18"/>
              </w:rPr>
            </w:pPr>
          </w:p>
          <w:p w:rsidR="00761A2B" w:rsidRPr="004736AC" w:rsidRDefault="001E4CA2" w:rsidP="006F71A4">
            <w:pPr>
              <w:tabs>
                <w:tab w:val="left" w:pos="360"/>
              </w:tabs>
              <w:jc w:val="both"/>
              <w:rPr>
                <w:rFonts w:ascii="Times New Roman" w:hAnsi="Times New Roman"/>
                <w:sz w:val="18"/>
                <w:szCs w:val="18"/>
              </w:rPr>
            </w:pPr>
            <w:r>
              <w:rPr>
                <w:rFonts w:ascii="Times New Roman" w:hAnsi="Times New Roman"/>
                <w:sz w:val="18"/>
                <w:szCs w:val="18"/>
              </w:rPr>
              <w:t xml:space="preserve">2. </w:t>
            </w:r>
            <w:r w:rsidR="00761A2B" w:rsidRPr="004736AC">
              <w:rPr>
                <w:rFonts w:ascii="Times New Roman" w:hAnsi="Times New Roman"/>
                <w:sz w:val="18"/>
                <w:szCs w:val="18"/>
              </w:rPr>
              <w:t>Před dodáním spotřebiče na trh distributoři ověří, zda nese označení CE a zda jsou k němu přiloženy návod a bezpečnostní informace podle bodu 1.5 přílohy I v jazyce snadno srozumitelném spotřebitelům a ostatním konečným uživatelům, který určil členský stát, v němž má být spotřebič dodán na trh, a zda výrobce a dovozce splnili požadavky stanovené v čl. 7 odst. 5 a 6 a čl. 9 odst. 3.</w:t>
            </w:r>
          </w:p>
          <w:p w:rsidR="00761A2B" w:rsidRPr="004736AC" w:rsidRDefault="00761A2B" w:rsidP="00761A2B">
            <w:pPr>
              <w:tabs>
                <w:tab w:val="left" w:pos="360"/>
              </w:tabs>
              <w:rPr>
                <w:rFonts w:ascii="Times New Roman" w:hAnsi="Times New Roman"/>
                <w:sz w:val="18"/>
                <w:szCs w:val="18"/>
              </w:rPr>
            </w:pPr>
          </w:p>
          <w:p w:rsidR="00761A2B" w:rsidRPr="004736AC" w:rsidRDefault="00761A2B" w:rsidP="006F71A4">
            <w:pPr>
              <w:tabs>
                <w:tab w:val="left" w:pos="360"/>
              </w:tabs>
              <w:jc w:val="both"/>
              <w:rPr>
                <w:rFonts w:ascii="Times New Roman" w:hAnsi="Times New Roman"/>
                <w:sz w:val="18"/>
                <w:szCs w:val="18"/>
              </w:rPr>
            </w:pPr>
            <w:r w:rsidRPr="004736AC">
              <w:rPr>
                <w:rFonts w:ascii="Times New Roman" w:hAnsi="Times New Roman"/>
                <w:sz w:val="18"/>
                <w:szCs w:val="18"/>
              </w:rPr>
              <w:t>Před dodáním vybavení na trh distributoři ověří, zda nese označení CE a zda je k němu přiložena kopie EU prohlášení o shodě obsahující mimo jiné návod k zabudování nebo montáži, seřízení, provozu a údržbě podle bodu 1.7 přílohy I v jazyce snadno srozumitelném výrobcům spotřebičů, který určil dotčený členský stát, a zda výrobce a dovozce splnili požadavky stanovené v čl. 7 odst. 5 a 6 a čl. 9 odst. 3.</w:t>
            </w:r>
          </w:p>
          <w:p w:rsidR="00761A2B" w:rsidRPr="004736AC" w:rsidRDefault="00761A2B" w:rsidP="00761A2B">
            <w:pPr>
              <w:tabs>
                <w:tab w:val="left" w:pos="360"/>
              </w:tabs>
              <w:rPr>
                <w:rFonts w:ascii="Times New Roman" w:hAnsi="Times New Roman"/>
                <w:sz w:val="18"/>
                <w:szCs w:val="18"/>
              </w:rPr>
            </w:pPr>
          </w:p>
          <w:p w:rsidR="00761A2B" w:rsidRDefault="00761A2B" w:rsidP="006F71A4">
            <w:pPr>
              <w:tabs>
                <w:tab w:val="left" w:pos="360"/>
              </w:tabs>
              <w:jc w:val="both"/>
              <w:rPr>
                <w:rFonts w:ascii="Times New Roman" w:hAnsi="Times New Roman"/>
                <w:sz w:val="18"/>
                <w:szCs w:val="18"/>
              </w:rPr>
            </w:pPr>
            <w:r w:rsidRPr="004736AC">
              <w:rPr>
                <w:rFonts w:ascii="Times New Roman" w:hAnsi="Times New Roman"/>
                <w:sz w:val="18"/>
                <w:szCs w:val="18"/>
              </w:rPr>
              <w:t>Domnívá-li se distributor nebo má-li důvod se domnívat, že spotřebič nebo vybavení není ve shodě se základními požadavky stanovenými v příloze I, nesmí dodat spotřebič nebo vybavení na trh, dokud nebudou uvedeny do shody. Dále, pokud spotřebič nebo vybavení představuje riziko, informuje o tom distributor výrobce nebo dovozce, jakož i orgány dozoru nad trhem.</w:t>
            </w:r>
          </w:p>
          <w:p w:rsidR="00761A2B" w:rsidRDefault="00761A2B" w:rsidP="00761A2B">
            <w:pPr>
              <w:tabs>
                <w:tab w:val="left" w:pos="360"/>
              </w:tabs>
              <w:rPr>
                <w:rFonts w:ascii="Times New Roman" w:hAnsi="Times New Roman"/>
                <w:sz w:val="18"/>
                <w:szCs w:val="18"/>
              </w:rPr>
            </w:pPr>
          </w:p>
          <w:p w:rsidR="00761A2B" w:rsidRDefault="004224E6" w:rsidP="006F71A4">
            <w:pPr>
              <w:tabs>
                <w:tab w:val="left" w:pos="360"/>
              </w:tabs>
              <w:jc w:val="both"/>
              <w:rPr>
                <w:rFonts w:ascii="Times New Roman" w:hAnsi="Times New Roman"/>
                <w:sz w:val="18"/>
                <w:szCs w:val="18"/>
              </w:rPr>
            </w:pPr>
            <w:r>
              <w:rPr>
                <w:rFonts w:ascii="Times New Roman" w:hAnsi="Times New Roman"/>
                <w:sz w:val="18"/>
                <w:szCs w:val="18"/>
              </w:rPr>
              <w:t xml:space="preserve">2. </w:t>
            </w:r>
            <w:r w:rsidR="00761A2B" w:rsidRPr="004736AC">
              <w:rPr>
                <w:rFonts w:ascii="Times New Roman" w:hAnsi="Times New Roman"/>
                <w:sz w:val="18"/>
                <w:szCs w:val="18"/>
              </w:rPr>
              <w:t>EU prohlášení o shodě musí být vypracováno podle vzoru uvedeného v příloze V, musí obsahovat prvky stanovené v příslušných modulech uvedených v příloze III a musí být průběžně aktualizováno. Přeloží se do jazyka nebo jazyků požadovaných členským státem, v němž se spotřebič nebo vybavení uvádí nebo dodává na trh</w:t>
            </w:r>
          </w:p>
          <w:p w:rsidR="004224E6" w:rsidRDefault="004224E6" w:rsidP="00761A2B">
            <w:pPr>
              <w:tabs>
                <w:tab w:val="left" w:pos="360"/>
              </w:tabs>
              <w:rPr>
                <w:rFonts w:ascii="Times New Roman" w:hAnsi="Times New Roman"/>
                <w:sz w:val="18"/>
                <w:szCs w:val="18"/>
              </w:rPr>
            </w:pPr>
          </w:p>
          <w:p w:rsidR="004224E6" w:rsidRPr="004736AC" w:rsidRDefault="004224E6" w:rsidP="006F71A4">
            <w:pPr>
              <w:tabs>
                <w:tab w:val="left" w:pos="360"/>
              </w:tabs>
              <w:jc w:val="both"/>
              <w:rPr>
                <w:rFonts w:ascii="Times New Roman" w:hAnsi="Times New Roman"/>
                <w:sz w:val="18"/>
                <w:szCs w:val="18"/>
              </w:rPr>
            </w:pPr>
            <w:r w:rsidRPr="004224E6">
              <w:rPr>
                <w:rFonts w:ascii="Times New Roman" w:hAnsi="Times New Roman"/>
                <w:sz w:val="18"/>
                <w:szCs w:val="18"/>
              </w:rPr>
              <w:t>3.</w:t>
            </w:r>
            <w:r>
              <w:rPr>
                <w:rFonts w:ascii="Times New Roman" w:hAnsi="Times New Roman"/>
                <w:sz w:val="18"/>
                <w:szCs w:val="18"/>
              </w:rPr>
              <w:t xml:space="preserve"> </w:t>
            </w:r>
            <w:r w:rsidRPr="004224E6">
              <w:rPr>
                <w:rFonts w:ascii="Times New Roman" w:hAnsi="Times New Roman"/>
                <w:sz w:val="18"/>
                <w:szCs w:val="18"/>
              </w:rPr>
              <w:t>K usnadnění splnění základních požadavků platných pro dokončené spotřebiče, uvedených v příloze I, musí EU prohlášení o shodě vybavení uvádět charakteristiky vybavení a obsahovat návod k zabudování vybavení do spotřebiče nebo k montáži, kterou se spotřebič vytvoří. EU prohlášení o shodě je vypracováno v jazyce snadno srozumitelném výrobcům spotřebičů a orgánům dozoru nad trhem, který určí dotčený členský stát.</w:t>
            </w:r>
          </w:p>
        </w:tc>
      </w:tr>
      <w:tr w:rsidR="00FE3E95" w:rsidRPr="00F30ED3" w:rsidTr="001A59BD">
        <w:tblPrEx>
          <w:tblCellMar>
            <w:top w:w="0" w:type="dxa"/>
            <w:left w:w="0" w:type="dxa"/>
            <w:bottom w:w="0" w:type="dxa"/>
            <w:right w:w="0" w:type="dxa"/>
          </w:tblCellMar>
        </w:tblPrEx>
        <w:trPr>
          <w:trHeight w:val="3000"/>
        </w:trPr>
        <w:tc>
          <w:tcPr>
            <w:tcW w:w="1535" w:type="dxa"/>
            <w:vMerge w:val="restart"/>
          </w:tcPr>
          <w:p w:rsidR="00FE3E95" w:rsidRDefault="00F31AB6" w:rsidP="0099561F">
            <w:pPr>
              <w:tabs>
                <w:tab w:val="left" w:pos="360"/>
              </w:tabs>
              <w:rPr>
                <w:rFonts w:ascii="Times New Roman" w:hAnsi="Times New Roman"/>
                <w:sz w:val="18"/>
                <w:szCs w:val="18"/>
              </w:rPr>
            </w:pPr>
            <w:r>
              <w:rPr>
                <w:rFonts w:ascii="Times New Roman" w:hAnsi="Times New Roman"/>
                <w:sz w:val="18"/>
                <w:szCs w:val="18"/>
              </w:rPr>
              <w:lastRenderedPageBreak/>
              <w:t>Čl. I bod 3</w:t>
            </w:r>
          </w:p>
          <w:p w:rsidR="00416FA7" w:rsidRDefault="00FE3E95" w:rsidP="0099561F">
            <w:pPr>
              <w:tabs>
                <w:tab w:val="left" w:pos="360"/>
              </w:tabs>
              <w:rPr>
                <w:rFonts w:ascii="Times New Roman" w:hAnsi="Times New Roman"/>
                <w:sz w:val="18"/>
                <w:szCs w:val="18"/>
              </w:rPr>
            </w:pPr>
            <w:r>
              <w:rPr>
                <w:rFonts w:ascii="Times New Roman" w:hAnsi="Times New Roman"/>
                <w:sz w:val="18"/>
                <w:szCs w:val="18"/>
              </w:rPr>
              <w:t>(§ 27b zákona č. 90/2016 Sb.)</w:t>
            </w:r>
          </w:p>
          <w:p w:rsidR="00416FA7" w:rsidRDefault="00416FA7" w:rsidP="00416FA7">
            <w:pPr>
              <w:rPr>
                <w:rFonts w:ascii="Times New Roman" w:hAnsi="Times New Roman"/>
                <w:sz w:val="18"/>
                <w:szCs w:val="18"/>
              </w:rPr>
            </w:pPr>
          </w:p>
          <w:p w:rsidR="00FE3E95" w:rsidRPr="00416FA7" w:rsidRDefault="00FE3E95" w:rsidP="00416FA7">
            <w:pPr>
              <w:jc w:val="center"/>
              <w:rPr>
                <w:rFonts w:ascii="Times New Roman" w:hAnsi="Times New Roman"/>
                <w:sz w:val="18"/>
                <w:szCs w:val="18"/>
              </w:rPr>
            </w:pPr>
          </w:p>
        </w:tc>
        <w:tc>
          <w:tcPr>
            <w:tcW w:w="4111" w:type="dxa"/>
          </w:tcPr>
          <w:p w:rsidR="00FE3E95" w:rsidRPr="00FF56FC" w:rsidRDefault="00FE3E95" w:rsidP="0099561F">
            <w:pPr>
              <w:pStyle w:val="Bezmezer"/>
              <w:jc w:val="center"/>
              <w:rPr>
                <w:rFonts w:ascii="Times New Roman" w:hAnsi="Times New Roman"/>
                <w:sz w:val="18"/>
                <w:szCs w:val="24"/>
              </w:rPr>
            </w:pPr>
            <w:r w:rsidRPr="00FF56FC">
              <w:rPr>
                <w:rFonts w:ascii="Times New Roman" w:hAnsi="Times New Roman"/>
                <w:sz w:val="18"/>
                <w:szCs w:val="24"/>
              </w:rPr>
              <w:t>Oddíl 3</w:t>
            </w:r>
          </w:p>
          <w:p w:rsidR="00FE3E95" w:rsidRPr="00FF56FC" w:rsidRDefault="00FE3E95" w:rsidP="0099561F">
            <w:pPr>
              <w:pStyle w:val="Bezmezer"/>
              <w:jc w:val="both"/>
              <w:rPr>
                <w:rFonts w:ascii="Times New Roman" w:hAnsi="Times New Roman"/>
                <w:sz w:val="18"/>
                <w:szCs w:val="24"/>
              </w:rPr>
            </w:pPr>
          </w:p>
          <w:p w:rsidR="00FE3E95" w:rsidRPr="00FF56FC" w:rsidRDefault="00FE3E95" w:rsidP="0099561F">
            <w:pPr>
              <w:pStyle w:val="Bezmezer"/>
              <w:jc w:val="center"/>
              <w:rPr>
                <w:rFonts w:ascii="Times New Roman" w:hAnsi="Times New Roman"/>
                <w:b/>
                <w:sz w:val="18"/>
                <w:szCs w:val="24"/>
              </w:rPr>
            </w:pPr>
            <w:r w:rsidRPr="00FF56FC">
              <w:rPr>
                <w:rFonts w:ascii="Times New Roman" w:hAnsi="Times New Roman"/>
                <w:b/>
                <w:sz w:val="18"/>
                <w:szCs w:val="24"/>
              </w:rPr>
              <w:t>Lanové dráhy</w:t>
            </w:r>
          </w:p>
          <w:p w:rsidR="00FE3E95" w:rsidRPr="00FF56FC" w:rsidRDefault="00FE3E95" w:rsidP="0099561F">
            <w:pPr>
              <w:pStyle w:val="Bezmezer"/>
              <w:jc w:val="center"/>
              <w:rPr>
                <w:rFonts w:ascii="Times New Roman" w:hAnsi="Times New Roman"/>
                <w:sz w:val="18"/>
                <w:szCs w:val="24"/>
              </w:rPr>
            </w:pPr>
          </w:p>
          <w:p w:rsidR="00FE3E95" w:rsidRPr="00FF56FC" w:rsidRDefault="00FE3E95" w:rsidP="0099561F">
            <w:pPr>
              <w:pStyle w:val="Bezmezer"/>
              <w:jc w:val="center"/>
              <w:rPr>
                <w:rFonts w:ascii="Times New Roman" w:hAnsi="Times New Roman"/>
                <w:sz w:val="18"/>
                <w:szCs w:val="24"/>
              </w:rPr>
            </w:pPr>
            <w:r w:rsidRPr="00FF56FC">
              <w:rPr>
                <w:rFonts w:ascii="Times New Roman" w:hAnsi="Times New Roman"/>
                <w:sz w:val="18"/>
                <w:szCs w:val="24"/>
              </w:rPr>
              <w:t>§ 27b</w:t>
            </w:r>
          </w:p>
          <w:p w:rsidR="00FE3E95" w:rsidRPr="00FF56FC" w:rsidRDefault="00FE3E95" w:rsidP="0099561F">
            <w:pPr>
              <w:pStyle w:val="Bezmezer"/>
              <w:jc w:val="both"/>
              <w:rPr>
                <w:rFonts w:ascii="Times New Roman" w:hAnsi="Times New Roman"/>
                <w:sz w:val="18"/>
                <w:szCs w:val="24"/>
              </w:rPr>
            </w:pPr>
            <w:r w:rsidRPr="00FF56FC">
              <w:rPr>
                <w:rFonts w:ascii="Times New Roman" w:hAnsi="Times New Roman"/>
                <w:sz w:val="18"/>
                <w:szCs w:val="24"/>
              </w:rPr>
              <w:t xml:space="preserve">(1)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FF56FC">
              <w:rPr>
                <w:rFonts w:ascii="Times New Roman" w:hAnsi="Times New Roman"/>
                <w:sz w:val="18"/>
                <w:szCs w:val="24"/>
              </w:rPr>
              <w:t xml:space="preserve"> v oblasti lanových drah13) na příslušný vnitrostátní orgán, je tímto orgánem v České republice orgán dozoru</w:t>
            </w:r>
            <w:r w:rsidR="00803543">
              <w:rPr>
                <w:rFonts w:ascii="Times New Roman" w:hAnsi="Times New Roman"/>
                <w:sz w:val="18"/>
                <w:szCs w:val="24"/>
              </w:rPr>
              <w:t>.</w:t>
            </w:r>
          </w:p>
          <w:p w:rsidR="00FE3E95" w:rsidRDefault="00FE3E95" w:rsidP="0099561F">
            <w:pPr>
              <w:pStyle w:val="Bezmezer"/>
              <w:jc w:val="both"/>
              <w:rPr>
                <w:rFonts w:ascii="Times New Roman" w:hAnsi="Times New Roman"/>
                <w:sz w:val="18"/>
                <w:szCs w:val="24"/>
              </w:rPr>
            </w:pPr>
            <w:r w:rsidRPr="00FF56FC">
              <w:rPr>
                <w:rFonts w:ascii="Times New Roman" w:hAnsi="Times New Roman"/>
                <w:sz w:val="18"/>
                <w:szCs w:val="24"/>
              </w:rPr>
              <w:t>________________</w:t>
            </w:r>
          </w:p>
          <w:p w:rsidR="00FE3E95" w:rsidRPr="00FF56FC" w:rsidRDefault="00FE3E95" w:rsidP="0099561F">
            <w:pPr>
              <w:pStyle w:val="Bezmezer"/>
              <w:jc w:val="both"/>
              <w:rPr>
                <w:rFonts w:ascii="Times New Roman" w:hAnsi="Times New Roman"/>
                <w:sz w:val="18"/>
                <w:szCs w:val="24"/>
              </w:rPr>
            </w:pPr>
            <w:r w:rsidRPr="00FF56FC">
              <w:rPr>
                <w:rFonts w:ascii="Times New Roman" w:hAnsi="Times New Roman"/>
                <w:sz w:val="18"/>
                <w:szCs w:val="24"/>
              </w:rPr>
              <w:t>13) Nařízení Evropského parlamentu a Rady (EU) 2016/424 ze dne 9. března 2016 o lanových dráhách a o zrušení směrnice 2000/9/ES.</w:t>
            </w:r>
          </w:p>
          <w:p w:rsidR="00FE3E95" w:rsidRPr="00FF56FC" w:rsidRDefault="00FE3E95" w:rsidP="0099561F">
            <w:pPr>
              <w:pStyle w:val="Bezmezer"/>
              <w:jc w:val="both"/>
              <w:rPr>
                <w:rFonts w:ascii="Times New Roman" w:hAnsi="Times New Roman"/>
                <w:sz w:val="18"/>
                <w:szCs w:val="24"/>
              </w:rPr>
            </w:pPr>
          </w:p>
          <w:p w:rsidR="00FE3E95" w:rsidRPr="00F30ED3" w:rsidRDefault="00FE3E95" w:rsidP="00F97F23">
            <w:pPr>
              <w:tabs>
                <w:tab w:val="left" w:pos="360"/>
              </w:tabs>
              <w:rPr>
                <w:rFonts w:ascii="Times New Roman" w:hAnsi="Times New Roman"/>
                <w:sz w:val="18"/>
                <w:szCs w:val="18"/>
              </w:rPr>
            </w:pPr>
          </w:p>
        </w:tc>
        <w:tc>
          <w:tcPr>
            <w:tcW w:w="992" w:type="dxa"/>
          </w:tcPr>
          <w:p w:rsidR="00FE3E95" w:rsidRDefault="00FE3E95" w:rsidP="0099561F">
            <w:pPr>
              <w:tabs>
                <w:tab w:val="left" w:pos="360"/>
              </w:tabs>
              <w:jc w:val="both"/>
              <w:rPr>
                <w:rFonts w:ascii="Times New Roman" w:eastAsia="Calibri" w:hAnsi="Times New Roman"/>
                <w:sz w:val="18"/>
                <w:szCs w:val="24"/>
                <w:lang w:eastAsia="en-US"/>
              </w:rPr>
            </w:pPr>
            <w:r>
              <w:rPr>
                <w:rFonts w:ascii="Times New Roman" w:eastAsia="Calibri" w:hAnsi="Times New Roman"/>
                <w:sz w:val="18"/>
                <w:szCs w:val="24"/>
                <w:lang w:eastAsia="en-US"/>
              </w:rPr>
              <w:t>32016R0424</w:t>
            </w:r>
          </w:p>
          <w:p w:rsidR="00FE3E95" w:rsidRPr="00F30ED3" w:rsidRDefault="00FE3E95" w:rsidP="00F97F23">
            <w:pPr>
              <w:tabs>
                <w:tab w:val="left" w:pos="360"/>
              </w:tabs>
              <w:rPr>
                <w:rFonts w:ascii="Times New Roman" w:hAnsi="Times New Roman"/>
                <w:sz w:val="18"/>
                <w:szCs w:val="18"/>
              </w:rPr>
            </w:pPr>
          </w:p>
        </w:tc>
        <w:tc>
          <w:tcPr>
            <w:tcW w:w="1134" w:type="dxa"/>
            <w:shd w:val="clear" w:color="auto" w:fill="auto"/>
          </w:tcPr>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11 odst. 8</w:t>
            </w: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11 odst. 9</w:t>
            </w: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12 odst. 2</w:t>
            </w: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13 odst. 7</w:t>
            </w: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13 odst. 9</w:t>
            </w: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p>
          <w:p w:rsidR="00FE3E95" w:rsidRDefault="00FE3E95" w:rsidP="0099561F">
            <w:pPr>
              <w:tabs>
                <w:tab w:val="left" w:pos="360"/>
              </w:tabs>
              <w:rPr>
                <w:rFonts w:ascii="Times New Roman" w:hAnsi="Times New Roman"/>
                <w:sz w:val="18"/>
                <w:szCs w:val="18"/>
              </w:rPr>
            </w:pPr>
            <w:r>
              <w:rPr>
                <w:rFonts w:ascii="Times New Roman" w:hAnsi="Times New Roman"/>
                <w:sz w:val="18"/>
                <w:szCs w:val="18"/>
              </w:rPr>
              <w:t>Čl. 14 odst. 4</w:t>
            </w: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Default="00334874" w:rsidP="0099561F">
            <w:pPr>
              <w:tabs>
                <w:tab w:val="left" w:pos="360"/>
              </w:tabs>
              <w:rPr>
                <w:rFonts w:ascii="Times New Roman" w:hAnsi="Times New Roman"/>
                <w:sz w:val="18"/>
                <w:szCs w:val="18"/>
              </w:rPr>
            </w:pPr>
          </w:p>
          <w:p w:rsidR="00334874" w:rsidRPr="00F30ED3" w:rsidRDefault="00334874" w:rsidP="0099561F">
            <w:pPr>
              <w:tabs>
                <w:tab w:val="left" w:pos="360"/>
              </w:tabs>
              <w:rPr>
                <w:rFonts w:ascii="Times New Roman" w:hAnsi="Times New Roman"/>
                <w:sz w:val="18"/>
                <w:szCs w:val="18"/>
              </w:rPr>
            </w:pPr>
            <w:r>
              <w:rPr>
                <w:rFonts w:ascii="Times New Roman" w:hAnsi="Times New Roman"/>
                <w:sz w:val="18"/>
                <w:szCs w:val="18"/>
              </w:rPr>
              <w:t>Čl. 14 odst. 5</w:t>
            </w:r>
          </w:p>
        </w:tc>
        <w:tc>
          <w:tcPr>
            <w:tcW w:w="6095" w:type="dxa"/>
            <w:shd w:val="clear" w:color="auto" w:fill="auto"/>
          </w:tcPr>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lastRenderedPageBreak/>
              <w:t>8. Výrobci, kteří se domnívají nebo mají důvod se domnívat, že dílčí systém nebo bezpečnostní prvek, který uvedli na trh, není ve shodě s tímto nařízením, přijmou okamžitě nezbytná nápravná opatření k uvedení tohoto dílčího systému nebo bezpečnostního prvku do shody, nebo v případě potřeby k jeho stažení z trhu nebo z oběhu. Dále, pokud dílčí systém nebo bezpečnostní prvek představuje riziko, informují o tom výrobci neprodleně příslušné vnitrostátní orgány členských států, v nichž dílčí systém nebo bezpečnostní prvek dodali na trh, a uvedou podrobnosti, zejména o nesouladu a o přijatých nápravných opatřeních.</w:t>
            </w:r>
          </w:p>
          <w:p w:rsidR="00FE3E95" w:rsidRDefault="00FE3E95" w:rsidP="0099561F">
            <w:pPr>
              <w:tabs>
                <w:tab w:val="left" w:pos="360"/>
              </w:tabs>
              <w:rPr>
                <w:rFonts w:ascii="Times New Roman" w:hAnsi="Times New Roman"/>
                <w:sz w:val="18"/>
                <w:szCs w:val="18"/>
              </w:rPr>
            </w:pPr>
          </w:p>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9. Výrobci poskytnou příslušnému vnitrostátnímu orgánu na základě jeho odůvodněné žádosti všechny informace a dokumentaci nezbytné k prokázání shody dílčího systému nebo bezpečnostního prvku s tímto nařízením, a to v jazyce snadno srozumitelnému tomuto orgánu. Tyto informace a dokumentace mohou být poskytnuty v papírové nebo elektronické podobě. Spolupracují s tímto orgánem na jeho žádost při činnostech, jejichž cílem je odstranit rizika vyvolaná dílčími systémy nebo bezpečnostními prvky, které uvedli na trh.</w:t>
            </w:r>
          </w:p>
          <w:p w:rsidR="00FE3E95" w:rsidRDefault="00FE3E95" w:rsidP="0099561F">
            <w:pPr>
              <w:tabs>
                <w:tab w:val="left" w:pos="360"/>
              </w:tabs>
              <w:rPr>
                <w:rFonts w:ascii="Times New Roman" w:hAnsi="Times New Roman"/>
                <w:sz w:val="18"/>
                <w:szCs w:val="18"/>
              </w:rPr>
            </w:pPr>
          </w:p>
          <w:p w:rsidR="00FE3E95" w:rsidRP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2. Zplnomocněný zástupce plní úkoly stanovené v pověření, které obdržel od výrobce. Pověření musí zplnomocněnému zástupci umožňovat alespoň:</w:t>
            </w:r>
          </w:p>
          <w:p w:rsidR="00FE3E95" w:rsidRP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a) uchovávat EU prohlášení o shodě a technickou dokumentaci pro potřeby vnitrostátních orgánů dozoru nad trhem po dobu třiceti let po uvedení dílčího systému nebo bezpečnostního prvku na trh;</w:t>
            </w:r>
          </w:p>
          <w:p w:rsidR="00FE3E95" w:rsidRP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b) poskytnout příslušným vnitrostátním orgánům na základě jejich odůvodněné žádosti všechny informace a dokumentaci nezbytné k prokázání shody dílčího systému nebo bezpečnostního prvku;</w:t>
            </w:r>
          </w:p>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c) spolupracovat s příslušnými vnitrostátními orgány na jejich žádost při činnostech, jejichž cílem je odstranit rizika vyvolaná dílčími systémy nebo bezpečnostními prvky, na které se vztahuje jeho pověření.</w:t>
            </w:r>
          </w:p>
          <w:p w:rsidR="00FE3E95" w:rsidRDefault="00FE3E95" w:rsidP="00FE3E95">
            <w:pPr>
              <w:tabs>
                <w:tab w:val="left" w:pos="360"/>
              </w:tabs>
              <w:rPr>
                <w:rFonts w:ascii="Times New Roman" w:hAnsi="Times New Roman"/>
                <w:sz w:val="18"/>
                <w:szCs w:val="18"/>
              </w:rPr>
            </w:pPr>
          </w:p>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7. Dovozci, kteří se domnívají nebo mají důvod se domnívat, že dílčí systém nebo bezpečnostní prvek, který uvedli na trh, není ve shodě s tímto nařízením, přijmou okamžitě nápravná opatření k uvedení tohoto dílčího systému nebo bezpečnostního prvku do shody, nebo v případě potřeby k jeho stažení z trhu nebo z oběhu. Dále, pokud dílčí systém nebo bezpečnostní prvek představuje riziko, informují o tom dovozci neprodleně příslušné vnitrostátní orgány členských států, v nichž dílčí systém nebo bezpečnostní prvek dodali na trh, a uvedou podrobnosti zejména o nesouladu a o přijatých nápravných opatřeních.</w:t>
            </w:r>
          </w:p>
          <w:p w:rsidR="00FE3E95" w:rsidRDefault="00FE3E95" w:rsidP="00FE3E95">
            <w:pPr>
              <w:tabs>
                <w:tab w:val="left" w:pos="360"/>
              </w:tabs>
              <w:rPr>
                <w:rFonts w:ascii="Times New Roman" w:hAnsi="Times New Roman"/>
                <w:sz w:val="18"/>
                <w:szCs w:val="18"/>
              </w:rPr>
            </w:pPr>
          </w:p>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 xml:space="preserve">9. Dovozci poskytnou příslušnému vnitrostátnímu orgánu na základě jeho odůvodněné žádosti všechny informace a dokumentaci nezbytné k prokázání shody dílčího systému nebo bezpečnostního prvku, a to v jazyce snadno srozumitelném tomuto orgánu. Tyto informace a dokumentace mohou být poskytnuty v papírové nebo elektronické podobě. Spolupracují s tímto orgánem na jeho žádost při </w:t>
            </w:r>
            <w:r w:rsidRPr="00FE3E95">
              <w:rPr>
                <w:rFonts w:ascii="Times New Roman" w:hAnsi="Times New Roman"/>
                <w:sz w:val="18"/>
                <w:szCs w:val="18"/>
              </w:rPr>
              <w:lastRenderedPageBreak/>
              <w:t>činnostech, jejichž cílem je odstranit rizika vyvolaná dílčími systémy nebo bezpečnostními prvky, které uvedli na trh.</w:t>
            </w:r>
          </w:p>
          <w:p w:rsidR="00FE3E95" w:rsidRDefault="00FE3E95" w:rsidP="00FE3E95">
            <w:pPr>
              <w:tabs>
                <w:tab w:val="left" w:pos="360"/>
              </w:tabs>
              <w:rPr>
                <w:rFonts w:ascii="Times New Roman" w:hAnsi="Times New Roman"/>
                <w:sz w:val="18"/>
                <w:szCs w:val="18"/>
              </w:rPr>
            </w:pPr>
          </w:p>
          <w:p w:rsidR="00FE3E95" w:rsidRDefault="00FE3E95" w:rsidP="006F71A4">
            <w:pPr>
              <w:tabs>
                <w:tab w:val="left" w:pos="360"/>
              </w:tabs>
              <w:jc w:val="both"/>
              <w:rPr>
                <w:rFonts w:ascii="Times New Roman" w:hAnsi="Times New Roman"/>
                <w:sz w:val="18"/>
                <w:szCs w:val="18"/>
              </w:rPr>
            </w:pPr>
            <w:r w:rsidRPr="00FE3E95">
              <w:rPr>
                <w:rFonts w:ascii="Times New Roman" w:hAnsi="Times New Roman"/>
                <w:sz w:val="18"/>
                <w:szCs w:val="18"/>
              </w:rPr>
              <w:t>4. Distributoři, kteří se domnívají nebo mají důvod se domnívat, že dílčí systém nebo bezpečnostní prvek, který dodali na trh, není ve shodě s tímto nařízením, zajistí, aby byla přijata nezbytná nápravná opatření k uvedení tohoto dílčího systému nebo bezpečnostního prvku do shody, nebo v případě potřeby k jeho stažení z trhu nebo z oběhu. Pokud navíc dílčí systém nebo bezpečnostní prvek představuje riziko, informují o tom distributoři neprodleně příslušné vnitrostátní orgány členských států, v nichž dílčí systém nebo bezpečnostní prvek dodali na trh, a uvedou podrobnosti zejména o nesouladu a o přijatých nápravných opatřeních.</w:t>
            </w:r>
          </w:p>
          <w:p w:rsidR="00334874" w:rsidRDefault="00334874" w:rsidP="00FE3E95">
            <w:pPr>
              <w:tabs>
                <w:tab w:val="left" w:pos="360"/>
              </w:tabs>
              <w:rPr>
                <w:rFonts w:ascii="Times New Roman" w:hAnsi="Times New Roman"/>
                <w:sz w:val="18"/>
                <w:szCs w:val="18"/>
              </w:rPr>
            </w:pPr>
          </w:p>
          <w:p w:rsidR="00334874" w:rsidRPr="00F30ED3" w:rsidRDefault="00334874" w:rsidP="006F71A4">
            <w:pPr>
              <w:tabs>
                <w:tab w:val="left" w:pos="360"/>
              </w:tabs>
              <w:jc w:val="both"/>
              <w:rPr>
                <w:rFonts w:ascii="Times New Roman" w:hAnsi="Times New Roman"/>
                <w:sz w:val="18"/>
                <w:szCs w:val="18"/>
              </w:rPr>
            </w:pPr>
            <w:r w:rsidRPr="00334874">
              <w:rPr>
                <w:rFonts w:ascii="Times New Roman" w:hAnsi="Times New Roman"/>
                <w:sz w:val="18"/>
                <w:szCs w:val="18"/>
              </w:rPr>
              <w:t>5.   Distributoři poskytnou příslušnému vnitrostátnímu orgánu na základě jeho odůvodněné žádosti všechny informace a dokumentaci nezbytné k prokázání shody dílčího systému nebo bezpečnostního prvku. Tyto informace a dokumentace mohou být poskytnuty v papírové nebo elektronické podobě. Spolupracují s tímto orgánem na jeho žádost při činnostech, jejichž cílem je odstranit rizika vyvolaná dílčími systémy nebo bezpečnostními prvky, které dodali na trh.</w:t>
            </w:r>
          </w:p>
        </w:tc>
      </w:tr>
      <w:tr w:rsidR="00FE3E95" w:rsidRPr="00F30ED3" w:rsidTr="00D94B17">
        <w:tblPrEx>
          <w:tblCellMar>
            <w:top w:w="0" w:type="dxa"/>
            <w:left w:w="0" w:type="dxa"/>
            <w:bottom w:w="0" w:type="dxa"/>
            <w:right w:w="0" w:type="dxa"/>
          </w:tblCellMar>
        </w:tblPrEx>
        <w:trPr>
          <w:trHeight w:val="2126"/>
        </w:trPr>
        <w:tc>
          <w:tcPr>
            <w:tcW w:w="1535" w:type="dxa"/>
            <w:vMerge/>
          </w:tcPr>
          <w:p w:rsidR="00FE3E95" w:rsidRDefault="00FE3E95" w:rsidP="0099561F">
            <w:pPr>
              <w:tabs>
                <w:tab w:val="left" w:pos="360"/>
              </w:tabs>
              <w:rPr>
                <w:rFonts w:ascii="Times New Roman" w:hAnsi="Times New Roman"/>
                <w:sz w:val="18"/>
                <w:szCs w:val="18"/>
              </w:rPr>
            </w:pPr>
          </w:p>
        </w:tc>
        <w:tc>
          <w:tcPr>
            <w:tcW w:w="4111" w:type="dxa"/>
          </w:tcPr>
          <w:p w:rsidR="00FE3E95" w:rsidRDefault="00FE3E95" w:rsidP="00FE3E95">
            <w:pPr>
              <w:pStyle w:val="Bezmezer"/>
              <w:jc w:val="both"/>
              <w:rPr>
                <w:rFonts w:ascii="Times New Roman" w:hAnsi="Times New Roman"/>
                <w:sz w:val="18"/>
                <w:szCs w:val="24"/>
              </w:rPr>
            </w:pPr>
            <w:r w:rsidRPr="00FF56FC">
              <w:rPr>
                <w:rFonts w:ascii="Times New Roman" w:hAnsi="Times New Roman"/>
                <w:sz w:val="18"/>
                <w:szCs w:val="24"/>
              </w:rPr>
              <w:t xml:space="preserve">(2) Odkazuje-li </w:t>
            </w:r>
            <w:r w:rsidR="00CA28CC">
              <w:rPr>
                <w:rFonts w:ascii="Times New Roman" w:hAnsi="Times New Roman"/>
                <w:sz w:val="18"/>
                <w:szCs w:val="24"/>
              </w:rPr>
              <w:t>přímo použitelný předpis</w:t>
            </w:r>
            <w:r>
              <w:rPr>
                <w:rFonts w:ascii="Times New Roman" w:hAnsi="Times New Roman"/>
                <w:sz w:val="18"/>
                <w:szCs w:val="24"/>
              </w:rPr>
              <w:t xml:space="preserve"> Evropské unie</w:t>
            </w:r>
            <w:r w:rsidRPr="00FF56FC">
              <w:rPr>
                <w:rFonts w:ascii="Times New Roman" w:hAnsi="Times New Roman"/>
                <w:sz w:val="18"/>
                <w:szCs w:val="24"/>
              </w:rPr>
              <w:t xml:space="preserve"> v oblasti lanových drah na jazyk určený nebo požadovaný členským státem, je tímto jazykem v České republice český jazyk.</w:t>
            </w:r>
          </w:p>
          <w:p w:rsidR="00FE3E95" w:rsidRPr="00FF56FC" w:rsidRDefault="00FE3E95" w:rsidP="0099561F">
            <w:pPr>
              <w:pStyle w:val="Bezmezer"/>
              <w:jc w:val="center"/>
              <w:rPr>
                <w:rFonts w:ascii="Times New Roman" w:hAnsi="Times New Roman"/>
                <w:sz w:val="18"/>
                <w:szCs w:val="24"/>
              </w:rPr>
            </w:pPr>
          </w:p>
        </w:tc>
        <w:tc>
          <w:tcPr>
            <w:tcW w:w="992" w:type="dxa"/>
          </w:tcPr>
          <w:p w:rsidR="00FE3E95" w:rsidRDefault="00FE3E95" w:rsidP="0099561F">
            <w:pPr>
              <w:tabs>
                <w:tab w:val="left" w:pos="360"/>
              </w:tabs>
              <w:jc w:val="both"/>
              <w:rPr>
                <w:rFonts w:ascii="Times New Roman" w:eastAsia="Calibri" w:hAnsi="Times New Roman"/>
                <w:sz w:val="18"/>
                <w:szCs w:val="24"/>
                <w:lang w:eastAsia="en-US"/>
              </w:rPr>
            </w:pPr>
          </w:p>
        </w:tc>
        <w:tc>
          <w:tcPr>
            <w:tcW w:w="1134" w:type="dxa"/>
            <w:shd w:val="clear" w:color="auto" w:fill="auto"/>
          </w:tcPr>
          <w:p w:rsidR="00FE3E95" w:rsidRDefault="00FE3E95" w:rsidP="00FE3E95">
            <w:pPr>
              <w:tabs>
                <w:tab w:val="left" w:pos="360"/>
              </w:tabs>
              <w:rPr>
                <w:rFonts w:ascii="Times New Roman" w:hAnsi="Times New Roman"/>
                <w:sz w:val="18"/>
                <w:szCs w:val="18"/>
              </w:rPr>
            </w:pPr>
            <w:r>
              <w:rPr>
                <w:rFonts w:ascii="Times New Roman" w:hAnsi="Times New Roman"/>
                <w:sz w:val="18"/>
                <w:szCs w:val="18"/>
              </w:rPr>
              <w:t>Čl. 11 odst. 7</w:t>
            </w:r>
          </w:p>
          <w:p w:rsidR="004224E6" w:rsidRDefault="004224E6"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r>
              <w:rPr>
                <w:rFonts w:ascii="Times New Roman" w:hAnsi="Times New Roman"/>
                <w:sz w:val="18"/>
                <w:szCs w:val="18"/>
              </w:rPr>
              <w:t>Čl. 13 odst. 4</w:t>
            </w: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Default="00334874" w:rsidP="00FE3E95">
            <w:pPr>
              <w:tabs>
                <w:tab w:val="left" w:pos="360"/>
              </w:tabs>
              <w:rPr>
                <w:rFonts w:ascii="Times New Roman" w:hAnsi="Times New Roman"/>
                <w:sz w:val="18"/>
                <w:szCs w:val="18"/>
              </w:rPr>
            </w:pPr>
            <w:r>
              <w:rPr>
                <w:rFonts w:ascii="Times New Roman" w:hAnsi="Times New Roman"/>
                <w:sz w:val="18"/>
                <w:szCs w:val="18"/>
              </w:rPr>
              <w:t>Čl. 14 odst. 2</w:t>
            </w:r>
          </w:p>
          <w:p w:rsidR="004224E6" w:rsidRDefault="004224E6"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334874" w:rsidRDefault="00334874"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r>
              <w:rPr>
                <w:rFonts w:ascii="Times New Roman" w:hAnsi="Times New Roman"/>
                <w:sz w:val="18"/>
                <w:szCs w:val="18"/>
              </w:rPr>
              <w:t>Čl. 19 odst. 2</w:t>
            </w:r>
          </w:p>
        </w:tc>
        <w:tc>
          <w:tcPr>
            <w:tcW w:w="6095" w:type="dxa"/>
            <w:shd w:val="clear" w:color="auto" w:fill="auto"/>
          </w:tcPr>
          <w:p w:rsidR="00FE3E95" w:rsidRPr="00FF56FC" w:rsidRDefault="001E4CA2" w:rsidP="006F71A4">
            <w:pPr>
              <w:tabs>
                <w:tab w:val="left" w:pos="360"/>
              </w:tabs>
              <w:jc w:val="both"/>
              <w:rPr>
                <w:rFonts w:ascii="Times New Roman" w:hAnsi="Times New Roman"/>
                <w:sz w:val="18"/>
                <w:szCs w:val="18"/>
              </w:rPr>
            </w:pPr>
            <w:r>
              <w:rPr>
                <w:rFonts w:ascii="Times New Roman" w:hAnsi="Times New Roman"/>
                <w:sz w:val="18"/>
                <w:szCs w:val="18"/>
              </w:rPr>
              <w:lastRenderedPageBreak/>
              <w:t xml:space="preserve">7. </w:t>
            </w:r>
            <w:r w:rsidR="00FE3E95" w:rsidRPr="00FF56FC">
              <w:rPr>
                <w:rFonts w:ascii="Times New Roman" w:hAnsi="Times New Roman"/>
                <w:sz w:val="18"/>
                <w:szCs w:val="18"/>
              </w:rPr>
              <w:t>Výrobci zajistí, aby k dílčímu systému nebo bezpečnostnímu prvku byla přiložena kopie EU prohlášení o shodě a návod a bezpečnostní informace v jazyce snadno srozumitelném uživatelům, který určí dotčený členský stát. Tento návod a bezpečnostní informace musí být jasné, srozumitelné a pochopitelné.</w:t>
            </w:r>
          </w:p>
          <w:p w:rsidR="00FE3E95" w:rsidRPr="00FF56FC" w:rsidRDefault="00FE3E95" w:rsidP="00FE3E95">
            <w:pPr>
              <w:tabs>
                <w:tab w:val="left" w:pos="360"/>
              </w:tabs>
              <w:rPr>
                <w:rFonts w:ascii="Times New Roman" w:hAnsi="Times New Roman"/>
                <w:sz w:val="18"/>
                <w:szCs w:val="18"/>
              </w:rPr>
            </w:pPr>
          </w:p>
          <w:p w:rsidR="00FE3E95" w:rsidRDefault="00FE3E95" w:rsidP="006F71A4">
            <w:pPr>
              <w:tabs>
                <w:tab w:val="left" w:pos="360"/>
              </w:tabs>
              <w:jc w:val="both"/>
              <w:rPr>
                <w:rFonts w:ascii="Times New Roman" w:hAnsi="Times New Roman"/>
                <w:sz w:val="18"/>
                <w:szCs w:val="18"/>
              </w:rPr>
            </w:pPr>
            <w:r w:rsidRPr="00FF56FC">
              <w:rPr>
                <w:rFonts w:ascii="Times New Roman" w:hAnsi="Times New Roman"/>
                <w:sz w:val="18"/>
                <w:szCs w:val="18"/>
              </w:rPr>
              <w:t>Avšak v případě, že je jedinému hospodářskému subjektu nebo uživateli doručen velký počet dílčích systémů nebo bezpečnostních prvků, může být k šarži nebo zásilce přiložena jen jedna kopie EU prohlášení o shodě.</w:t>
            </w:r>
          </w:p>
          <w:p w:rsidR="00FE3E95" w:rsidRDefault="00FE3E95" w:rsidP="00FE3E95">
            <w:pPr>
              <w:tabs>
                <w:tab w:val="left" w:pos="360"/>
              </w:tabs>
              <w:rPr>
                <w:rFonts w:ascii="Times New Roman" w:hAnsi="Times New Roman"/>
                <w:sz w:val="18"/>
                <w:szCs w:val="18"/>
              </w:rPr>
            </w:pPr>
          </w:p>
          <w:p w:rsidR="004224E6" w:rsidRDefault="004224E6" w:rsidP="00FE3E95">
            <w:pPr>
              <w:tabs>
                <w:tab w:val="left" w:pos="360"/>
              </w:tabs>
              <w:rPr>
                <w:rFonts w:ascii="Times New Roman" w:hAnsi="Times New Roman"/>
                <w:sz w:val="18"/>
                <w:szCs w:val="18"/>
              </w:rPr>
            </w:pPr>
          </w:p>
          <w:p w:rsidR="00FE3E95" w:rsidRDefault="001E4CA2" w:rsidP="006F71A4">
            <w:pPr>
              <w:tabs>
                <w:tab w:val="left" w:pos="360"/>
              </w:tabs>
              <w:jc w:val="both"/>
              <w:rPr>
                <w:rFonts w:ascii="Times New Roman" w:hAnsi="Times New Roman"/>
                <w:sz w:val="18"/>
                <w:szCs w:val="18"/>
              </w:rPr>
            </w:pPr>
            <w:r>
              <w:rPr>
                <w:rFonts w:ascii="Times New Roman" w:hAnsi="Times New Roman"/>
                <w:sz w:val="18"/>
                <w:szCs w:val="18"/>
              </w:rPr>
              <w:t xml:space="preserve">4. </w:t>
            </w:r>
            <w:r w:rsidR="00FE3E95" w:rsidRPr="004736AC">
              <w:rPr>
                <w:rFonts w:ascii="Times New Roman" w:hAnsi="Times New Roman"/>
                <w:sz w:val="18"/>
                <w:szCs w:val="18"/>
              </w:rPr>
              <w:t>Dovozci zajistí, aby byl k dílčímu systému nebo bezpečnostnímu prvku přiložen návod a bezpečnostní informace v jazyce snadno srozumitelném uživatelům, který určí dotčený členský stát.</w:t>
            </w:r>
          </w:p>
          <w:p w:rsidR="00FE3E95" w:rsidRDefault="00FE3E95" w:rsidP="00FE3E95">
            <w:pPr>
              <w:tabs>
                <w:tab w:val="left" w:pos="360"/>
              </w:tabs>
              <w:rPr>
                <w:rFonts w:ascii="Times New Roman" w:hAnsi="Times New Roman"/>
                <w:sz w:val="18"/>
                <w:szCs w:val="18"/>
              </w:rPr>
            </w:pPr>
          </w:p>
          <w:p w:rsidR="004224E6" w:rsidRDefault="001E4CA2" w:rsidP="006F71A4">
            <w:pPr>
              <w:tabs>
                <w:tab w:val="left" w:pos="360"/>
              </w:tabs>
              <w:jc w:val="both"/>
              <w:rPr>
                <w:rFonts w:ascii="Times New Roman" w:hAnsi="Times New Roman"/>
                <w:sz w:val="18"/>
                <w:szCs w:val="18"/>
              </w:rPr>
            </w:pPr>
            <w:r>
              <w:rPr>
                <w:rFonts w:ascii="Times New Roman" w:hAnsi="Times New Roman"/>
                <w:sz w:val="18"/>
                <w:szCs w:val="18"/>
              </w:rPr>
              <w:t xml:space="preserve">2. </w:t>
            </w:r>
            <w:r w:rsidR="004224E6">
              <w:rPr>
                <w:rFonts w:ascii="Times New Roman" w:hAnsi="Times New Roman"/>
                <w:sz w:val="18"/>
                <w:szCs w:val="18"/>
              </w:rPr>
              <w:t>Před dodáním dílčího systému nebo bezpečnostního prvku na trh distributoři ověří, zda nese označení CE a je k němu přiložena kopie EU prohlášení o shodě a návod</w:t>
            </w:r>
            <w:r w:rsidR="00334874">
              <w:rPr>
                <w:rFonts w:ascii="Times New Roman" w:hAnsi="Times New Roman"/>
                <w:sz w:val="18"/>
                <w:szCs w:val="18"/>
              </w:rPr>
              <w:t xml:space="preserve"> a bezpečnostní informace a případně jiné požadované dokumenty v jazyce snadno srozumitelném uživatelům v členském státě, v němž má být dílčí systém nebo bezpečnostní prvek dodán na trh a který stanoví dotčený členský stát, a zda výrobce a dovozce splnili požadavky stanovené v čl. 11 odst. 5 a 6 a v čl. 13 odst. 3.</w:t>
            </w:r>
          </w:p>
          <w:p w:rsidR="00334874" w:rsidRDefault="00334874" w:rsidP="00FE3E95">
            <w:pPr>
              <w:tabs>
                <w:tab w:val="left" w:pos="360"/>
              </w:tabs>
              <w:rPr>
                <w:rFonts w:ascii="Times New Roman" w:hAnsi="Times New Roman"/>
                <w:sz w:val="18"/>
                <w:szCs w:val="18"/>
              </w:rPr>
            </w:pPr>
          </w:p>
          <w:p w:rsidR="00334874" w:rsidRDefault="00334874" w:rsidP="006F71A4">
            <w:pPr>
              <w:tabs>
                <w:tab w:val="left" w:pos="360"/>
              </w:tabs>
              <w:jc w:val="both"/>
              <w:rPr>
                <w:rFonts w:ascii="Times New Roman" w:hAnsi="Times New Roman"/>
                <w:sz w:val="18"/>
                <w:szCs w:val="18"/>
              </w:rPr>
            </w:pPr>
            <w:r>
              <w:rPr>
                <w:rFonts w:ascii="Times New Roman" w:hAnsi="Times New Roman"/>
                <w:sz w:val="18"/>
                <w:szCs w:val="18"/>
              </w:rPr>
              <w:t xml:space="preserve">Domnívá-li se distributor nebo má-li důvod se domnívat, že dílčí systém nebo bezpečnostní prvek není ve shodě s platnými základními požadavky stanovenými v příloze II, nesmí dílčí systém nebo bezpečnostní prvek dodat na trh, dokud nebude uveden do shody. Pokud navíc dílčí systém nebo bezpečnostní prvek představuje </w:t>
            </w:r>
            <w:r>
              <w:rPr>
                <w:rFonts w:ascii="Times New Roman" w:hAnsi="Times New Roman"/>
                <w:sz w:val="18"/>
                <w:szCs w:val="18"/>
              </w:rPr>
              <w:lastRenderedPageBreak/>
              <w:t>riziko, informuje o tom distributor výrobce nebo dovozce, jakož i orgány dozoru nad trhem.</w:t>
            </w:r>
          </w:p>
          <w:p w:rsidR="00FE3E95" w:rsidRDefault="00FE3E95" w:rsidP="00FE3E95">
            <w:pPr>
              <w:tabs>
                <w:tab w:val="left" w:pos="360"/>
              </w:tabs>
              <w:rPr>
                <w:rFonts w:ascii="Times New Roman" w:hAnsi="Times New Roman"/>
                <w:sz w:val="18"/>
                <w:szCs w:val="18"/>
              </w:rPr>
            </w:pPr>
          </w:p>
          <w:p w:rsidR="00FE3E95" w:rsidRDefault="00FE3E95" w:rsidP="00FE3E95">
            <w:pPr>
              <w:tabs>
                <w:tab w:val="left" w:pos="360"/>
              </w:tabs>
              <w:rPr>
                <w:rFonts w:ascii="Times New Roman" w:hAnsi="Times New Roman"/>
                <w:sz w:val="18"/>
                <w:szCs w:val="18"/>
              </w:rPr>
            </w:pPr>
          </w:p>
          <w:p w:rsidR="00FE3E95" w:rsidRPr="00FF56FC" w:rsidRDefault="001E4CA2" w:rsidP="006F71A4">
            <w:pPr>
              <w:tabs>
                <w:tab w:val="left" w:pos="360"/>
              </w:tabs>
              <w:jc w:val="both"/>
              <w:rPr>
                <w:rFonts w:ascii="Times New Roman" w:hAnsi="Times New Roman"/>
                <w:sz w:val="18"/>
                <w:szCs w:val="18"/>
              </w:rPr>
            </w:pPr>
            <w:r>
              <w:rPr>
                <w:rFonts w:ascii="Times New Roman" w:hAnsi="Times New Roman"/>
                <w:sz w:val="18"/>
                <w:szCs w:val="18"/>
              </w:rPr>
              <w:t xml:space="preserve">2. </w:t>
            </w:r>
            <w:r w:rsidR="00FE3E95" w:rsidRPr="004736AC">
              <w:rPr>
                <w:rFonts w:ascii="Times New Roman" w:hAnsi="Times New Roman"/>
                <w:sz w:val="18"/>
                <w:szCs w:val="18"/>
              </w:rPr>
              <w:t>EU prohlášení o shodě je vypracováno podle vzoru uvedeného v příloze IX, obsahuje prvky stanovené v příslušných modulech uvedených v přílohách III až VII a je průběžně aktualizováno. Je přiloženo k dílčímu systému nebo bezpečnostnímu prvku a přeloženo do jazyka nebo jazyků požadovaných členským státem, v němž je dílčí systém nebo bezpečnostní prvek uváděn nebo dodáván na trh.</w:t>
            </w:r>
          </w:p>
        </w:tc>
      </w:tr>
      <w:tr w:rsidR="00416FA7" w:rsidRPr="00F30ED3" w:rsidTr="001A59BD">
        <w:tblPrEx>
          <w:tblCellMar>
            <w:top w:w="0" w:type="dxa"/>
            <w:left w:w="0" w:type="dxa"/>
            <w:bottom w:w="0" w:type="dxa"/>
            <w:right w:w="0" w:type="dxa"/>
          </w:tblCellMar>
        </w:tblPrEx>
        <w:tc>
          <w:tcPr>
            <w:tcW w:w="1535" w:type="dxa"/>
          </w:tcPr>
          <w:p w:rsidR="00416FA7" w:rsidRDefault="00416FA7" w:rsidP="00EE1F44">
            <w:pPr>
              <w:tabs>
                <w:tab w:val="left" w:pos="360"/>
              </w:tabs>
              <w:rPr>
                <w:rFonts w:ascii="Times New Roman" w:hAnsi="Times New Roman"/>
                <w:sz w:val="18"/>
                <w:szCs w:val="18"/>
              </w:rPr>
            </w:pPr>
            <w:r>
              <w:rPr>
                <w:rFonts w:ascii="Times New Roman" w:hAnsi="Times New Roman"/>
                <w:sz w:val="18"/>
                <w:szCs w:val="18"/>
              </w:rPr>
              <w:lastRenderedPageBreak/>
              <w:t>Čl. I bod 4</w:t>
            </w:r>
          </w:p>
          <w:p w:rsidR="00416FA7" w:rsidRDefault="00416FA7" w:rsidP="00EE1F44">
            <w:pPr>
              <w:tabs>
                <w:tab w:val="left" w:pos="360"/>
              </w:tabs>
              <w:rPr>
                <w:rFonts w:ascii="Times New Roman" w:hAnsi="Times New Roman"/>
                <w:sz w:val="18"/>
                <w:szCs w:val="18"/>
              </w:rPr>
            </w:pPr>
            <w:r>
              <w:rPr>
                <w:rFonts w:ascii="Times New Roman" w:hAnsi="Times New Roman"/>
                <w:sz w:val="18"/>
                <w:szCs w:val="18"/>
              </w:rPr>
              <w:t>(§ 39 odst. 2 zákona č. 90/2016 Sb.)</w:t>
            </w:r>
          </w:p>
        </w:tc>
        <w:tc>
          <w:tcPr>
            <w:tcW w:w="4111" w:type="dxa"/>
          </w:tcPr>
          <w:p w:rsidR="00416FA7" w:rsidRDefault="00416FA7" w:rsidP="00416FA7">
            <w:pPr>
              <w:tabs>
                <w:tab w:val="left" w:pos="360"/>
              </w:tabs>
              <w:jc w:val="both"/>
              <w:rPr>
                <w:rFonts w:ascii="Times New Roman" w:hAnsi="Times New Roman"/>
                <w:sz w:val="18"/>
                <w:szCs w:val="24"/>
              </w:rPr>
            </w:pPr>
            <w:r w:rsidRPr="00416FA7">
              <w:rPr>
                <w:rFonts w:ascii="Times New Roman" w:hAnsi="Times New Roman"/>
                <w:sz w:val="18"/>
                <w:szCs w:val="18"/>
              </w:rPr>
              <w:t>(2) Výrobce, který není usazen v E</w:t>
            </w:r>
            <w:r w:rsidR="00CA28CC">
              <w:rPr>
                <w:rFonts w:ascii="Times New Roman" w:hAnsi="Times New Roman"/>
                <w:sz w:val="18"/>
                <w:szCs w:val="18"/>
              </w:rPr>
              <w:t>vropské unii, je povinen písemným pověřením</w:t>
            </w:r>
            <w:r w:rsidRPr="00416FA7">
              <w:rPr>
                <w:rFonts w:ascii="Times New Roman" w:hAnsi="Times New Roman"/>
                <w:sz w:val="18"/>
                <w:szCs w:val="18"/>
              </w:rPr>
              <w:t xml:space="preserve"> jmenovat svého zplnomocněného zástupce. Pověření zplnomocněného zástupce obsahuje adresu, na níž jej lze kontaktovat</w:t>
            </w:r>
          </w:p>
        </w:tc>
        <w:tc>
          <w:tcPr>
            <w:tcW w:w="992" w:type="dxa"/>
          </w:tcPr>
          <w:p w:rsidR="00416FA7" w:rsidRDefault="00416FA7" w:rsidP="00EE1F44">
            <w:pPr>
              <w:tabs>
                <w:tab w:val="left" w:pos="360"/>
              </w:tabs>
              <w:rPr>
                <w:rFonts w:ascii="Times New Roman" w:hAnsi="Times New Roman"/>
                <w:sz w:val="18"/>
                <w:szCs w:val="18"/>
              </w:rPr>
            </w:pPr>
            <w:r>
              <w:rPr>
                <w:rFonts w:ascii="Times New Roman" w:hAnsi="Times New Roman"/>
                <w:sz w:val="18"/>
                <w:szCs w:val="18"/>
              </w:rPr>
              <w:t>32014L0090</w:t>
            </w:r>
          </w:p>
        </w:tc>
        <w:tc>
          <w:tcPr>
            <w:tcW w:w="1134" w:type="dxa"/>
            <w:shd w:val="clear" w:color="auto" w:fill="auto"/>
          </w:tcPr>
          <w:p w:rsidR="00416FA7" w:rsidRDefault="00416FA7" w:rsidP="00EE1F44">
            <w:pPr>
              <w:tabs>
                <w:tab w:val="left" w:pos="360"/>
              </w:tabs>
              <w:rPr>
                <w:rFonts w:ascii="Times New Roman" w:hAnsi="Times New Roman"/>
                <w:sz w:val="18"/>
                <w:szCs w:val="18"/>
              </w:rPr>
            </w:pPr>
            <w:r>
              <w:rPr>
                <w:rFonts w:ascii="Times New Roman" w:hAnsi="Times New Roman"/>
                <w:sz w:val="18"/>
                <w:szCs w:val="18"/>
              </w:rPr>
              <w:t>Cl. 13 odst. 1</w:t>
            </w:r>
          </w:p>
        </w:tc>
        <w:tc>
          <w:tcPr>
            <w:tcW w:w="6095" w:type="dxa"/>
            <w:shd w:val="clear" w:color="auto" w:fill="auto"/>
          </w:tcPr>
          <w:p w:rsidR="00416FA7" w:rsidRPr="00EE1F44" w:rsidRDefault="00416FA7" w:rsidP="00CF3DE5">
            <w:pPr>
              <w:tabs>
                <w:tab w:val="left" w:pos="360"/>
              </w:tabs>
              <w:jc w:val="both"/>
              <w:rPr>
                <w:rFonts w:ascii="Times New Roman" w:hAnsi="Times New Roman"/>
                <w:sz w:val="18"/>
                <w:szCs w:val="18"/>
              </w:rPr>
            </w:pPr>
            <w:r w:rsidRPr="00416FA7">
              <w:rPr>
                <w:rFonts w:ascii="Times New Roman" w:hAnsi="Times New Roman"/>
                <w:sz w:val="18"/>
                <w:szCs w:val="18"/>
              </w:rPr>
              <w:t>Výrobce, který se nenachází na území alespoň jednoho členského státu, jmenuje písemným pověřením zplnomocněného zástupce pro Unii a v pověření uvede jméno zplnomocněného zástupce a adresu, na níž jej lze kontaktovat.</w:t>
            </w:r>
          </w:p>
        </w:tc>
      </w:tr>
      <w:tr w:rsidR="00CA28CC" w:rsidRPr="00F30ED3" w:rsidTr="001A59BD">
        <w:tblPrEx>
          <w:tblCellMar>
            <w:top w:w="0" w:type="dxa"/>
            <w:left w:w="0" w:type="dxa"/>
            <w:bottom w:w="0" w:type="dxa"/>
            <w:right w:w="0" w:type="dxa"/>
          </w:tblCellMar>
        </w:tblPrEx>
        <w:tc>
          <w:tcPr>
            <w:tcW w:w="1535" w:type="dxa"/>
          </w:tcPr>
          <w:p w:rsidR="00CA28CC" w:rsidRDefault="00CA28CC" w:rsidP="00CA28CC">
            <w:pPr>
              <w:tabs>
                <w:tab w:val="left" w:pos="360"/>
              </w:tabs>
              <w:rPr>
                <w:rFonts w:ascii="Times New Roman" w:hAnsi="Times New Roman"/>
                <w:sz w:val="18"/>
                <w:szCs w:val="18"/>
              </w:rPr>
            </w:pPr>
            <w:r>
              <w:rPr>
                <w:rFonts w:ascii="Times New Roman" w:hAnsi="Times New Roman"/>
                <w:sz w:val="18"/>
                <w:szCs w:val="18"/>
              </w:rPr>
              <w:t>Čl. I bod 5</w:t>
            </w:r>
          </w:p>
          <w:p w:rsidR="00CA28CC" w:rsidRDefault="00CA28CC" w:rsidP="00CA28CC">
            <w:pPr>
              <w:tabs>
                <w:tab w:val="left" w:pos="360"/>
              </w:tabs>
              <w:rPr>
                <w:rFonts w:ascii="Times New Roman" w:hAnsi="Times New Roman"/>
                <w:sz w:val="18"/>
                <w:szCs w:val="18"/>
              </w:rPr>
            </w:pPr>
            <w:r>
              <w:rPr>
                <w:rFonts w:ascii="Times New Roman" w:hAnsi="Times New Roman"/>
                <w:sz w:val="18"/>
                <w:szCs w:val="18"/>
              </w:rPr>
              <w:t>(§ 41 odst. 3 zákona č. 90/2016 Sb.)</w:t>
            </w:r>
          </w:p>
        </w:tc>
        <w:tc>
          <w:tcPr>
            <w:tcW w:w="4111" w:type="dxa"/>
          </w:tcPr>
          <w:p w:rsidR="00CA28CC" w:rsidRPr="00CA28CC" w:rsidRDefault="00CA28CC" w:rsidP="00CA28CC">
            <w:pPr>
              <w:pStyle w:val="Bezmezer"/>
              <w:spacing w:before="120" w:after="120"/>
              <w:jc w:val="both"/>
              <w:rPr>
                <w:rFonts w:ascii="Times New Roman" w:eastAsia="Times New Roman" w:hAnsi="Times New Roman"/>
                <w:sz w:val="18"/>
                <w:szCs w:val="18"/>
                <w:lang w:eastAsia="ar-SA"/>
              </w:rPr>
            </w:pPr>
            <w:r w:rsidRPr="00CA28CC">
              <w:rPr>
                <w:rFonts w:ascii="Times New Roman" w:eastAsia="Times New Roman" w:hAnsi="Times New Roman"/>
                <w:sz w:val="18"/>
                <w:szCs w:val="18"/>
                <w:lang w:eastAsia="ar-SA"/>
              </w:rPr>
              <w:t>V § 41 odst. 3 se za slovo „nahrazena“ vkládají slova „nebo doplněna“.</w:t>
            </w:r>
          </w:p>
        </w:tc>
        <w:tc>
          <w:tcPr>
            <w:tcW w:w="992" w:type="dxa"/>
          </w:tcPr>
          <w:p w:rsidR="00CA28CC" w:rsidRDefault="00CA28CC" w:rsidP="00EE1F44">
            <w:pPr>
              <w:tabs>
                <w:tab w:val="left" w:pos="360"/>
              </w:tabs>
              <w:rPr>
                <w:rFonts w:ascii="Times New Roman" w:hAnsi="Times New Roman"/>
                <w:sz w:val="18"/>
                <w:szCs w:val="18"/>
              </w:rPr>
            </w:pPr>
            <w:r>
              <w:rPr>
                <w:rFonts w:ascii="Times New Roman" w:hAnsi="Times New Roman"/>
                <w:sz w:val="18"/>
                <w:szCs w:val="18"/>
              </w:rPr>
              <w:t>32014L0090</w:t>
            </w:r>
          </w:p>
        </w:tc>
        <w:tc>
          <w:tcPr>
            <w:tcW w:w="1134" w:type="dxa"/>
            <w:shd w:val="clear" w:color="auto" w:fill="auto"/>
          </w:tcPr>
          <w:p w:rsidR="00CA28CC" w:rsidRDefault="00CA28CC" w:rsidP="00EE1F44">
            <w:pPr>
              <w:tabs>
                <w:tab w:val="left" w:pos="360"/>
              </w:tabs>
              <w:rPr>
                <w:rFonts w:ascii="Times New Roman" w:hAnsi="Times New Roman"/>
                <w:sz w:val="18"/>
                <w:szCs w:val="18"/>
              </w:rPr>
            </w:pPr>
            <w:r>
              <w:rPr>
                <w:rFonts w:ascii="Times New Roman" w:hAnsi="Times New Roman"/>
                <w:sz w:val="18"/>
                <w:szCs w:val="18"/>
              </w:rPr>
              <w:t>Čl. 11 odst. 1</w:t>
            </w:r>
          </w:p>
        </w:tc>
        <w:tc>
          <w:tcPr>
            <w:tcW w:w="6095" w:type="dxa"/>
            <w:shd w:val="clear" w:color="auto" w:fill="auto"/>
          </w:tcPr>
          <w:p w:rsidR="00CA28CC" w:rsidRPr="00416FA7" w:rsidRDefault="00CA28CC" w:rsidP="00CF3DE5">
            <w:pPr>
              <w:tabs>
                <w:tab w:val="left" w:pos="360"/>
              </w:tabs>
              <w:jc w:val="both"/>
              <w:rPr>
                <w:rFonts w:ascii="Times New Roman" w:hAnsi="Times New Roman"/>
                <w:sz w:val="18"/>
                <w:szCs w:val="18"/>
              </w:rPr>
            </w:pPr>
            <w:r w:rsidRPr="00CA28CC">
              <w:rPr>
                <w:rFonts w:ascii="Times New Roman" w:hAnsi="Times New Roman"/>
                <w:sz w:val="18"/>
                <w:szCs w:val="18"/>
              </w:rPr>
              <w:t>S cílem usnadnit dozor nad trhem a zabránit padělání konkrétní lodní výstroje podle odstavce 3 mohou výrobci namísto značky shody nebo spolu s ní použít vhodnou a spolehlivou formu elektronického identifikátoru. V takovém případě se náležitým způsobem obdobně použijí články 9 a 10.</w:t>
            </w:r>
          </w:p>
        </w:tc>
      </w:tr>
      <w:tr w:rsidR="00CF3DE5" w:rsidRPr="00F30ED3" w:rsidTr="001A59BD">
        <w:tblPrEx>
          <w:tblCellMar>
            <w:top w:w="0" w:type="dxa"/>
            <w:left w:w="0" w:type="dxa"/>
            <w:bottom w:w="0" w:type="dxa"/>
            <w:right w:w="0" w:type="dxa"/>
          </w:tblCellMar>
        </w:tblPrEx>
        <w:tc>
          <w:tcPr>
            <w:tcW w:w="1535" w:type="dxa"/>
          </w:tcPr>
          <w:p w:rsidR="00CF3DE5" w:rsidRDefault="00CA28CC" w:rsidP="00EE1F44">
            <w:pPr>
              <w:tabs>
                <w:tab w:val="left" w:pos="360"/>
              </w:tabs>
              <w:rPr>
                <w:rFonts w:ascii="Times New Roman" w:hAnsi="Times New Roman"/>
                <w:sz w:val="18"/>
                <w:szCs w:val="18"/>
              </w:rPr>
            </w:pPr>
            <w:r>
              <w:rPr>
                <w:rFonts w:ascii="Times New Roman" w:hAnsi="Times New Roman"/>
                <w:sz w:val="18"/>
                <w:szCs w:val="18"/>
              </w:rPr>
              <w:t>Čl. 1 bod 6</w:t>
            </w:r>
          </w:p>
          <w:p w:rsidR="00CF3DE5" w:rsidRDefault="00CF3DE5" w:rsidP="00EE1F44">
            <w:pPr>
              <w:tabs>
                <w:tab w:val="left" w:pos="360"/>
              </w:tabs>
              <w:rPr>
                <w:rFonts w:ascii="Times New Roman" w:hAnsi="Times New Roman"/>
                <w:sz w:val="18"/>
                <w:szCs w:val="18"/>
              </w:rPr>
            </w:pPr>
            <w:r>
              <w:rPr>
                <w:rFonts w:ascii="Times New Roman" w:hAnsi="Times New Roman"/>
                <w:sz w:val="18"/>
                <w:szCs w:val="18"/>
              </w:rPr>
              <w:t xml:space="preserve">(§ 43 zákona č. 90/2016 Sb.) </w:t>
            </w:r>
          </w:p>
        </w:tc>
        <w:tc>
          <w:tcPr>
            <w:tcW w:w="4111" w:type="dxa"/>
          </w:tcPr>
          <w:p w:rsidR="00CF3DE5" w:rsidRPr="00CF3DE5" w:rsidRDefault="00CF3DE5" w:rsidP="00CF3DE5">
            <w:pPr>
              <w:pStyle w:val="Bezmezer"/>
              <w:jc w:val="both"/>
              <w:rPr>
                <w:rFonts w:ascii="Times New Roman" w:eastAsia="Times New Roman" w:hAnsi="Times New Roman"/>
                <w:sz w:val="18"/>
                <w:szCs w:val="18"/>
                <w:lang w:eastAsia="ar-SA"/>
              </w:rPr>
            </w:pPr>
            <w:r w:rsidRPr="00CF3DE5">
              <w:rPr>
                <w:rFonts w:ascii="Times New Roman" w:eastAsia="Times New Roman" w:hAnsi="Times New Roman"/>
                <w:sz w:val="18"/>
                <w:szCs w:val="18"/>
                <w:lang w:eastAsia="ar-SA"/>
              </w:rPr>
              <w:t>Pro účely posuzování shody tlakových zařízení se rozumí</w:t>
            </w:r>
          </w:p>
          <w:p w:rsidR="00CF3DE5" w:rsidRPr="00CF3DE5" w:rsidRDefault="00CF3DE5" w:rsidP="00CF3DE5">
            <w:pPr>
              <w:pStyle w:val="Bezmezer"/>
              <w:numPr>
                <w:ilvl w:val="0"/>
                <w:numId w:val="4"/>
              </w:numPr>
              <w:ind w:left="283" w:hanging="283"/>
              <w:jc w:val="both"/>
              <w:rPr>
                <w:rFonts w:ascii="Times New Roman" w:eastAsia="Times New Roman" w:hAnsi="Times New Roman"/>
                <w:sz w:val="18"/>
                <w:szCs w:val="18"/>
                <w:lang w:eastAsia="ar-SA"/>
              </w:rPr>
            </w:pPr>
            <w:r w:rsidRPr="00CF3DE5">
              <w:rPr>
                <w:rFonts w:ascii="Times New Roman" w:eastAsia="Times New Roman" w:hAnsi="Times New Roman"/>
                <w:sz w:val="18"/>
                <w:szCs w:val="18"/>
                <w:lang w:eastAsia="ar-SA"/>
              </w:rPr>
              <w:t>sestavou několik tlakových zařízení sestavených výrobce tak, že představují ucelenou funkční jednotku,</w:t>
            </w:r>
          </w:p>
          <w:p w:rsidR="00CF3DE5" w:rsidRPr="00CF3DE5" w:rsidRDefault="00CF3DE5" w:rsidP="00CF3DE5">
            <w:pPr>
              <w:pStyle w:val="Bezmezer"/>
              <w:numPr>
                <w:ilvl w:val="0"/>
                <w:numId w:val="4"/>
              </w:numPr>
              <w:ind w:left="283" w:hanging="283"/>
              <w:jc w:val="both"/>
              <w:rPr>
                <w:rFonts w:ascii="Times New Roman" w:eastAsia="Times New Roman" w:hAnsi="Times New Roman"/>
                <w:sz w:val="18"/>
                <w:szCs w:val="18"/>
                <w:lang w:eastAsia="ar-SA"/>
              </w:rPr>
            </w:pPr>
            <w:r w:rsidRPr="00CF3DE5">
              <w:rPr>
                <w:rFonts w:ascii="Times New Roman" w:eastAsia="Times New Roman" w:hAnsi="Times New Roman"/>
                <w:sz w:val="18"/>
                <w:szCs w:val="18"/>
                <w:lang w:eastAsia="ar-SA"/>
              </w:rPr>
              <w:t>uvedením do provozu první použití tlakového zařízení nebo sestavy jejich uživatelem.“</w:t>
            </w:r>
          </w:p>
        </w:tc>
        <w:tc>
          <w:tcPr>
            <w:tcW w:w="992" w:type="dxa"/>
          </w:tcPr>
          <w:p w:rsidR="00CF3DE5" w:rsidRDefault="00CF3DE5" w:rsidP="00EE1F44">
            <w:pPr>
              <w:tabs>
                <w:tab w:val="left" w:pos="360"/>
              </w:tabs>
              <w:rPr>
                <w:rFonts w:ascii="Times New Roman" w:hAnsi="Times New Roman"/>
                <w:sz w:val="18"/>
                <w:szCs w:val="18"/>
              </w:rPr>
            </w:pPr>
            <w:r w:rsidRPr="00CF3DE5">
              <w:rPr>
                <w:rFonts w:ascii="Times New Roman" w:hAnsi="Times New Roman"/>
                <w:sz w:val="18"/>
                <w:szCs w:val="18"/>
              </w:rPr>
              <w:t>32014L0068</w:t>
            </w:r>
          </w:p>
        </w:tc>
        <w:tc>
          <w:tcPr>
            <w:tcW w:w="1134" w:type="dxa"/>
            <w:shd w:val="clear" w:color="auto" w:fill="auto"/>
          </w:tcPr>
          <w:p w:rsidR="00CF3DE5" w:rsidRDefault="00CF3DE5" w:rsidP="00EE1F44">
            <w:pPr>
              <w:tabs>
                <w:tab w:val="left" w:pos="360"/>
              </w:tabs>
              <w:rPr>
                <w:rFonts w:ascii="Times New Roman" w:hAnsi="Times New Roman"/>
                <w:sz w:val="18"/>
                <w:szCs w:val="18"/>
              </w:rPr>
            </w:pPr>
            <w:r>
              <w:rPr>
                <w:rFonts w:ascii="Times New Roman" w:hAnsi="Times New Roman"/>
                <w:sz w:val="18"/>
                <w:szCs w:val="18"/>
              </w:rPr>
              <w:t>Čl. 2 odst. 6 a 17</w:t>
            </w:r>
          </w:p>
        </w:tc>
        <w:tc>
          <w:tcPr>
            <w:tcW w:w="6095" w:type="dxa"/>
            <w:shd w:val="clear" w:color="auto" w:fill="auto"/>
          </w:tcPr>
          <w:p w:rsidR="00CF3DE5" w:rsidRDefault="00CF3DE5" w:rsidP="00CF3DE5">
            <w:pPr>
              <w:tabs>
                <w:tab w:val="left" w:pos="360"/>
              </w:tabs>
              <w:jc w:val="both"/>
              <w:rPr>
                <w:rFonts w:ascii="Times New Roman" w:hAnsi="Times New Roman"/>
                <w:sz w:val="18"/>
                <w:szCs w:val="18"/>
              </w:rPr>
            </w:pPr>
            <w:r>
              <w:rPr>
                <w:rFonts w:ascii="Times New Roman" w:hAnsi="Times New Roman"/>
                <w:sz w:val="18"/>
                <w:szCs w:val="18"/>
              </w:rPr>
              <w:t xml:space="preserve">6. </w:t>
            </w:r>
            <w:r w:rsidRPr="00CF3DE5">
              <w:rPr>
                <w:rFonts w:ascii="Times New Roman" w:hAnsi="Times New Roman"/>
                <w:sz w:val="18"/>
                <w:szCs w:val="18"/>
              </w:rPr>
              <w:t>sestavou" několik tlakových zařízení sestavených výrobcem tak, že představují ucelenou funkční jednotku</w:t>
            </w:r>
          </w:p>
          <w:p w:rsidR="00CF3DE5" w:rsidRDefault="00CF3DE5" w:rsidP="00EE1F44">
            <w:pPr>
              <w:tabs>
                <w:tab w:val="left" w:pos="360"/>
              </w:tabs>
              <w:rPr>
                <w:rFonts w:ascii="Times New Roman" w:hAnsi="Times New Roman"/>
                <w:sz w:val="18"/>
                <w:szCs w:val="18"/>
              </w:rPr>
            </w:pPr>
          </w:p>
          <w:p w:rsidR="00CF3DE5" w:rsidRPr="00416FA7" w:rsidRDefault="006D5F6C" w:rsidP="00CF3DE5">
            <w:pPr>
              <w:tabs>
                <w:tab w:val="left" w:pos="360"/>
              </w:tabs>
              <w:jc w:val="both"/>
              <w:rPr>
                <w:rFonts w:ascii="Times New Roman" w:hAnsi="Times New Roman"/>
                <w:sz w:val="18"/>
                <w:szCs w:val="18"/>
              </w:rPr>
            </w:pPr>
            <w:r>
              <w:rPr>
                <w:rFonts w:ascii="Times New Roman" w:hAnsi="Times New Roman"/>
                <w:sz w:val="18"/>
                <w:szCs w:val="18"/>
              </w:rPr>
              <w:t>1</w:t>
            </w:r>
            <w:r w:rsidR="00CF3DE5">
              <w:rPr>
                <w:rFonts w:ascii="Times New Roman" w:hAnsi="Times New Roman"/>
                <w:sz w:val="18"/>
                <w:szCs w:val="18"/>
              </w:rPr>
              <w:t xml:space="preserve">7. </w:t>
            </w:r>
            <w:r w:rsidR="00CF3DE5" w:rsidRPr="00CF3DE5">
              <w:rPr>
                <w:rFonts w:ascii="Times New Roman" w:hAnsi="Times New Roman"/>
                <w:sz w:val="18"/>
                <w:szCs w:val="18"/>
              </w:rPr>
              <w:t>uvedením do provozu" první použití tlakového zařízení nebo sestavy jejich uživatelem</w:t>
            </w:r>
          </w:p>
        </w:tc>
      </w:tr>
      <w:tr w:rsidR="00CF3DE5" w:rsidRPr="00F30ED3" w:rsidTr="001A59BD">
        <w:tblPrEx>
          <w:tblCellMar>
            <w:top w:w="0" w:type="dxa"/>
            <w:left w:w="0" w:type="dxa"/>
            <w:bottom w:w="0" w:type="dxa"/>
            <w:right w:w="0" w:type="dxa"/>
          </w:tblCellMar>
        </w:tblPrEx>
        <w:tc>
          <w:tcPr>
            <w:tcW w:w="1535" w:type="dxa"/>
          </w:tcPr>
          <w:p w:rsidR="00CF3DE5" w:rsidRDefault="00CA28CC" w:rsidP="00EE1F44">
            <w:pPr>
              <w:tabs>
                <w:tab w:val="left" w:pos="360"/>
              </w:tabs>
              <w:rPr>
                <w:rFonts w:ascii="Times New Roman" w:hAnsi="Times New Roman"/>
                <w:sz w:val="18"/>
                <w:szCs w:val="18"/>
              </w:rPr>
            </w:pPr>
            <w:r>
              <w:rPr>
                <w:rFonts w:ascii="Times New Roman" w:hAnsi="Times New Roman"/>
                <w:sz w:val="18"/>
                <w:szCs w:val="18"/>
              </w:rPr>
              <w:t>Čl. 1 bod 7</w:t>
            </w:r>
          </w:p>
          <w:p w:rsidR="00CF3DE5" w:rsidRDefault="00CF3DE5" w:rsidP="00EE1F44">
            <w:pPr>
              <w:tabs>
                <w:tab w:val="left" w:pos="360"/>
              </w:tabs>
              <w:rPr>
                <w:rFonts w:ascii="Times New Roman" w:hAnsi="Times New Roman"/>
                <w:sz w:val="18"/>
                <w:szCs w:val="18"/>
              </w:rPr>
            </w:pPr>
            <w:r>
              <w:rPr>
                <w:rFonts w:ascii="Times New Roman" w:hAnsi="Times New Roman"/>
                <w:sz w:val="18"/>
                <w:szCs w:val="18"/>
              </w:rPr>
              <w:t>(§ 46 zákona č. 90/2016 Sb.)</w:t>
            </w:r>
          </w:p>
        </w:tc>
        <w:tc>
          <w:tcPr>
            <w:tcW w:w="4111" w:type="dxa"/>
          </w:tcPr>
          <w:p w:rsidR="00CF3DE5" w:rsidRPr="00416FA7" w:rsidRDefault="00CF3DE5" w:rsidP="00CF3DE5">
            <w:pPr>
              <w:tabs>
                <w:tab w:val="left" w:pos="360"/>
              </w:tabs>
              <w:jc w:val="both"/>
              <w:rPr>
                <w:rFonts w:ascii="Times New Roman" w:hAnsi="Times New Roman"/>
                <w:sz w:val="18"/>
                <w:szCs w:val="18"/>
              </w:rPr>
            </w:pPr>
            <w:r w:rsidRPr="00CF3DE5">
              <w:rPr>
                <w:rFonts w:ascii="Times New Roman" w:hAnsi="Times New Roman"/>
                <w:sz w:val="18"/>
                <w:szCs w:val="18"/>
              </w:rPr>
              <w:t>e) uvedením do provozu první použití rádiového zařízení konečným uživatelem.</w:t>
            </w:r>
          </w:p>
        </w:tc>
        <w:tc>
          <w:tcPr>
            <w:tcW w:w="992" w:type="dxa"/>
          </w:tcPr>
          <w:p w:rsidR="00CF3DE5" w:rsidRDefault="00CF3DE5" w:rsidP="00EE1F44">
            <w:pPr>
              <w:tabs>
                <w:tab w:val="left" w:pos="360"/>
              </w:tabs>
              <w:rPr>
                <w:rFonts w:ascii="Times New Roman" w:hAnsi="Times New Roman"/>
                <w:sz w:val="18"/>
                <w:szCs w:val="18"/>
              </w:rPr>
            </w:pPr>
            <w:r w:rsidRPr="00CF3DE5">
              <w:rPr>
                <w:rFonts w:ascii="Times New Roman" w:hAnsi="Times New Roman"/>
                <w:sz w:val="18"/>
                <w:szCs w:val="18"/>
              </w:rPr>
              <w:t>32014L0053</w:t>
            </w:r>
          </w:p>
        </w:tc>
        <w:tc>
          <w:tcPr>
            <w:tcW w:w="1134" w:type="dxa"/>
            <w:shd w:val="clear" w:color="auto" w:fill="auto"/>
          </w:tcPr>
          <w:p w:rsidR="00CF3DE5" w:rsidRDefault="00CF3DE5" w:rsidP="00EE1F44">
            <w:pPr>
              <w:tabs>
                <w:tab w:val="left" w:pos="360"/>
              </w:tabs>
              <w:rPr>
                <w:rFonts w:ascii="Times New Roman" w:hAnsi="Times New Roman"/>
                <w:sz w:val="18"/>
                <w:szCs w:val="18"/>
              </w:rPr>
            </w:pPr>
            <w:r>
              <w:rPr>
                <w:rFonts w:ascii="Times New Roman" w:hAnsi="Times New Roman"/>
                <w:sz w:val="18"/>
                <w:szCs w:val="18"/>
              </w:rPr>
              <w:t>Čl. 2 odst. 1</w:t>
            </w:r>
          </w:p>
        </w:tc>
        <w:tc>
          <w:tcPr>
            <w:tcW w:w="6095" w:type="dxa"/>
            <w:shd w:val="clear" w:color="auto" w:fill="auto"/>
          </w:tcPr>
          <w:p w:rsidR="00CF3DE5" w:rsidRPr="00416FA7" w:rsidRDefault="00CF3DE5" w:rsidP="00CF3DE5">
            <w:pPr>
              <w:tabs>
                <w:tab w:val="left" w:pos="360"/>
              </w:tabs>
              <w:jc w:val="both"/>
              <w:rPr>
                <w:rFonts w:ascii="Times New Roman" w:hAnsi="Times New Roman"/>
                <w:sz w:val="18"/>
                <w:szCs w:val="18"/>
              </w:rPr>
            </w:pPr>
            <w:r w:rsidRPr="00CF3DE5">
              <w:rPr>
                <w:rFonts w:ascii="Times New Roman" w:hAnsi="Times New Roman"/>
                <w:sz w:val="18"/>
                <w:szCs w:val="18"/>
              </w:rPr>
              <w:t>uvedením do provozu" první použití rádiového zařízení konečným uživatelem v Uni</w:t>
            </w:r>
            <w:r>
              <w:rPr>
                <w:rFonts w:ascii="Times New Roman" w:hAnsi="Times New Roman"/>
                <w:sz w:val="18"/>
                <w:szCs w:val="18"/>
              </w:rPr>
              <w:t>i</w:t>
            </w:r>
          </w:p>
        </w:tc>
      </w:tr>
      <w:tr w:rsidR="00CF3DE5" w:rsidRPr="00F30ED3" w:rsidTr="001A59BD">
        <w:tblPrEx>
          <w:tblCellMar>
            <w:top w:w="0" w:type="dxa"/>
            <w:left w:w="0" w:type="dxa"/>
            <w:bottom w:w="0" w:type="dxa"/>
            <w:right w:w="0" w:type="dxa"/>
          </w:tblCellMar>
        </w:tblPrEx>
        <w:tc>
          <w:tcPr>
            <w:tcW w:w="1535" w:type="dxa"/>
          </w:tcPr>
          <w:p w:rsidR="00CF3DE5" w:rsidRDefault="00CA28CC" w:rsidP="00EE1F44">
            <w:pPr>
              <w:tabs>
                <w:tab w:val="left" w:pos="360"/>
              </w:tabs>
              <w:rPr>
                <w:rFonts w:ascii="Times New Roman" w:hAnsi="Times New Roman"/>
                <w:sz w:val="18"/>
                <w:szCs w:val="18"/>
              </w:rPr>
            </w:pPr>
            <w:r>
              <w:rPr>
                <w:rFonts w:ascii="Times New Roman" w:hAnsi="Times New Roman"/>
                <w:sz w:val="18"/>
                <w:szCs w:val="18"/>
              </w:rPr>
              <w:t>Cl. 1 bod 8</w:t>
            </w:r>
          </w:p>
          <w:p w:rsidR="00CF3DE5" w:rsidRDefault="00CF3DE5" w:rsidP="00EE1F44">
            <w:pPr>
              <w:tabs>
                <w:tab w:val="left" w:pos="360"/>
              </w:tabs>
              <w:rPr>
                <w:rFonts w:ascii="Times New Roman" w:hAnsi="Times New Roman"/>
                <w:sz w:val="18"/>
                <w:szCs w:val="18"/>
              </w:rPr>
            </w:pPr>
            <w:r>
              <w:rPr>
                <w:rFonts w:ascii="Times New Roman" w:hAnsi="Times New Roman"/>
                <w:sz w:val="18"/>
                <w:szCs w:val="18"/>
              </w:rPr>
              <w:t>(§ 48 zákona č. 90/2016 Sb.)</w:t>
            </w:r>
          </w:p>
        </w:tc>
        <w:tc>
          <w:tcPr>
            <w:tcW w:w="4111" w:type="dxa"/>
          </w:tcPr>
          <w:p w:rsidR="00CF3DE5" w:rsidRPr="00416FA7" w:rsidRDefault="00CF3DE5" w:rsidP="00416FA7">
            <w:pPr>
              <w:tabs>
                <w:tab w:val="left" w:pos="360"/>
              </w:tabs>
              <w:jc w:val="both"/>
              <w:rPr>
                <w:rFonts w:ascii="Times New Roman" w:hAnsi="Times New Roman"/>
                <w:sz w:val="18"/>
                <w:szCs w:val="18"/>
              </w:rPr>
            </w:pPr>
            <w:r w:rsidRPr="00F3091A">
              <w:rPr>
                <w:rFonts w:ascii="Times New Roman" w:hAnsi="Times New Roman"/>
                <w:sz w:val="18"/>
                <w:szCs w:val="18"/>
              </w:rPr>
              <w:t>Pro účely posuzování shody měřidel se uvedením do provozu rozumí první použití měřidla určeného pro konečného uživatele k účelům, pro které bylo určeno.</w:t>
            </w:r>
          </w:p>
        </w:tc>
        <w:tc>
          <w:tcPr>
            <w:tcW w:w="992" w:type="dxa"/>
          </w:tcPr>
          <w:p w:rsidR="00CF3DE5" w:rsidRDefault="00F3091A" w:rsidP="00EE1F44">
            <w:pPr>
              <w:tabs>
                <w:tab w:val="left" w:pos="360"/>
              </w:tabs>
              <w:rPr>
                <w:rFonts w:ascii="Times New Roman" w:hAnsi="Times New Roman"/>
                <w:sz w:val="18"/>
                <w:szCs w:val="18"/>
              </w:rPr>
            </w:pPr>
            <w:r w:rsidRPr="00F3091A">
              <w:rPr>
                <w:rFonts w:ascii="Times New Roman" w:hAnsi="Times New Roman"/>
                <w:sz w:val="18"/>
                <w:szCs w:val="18"/>
              </w:rPr>
              <w:t>32014L0032</w:t>
            </w:r>
          </w:p>
        </w:tc>
        <w:tc>
          <w:tcPr>
            <w:tcW w:w="1134" w:type="dxa"/>
            <w:shd w:val="clear" w:color="auto" w:fill="auto"/>
          </w:tcPr>
          <w:p w:rsidR="00CF3DE5" w:rsidRDefault="00F3091A" w:rsidP="00EE1F44">
            <w:pPr>
              <w:tabs>
                <w:tab w:val="left" w:pos="360"/>
              </w:tabs>
              <w:rPr>
                <w:rFonts w:ascii="Times New Roman" w:hAnsi="Times New Roman"/>
                <w:sz w:val="18"/>
                <w:szCs w:val="18"/>
              </w:rPr>
            </w:pPr>
            <w:r>
              <w:rPr>
                <w:rFonts w:ascii="Times New Roman" w:hAnsi="Times New Roman"/>
                <w:sz w:val="18"/>
                <w:szCs w:val="18"/>
              </w:rPr>
              <w:t>Cl. 4 odst. 7</w:t>
            </w:r>
          </w:p>
        </w:tc>
        <w:tc>
          <w:tcPr>
            <w:tcW w:w="6095" w:type="dxa"/>
            <w:shd w:val="clear" w:color="auto" w:fill="auto"/>
          </w:tcPr>
          <w:p w:rsidR="00CF3DE5" w:rsidRPr="00416FA7" w:rsidRDefault="00F3091A" w:rsidP="00E759E2">
            <w:pPr>
              <w:tabs>
                <w:tab w:val="left" w:pos="360"/>
              </w:tabs>
              <w:jc w:val="both"/>
              <w:rPr>
                <w:rFonts w:ascii="Times New Roman" w:hAnsi="Times New Roman"/>
                <w:sz w:val="18"/>
                <w:szCs w:val="18"/>
              </w:rPr>
            </w:pPr>
            <w:r w:rsidRPr="00F3091A">
              <w:rPr>
                <w:rFonts w:ascii="Times New Roman" w:hAnsi="Times New Roman"/>
                <w:sz w:val="18"/>
                <w:szCs w:val="18"/>
              </w:rPr>
              <w:t>uvedením do provozu" první použití měřidla určeného pro konečného uživatele k účelům, pro které bylo určeno</w:t>
            </w:r>
          </w:p>
        </w:tc>
      </w:tr>
      <w:tr w:rsidR="00CF3DE5" w:rsidRPr="00F30ED3" w:rsidTr="001A59BD">
        <w:tblPrEx>
          <w:tblCellMar>
            <w:top w:w="0" w:type="dxa"/>
            <w:left w:w="0" w:type="dxa"/>
            <w:bottom w:w="0" w:type="dxa"/>
            <w:right w:w="0" w:type="dxa"/>
          </w:tblCellMar>
        </w:tblPrEx>
        <w:tc>
          <w:tcPr>
            <w:tcW w:w="1535" w:type="dxa"/>
          </w:tcPr>
          <w:p w:rsidR="00CF3DE5" w:rsidRDefault="00CA28CC" w:rsidP="00EE1F44">
            <w:pPr>
              <w:tabs>
                <w:tab w:val="left" w:pos="360"/>
              </w:tabs>
              <w:rPr>
                <w:rFonts w:ascii="Times New Roman" w:hAnsi="Times New Roman"/>
                <w:sz w:val="18"/>
                <w:szCs w:val="18"/>
              </w:rPr>
            </w:pPr>
            <w:r>
              <w:rPr>
                <w:rFonts w:ascii="Times New Roman" w:hAnsi="Times New Roman"/>
                <w:sz w:val="18"/>
                <w:szCs w:val="18"/>
              </w:rPr>
              <w:t>Čl. 1 bod 9</w:t>
            </w:r>
          </w:p>
          <w:p w:rsidR="00F3091A" w:rsidRDefault="00F3091A" w:rsidP="00EE1F44">
            <w:pPr>
              <w:tabs>
                <w:tab w:val="left" w:pos="360"/>
              </w:tabs>
              <w:rPr>
                <w:rFonts w:ascii="Times New Roman" w:hAnsi="Times New Roman"/>
                <w:sz w:val="18"/>
                <w:szCs w:val="18"/>
              </w:rPr>
            </w:pPr>
            <w:r>
              <w:rPr>
                <w:rFonts w:ascii="Times New Roman" w:hAnsi="Times New Roman"/>
                <w:sz w:val="18"/>
                <w:szCs w:val="18"/>
              </w:rPr>
              <w:t>(§ 48a zákona č. 90/2016 Sb.)</w:t>
            </w:r>
          </w:p>
        </w:tc>
        <w:tc>
          <w:tcPr>
            <w:tcW w:w="4111" w:type="dxa"/>
          </w:tcPr>
          <w:p w:rsidR="00F3091A" w:rsidRPr="00F3091A" w:rsidRDefault="00F3091A" w:rsidP="00F3091A">
            <w:pPr>
              <w:pStyle w:val="Bezmezer"/>
              <w:jc w:val="both"/>
              <w:rPr>
                <w:rFonts w:ascii="Times New Roman" w:eastAsia="Times New Roman" w:hAnsi="Times New Roman"/>
                <w:sz w:val="18"/>
                <w:szCs w:val="18"/>
                <w:lang w:eastAsia="ar-SA"/>
              </w:rPr>
            </w:pPr>
            <w:r w:rsidRPr="00F3091A">
              <w:rPr>
                <w:rFonts w:ascii="Times New Roman" w:eastAsia="Times New Roman" w:hAnsi="Times New Roman"/>
                <w:sz w:val="18"/>
                <w:szCs w:val="18"/>
                <w:lang w:eastAsia="ar-SA"/>
              </w:rPr>
              <w:t>(1) Dovozce je povinen zajistit, aby výrobce provedl úkony stanovené v § 8 odst. 2 písm. a) rovněž před uvedením měřidla do provozu.</w:t>
            </w:r>
          </w:p>
          <w:p w:rsidR="00F3091A" w:rsidRPr="00F3091A" w:rsidRDefault="00F3091A" w:rsidP="00F3091A">
            <w:pPr>
              <w:pStyle w:val="Bezmezer"/>
              <w:jc w:val="both"/>
              <w:rPr>
                <w:rFonts w:ascii="Times New Roman" w:eastAsia="Times New Roman" w:hAnsi="Times New Roman"/>
                <w:sz w:val="18"/>
                <w:szCs w:val="18"/>
                <w:lang w:eastAsia="ar-SA"/>
              </w:rPr>
            </w:pPr>
            <w:r w:rsidRPr="00F3091A">
              <w:rPr>
                <w:rFonts w:ascii="Times New Roman" w:eastAsia="Times New Roman" w:hAnsi="Times New Roman"/>
                <w:sz w:val="18"/>
                <w:szCs w:val="18"/>
                <w:lang w:eastAsia="ar-SA"/>
              </w:rPr>
              <w:t>(2) Při postupu podle § 8 odst. 3 věty první dovozce nesmí uvést měřidlo ani do provozu.</w:t>
            </w:r>
          </w:p>
          <w:p w:rsidR="00F3091A" w:rsidRPr="00F3091A" w:rsidRDefault="00F3091A" w:rsidP="00F3091A">
            <w:pPr>
              <w:pStyle w:val="Bezmezer"/>
              <w:jc w:val="both"/>
              <w:rPr>
                <w:rFonts w:ascii="Times New Roman" w:eastAsia="Times New Roman" w:hAnsi="Times New Roman"/>
                <w:sz w:val="18"/>
                <w:szCs w:val="18"/>
                <w:lang w:eastAsia="ar-SA"/>
              </w:rPr>
            </w:pPr>
            <w:r w:rsidRPr="00F3091A">
              <w:rPr>
                <w:rFonts w:ascii="Times New Roman" w:eastAsia="Times New Roman" w:hAnsi="Times New Roman"/>
                <w:sz w:val="18"/>
                <w:szCs w:val="18"/>
                <w:lang w:eastAsia="ar-SA"/>
              </w:rPr>
              <w:t>(3) Při postupu podle § 9 odst. 1 jedná distributor s řádnou péčí i u měřidel jím uváděných do provozu. Distributor je povinen ověřit, zda měřidlo odpovídá požadavkům uvedeným v § 9 odst. 2 rovněž před jeho uvedením do provozu.</w:t>
            </w:r>
          </w:p>
          <w:p w:rsidR="00F3091A" w:rsidRPr="00F3091A" w:rsidRDefault="00F3091A" w:rsidP="00F3091A">
            <w:pPr>
              <w:pStyle w:val="Bezmezer"/>
              <w:jc w:val="both"/>
              <w:rPr>
                <w:rFonts w:ascii="Times New Roman" w:eastAsia="Times New Roman" w:hAnsi="Times New Roman"/>
                <w:sz w:val="18"/>
                <w:szCs w:val="18"/>
                <w:lang w:eastAsia="ar-SA"/>
              </w:rPr>
            </w:pPr>
            <w:r w:rsidRPr="00F3091A">
              <w:rPr>
                <w:rFonts w:ascii="Times New Roman" w:eastAsia="Times New Roman" w:hAnsi="Times New Roman"/>
                <w:sz w:val="18"/>
                <w:szCs w:val="18"/>
                <w:lang w:eastAsia="ar-SA"/>
              </w:rPr>
              <w:t>(4) Při postupu podle § 9 odst. 3 věty první distributor nesmí uvést měřidlo ani do provozu.</w:t>
            </w:r>
          </w:p>
          <w:p w:rsidR="00CF3DE5" w:rsidRPr="00416FA7" w:rsidRDefault="00F3091A" w:rsidP="00F3091A">
            <w:pPr>
              <w:tabs>
                <w:tab w:val="left" w:pos="360"/>
              </w:tabs>
              <w:jc w:val="both"/>
              <w:rPr>
                <w:rFonts w:ascii="Times New Roman" w:hAnsi="Times New Roman"/>
                <w:sz w:val="18"/>
                <w:szCs w:val="18"/>
              </w:rPr>
            </w:pPr>
            <w:r w:rsidRPr="00F3091A">
              <w:rPr>
                <w:rFonts w:ascii="Times New Roman" w:hAnsi="Times New Roman"/>
                <w:sz w:val="18"/>
                <w:szCs w:val="18"/>
              </w:rPr>
              <w:lastRenderedPageBreak/>
              <w:t>(5) Při postupu podle § 9 odst. 4 se povinnost distributora vztahuje i na měřidla, která uvedl do provozu.</w:t>
            </w:r>
          </w:p>
        </w:tc>
        <w:tc>
          <w:tcPr>
            <w:tcW w:w="992" w:type="dxa"/>
          </w:tcPr>
          <w:p w:rsidR="00F3091A" w:rsidRPr="00F3091A" w:rsidRDefault="00F3091A" w:rsidP="00EE1F44">
            <w:pPr>
              <w:tabs>
                <w:tab w:val="left" w:pos="360"/>
              </w:tabs>
              <w:rPr>
                <w:rFonts w:ascii="Times New Roman" w:hAnsi="Times New Roman"/>
                <w:sz w:val="12"/>
                <w:szCs w:val="18"/>
              </w:rPr>
            </w:pPr>
            <w:r w:rsidRPr="00F3091A">
              <w:rPr>
                <w:rFonts w:ascii="Times New Roman" w:hAnsi="Times New Roman"/>
                <w:sz w:val="18"/>
                <w:szCs w:val="24"/>
              </w:rPr>
              <w:lastRenderedPageBreak/>
              <w:t>32014L0032</w:t>
            </w:r>
          </w:p>
          <w:p w:rsidR="00CF3DE5" w:rsidRPr="00F3091A" w:rsidRDefault="00CF3DE5" w:rsidP="00F3091A">
            <w:pPr>
              <w:rPr>
                <w:rFonts w:ascii="Times New Roman" w:hAnsi="Times New Roman"/>
                <w:sz w:val="18"/>
                <w:szCs w:val="18"/>
              </w:rPr>
            </w:pPr>
          </w:p>
        </w:tc>
        <w:tc>
          <w:tcPr>
            <w:tcW w:w="1134" w:type="dxa"/>
            <w:shd w:val="clear" w:color="auto" w:fill="auto"/>
          </w:tcPr>
          <w:p w:rsidR="00E759E2" w:rsidRDefault="00E759E2" w:rsidP="00E759E2">
            <w:pPr>
              <w:tabs>
                <w:tab w:val="left" w:pos="360"/>
              </w:tabs>
              <w:rPr>
                <w:rFonts w:ascii="Times New Roman" w:hAnsi="Times New Roman"/>
                <w:sz w:val="18"/>
                <w:szCs w:val="18"/>
              </w:rPr>
            </w:pPr>
            <w:r>
              <w:rPr>
                <w:rFonts w:ascii="Times New Roman" w:hAnsi="Times New Roman"/>
                <w:sz w:val="18"/>
                <w:szCs w:val="18"/>
              </w:rPr>
              <w:t xml:space="preserve">Čl. 10 odst. 2 </w:t>
            </w: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p>
          <w:p w:rsidR="00E759E2" w:rsidRDefault="00E759E2" w:rsidP="00E759E2">
            <w:pPr>
              <w:tabs>
                <w:tab w:val="left" w:pos="360"/>
              </w:tabs>
              <w:rPr>
                <w:rFonts w:ascii="Times New Roman" w:hAnsi="Times New Roman"/>
                <w:sz w:val="18"/>
                <w:szCs w:val="18"/>
              </w:rPr>
            </w:pPr>
            <w:r>
              <w:rPr>
                <w:rFonts w:ascii="Times New Roman" w:hAnsi="Times New Roman"/>
                <w:sz w:val="18"/>
                <w:szCs w:val="18"/>
              </w:rPr>
              <w:t xml:space="preserve">Čl. 11 odst. 1 a </w:t>
            </w:r>
            <w:r>
              <w:rPr>
                <w:rFonts w:ascii="Times New Roman" w:hAnsi="Times New Roman"/>
                <w:sz w:val="18"/>
                <w:szCs w:val="18"/>
              </w:rPr>
              <w:lastRenderedPageBreak/>
              <w:t>2</w:t>
            </w: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p>
          <w:p w:rsidR="00E759E2" w:rsidRDefault="00E759E2" w:rsidP="00EE1F44">
            <w:pPr>
              <w:tabs>
                <w:tab w:val="left" w:pos="360"/>
              </w:tabs>
              <w:rPr>
                <w:rFonts w:ascii="Times New Roman" w:hAnsi="Times New Roman"/>
                <w:sz w:val="18"/>
                <w:szCs w:val="18"/>
              </w:rPr>
            </w:pPr>
            <w:r>
              <w:rPr>
                <w:rFonts w:ascii="Times New Roman" w:hAnsi="Times New Roman"/>
                <w:sz w:val="18"/>
                <w:szCs w:val="18"/>
              </w:rPr>
              <w:t>Čl. 11 odst. 5</w:t>
            </w:r>
          </w:p>
        </w:tc>
        <w:tc>
          <w:tcPr>
            <w:tcW w:w="6095" w:type="dxa"/>
            <w:shd w:val="clear" w:color="auto" w:fill="auto"/>
          </w:tcPr>
          <w:p w:rsidR="00CF3DE5"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lastRenderedPageBreak/>
              <w:t>Před uvedením měřidla na trh nebo do provozu dovozci zajistí, aby výrobce provedl příslušný postup posuzování shody podle článku 17. Zajistí, aby výrobce vypracoval technickou dokumentaci, aby měřidlo neslo označení CE a doplňkové metrologické označení, aby k němu byla přiložena kopie EU prohlášení o shodě a požadované doklady a aby výrobce splnil požadavky stanovené v čl. 8 odst. 5 a 6.</w:t>
            </w:r>
          </w:p>
          <w:p w:rsidR="00E759E2" w:rsidRDefault="00E759E2" w:rsidP="00EE1F44">
            <w:pPr>
              <w:tabs>
                <w:tab w:val="left" w:pos="360"/>
              </w:tabs>
              <w:rPr>
                <w:rFonts w:ascii="Times New Roman" w:hAnsi="Times New Roman"/>
                <w:sz w:val="18"/>
                <w:szCs w:val="18"/>
              </w:rPr>
            </w:pPr>
          </w:p>
          <w:p w:rsidR="00E759E2"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t>Domnívá-li se dovozce nebo má-li důvod se domnívat, že měřidlo není ve shodě se základními požadavky stanovenými v příloze I a v příslušných zvláštních přílohách pro jednotlivé druhy měřidel, nesmí uvést měřidlo na trh nebo do provozu, dokud nebude uvedeno do shody.</w:t>
            </w:r>
          </w:p>
          <w:p w:rsidR="00E759E2" w:rsidRDefault="00E759E2" w:rsidP="00E759E2">
            <w:pPr>
              <w:tabs>
                <w:tab w:val="left" w:pos="360"/>
              </w:tabs>
              <w:jc w:val="both"/>
              <w:rPr>
                <w:rFonts w:ascii="Times New Roman" w:hAnsi="Times New Roman"/>
                <w:sz w:val="18"/>
                <w:szCs w:val="18"/>
              </w:rPr>
            </w:pPr>
          </w:p>
          <w:p w:rsidR="00E759E2" w:rsidRPr="00E759E2"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t xml:space="preserve">1. Při dodávání měřidla na trh nebo jeho uvádění do provozu jednají distributoři s </w:t>
            </w:r>
            <w:r w:rsidRPr="00E759E2">
              <w:rPr>
                <w:rFonts w:ascii="Times New Roman" w:hAnsi="Times New Roman"/>
                <w:sz w:val="18"/>
                <w:szCs w:val="18"/>
              </w:rPr>
              <w:lastRenderedPageBreak/>
              <w:t xml:space="preserve">řádnou péčí, pokud jde o požadavky této směrnice. </w:t>
            </w:r>
          </w:p>
          <w:p w:rsidR="00E759E2" w:rsidRPr="00E759E2" w:rsidRDefault="00E759E2" w:rsidP="00E759E2">
            <w:pPr>
              <w:tabs>
                <w:tab w:val="left" w:pos="360"/>
              </w:tabs>
              <w:jc w:val="both"/>
              <w:rPr>
                <w:rFonts w:ascii="Times New Roman" w:hAnsi="Times New Roman"/>
                <w:sz w:val="18"/>
                <w:szCs w:val="18"/>
              </w:rPr>
            </w:pPr>
          </w:p>
          <w:p w:rsidR="00E759E2"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t>2. Před dodáním měřidla na trh nebo jeho uvedením do provozu distributoři ověří, zda nese označení CE a doplňkové metrologické označení, zda je k němu přiloženo EU prohlášení o shodě a požadované doklady a návody a informace v souladu s bodem 9.3 přílohy I v jazyce snadno srozumitelném konečným uživatelům v členském státě, v němž má být měřidlo dodáno na trh nebo uvedeno do provozu, a zda výrobce a dovozce splnili příslušné požadavky stanovené v čl. 8 odst. 5 a 6 a čl. 10 odst. 3.</w:t>
            </w:r>
          </w:p>
          <w:p w:rsidR="00E759E2" w:rsidRDefault="00E759E2" w:rsidP="00E759E2">
            <w:pPr>
              <w:tabs>
                <w:tab w:val="left" w:pos="360"/>
              </w:tabs>
              <w:jc w:val="both"/>
              <w:rPr>
                <w:rFonts w:ascii="Times New Roman" w:hAnsi="Times New Roman"/>
                <w:sz w:val="18"/>
                <w:szCs w:val="18"/>
              </w:rPr>
            </w:pPr>
          </w:p>
          <w:p w:rsidR="00E759E2"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t>Domnívá-li se distributor nebo má-li důvod se domnívat, že měřidlo není ve shodě se základními požadavky stanovenými v příloze I a v příslušných zvláštních přílohách pro jednotlivé druhy měřidel, nesmí dodat měřidlo na trh ani je uvést do provozu, dokud nebude uvedeno do shody. Dále pokud měřidlo představuje riziko, informuje o tom distributor výrobce nebo dovozce, jakož i orgány dozoru nad trhem.</w:t>
            </w:r>
          </w:p>
          <w:p w:rsidR="00E759E2" w:rsidRDefault="00E759E2" w:rsidP="00E759E2">
            <w:pPr>
              <w:tabs>
                <w:tab w:val="left" w:pos="360"/>
              </w:tabs>
              <w:jc w:val="both"/>
              <w:rPr>
                <w:rFonts w:ascii="Times New Roman" w:hAnsi="Times New Roman"/>
                <w:sz w:val="18"/>
                <w:szCs w:val="18"/>
              </w:rPr>
            </w:pPr>
          </w:p>
          <w:p w:rsidR="00E759E2" w:rsidRPr="00416FA7" w:rsidRDefault="00E759E2" w:rsidP="00E759E2">
            <w:pPr>
              <w:tabs>
                <w:tab w:val="left" w:pos="360"/>
              </w:tabs>
              <w:jc w:val="both"/>
              <w:rPr>
                <w:rFonts w:ascii="Times New Roman" w:hAnsi="Times New Roman"/>
                <w:sz w:val="18"/>
                <w:szCs w:val="18"/>
              </w:rPr>
            </w:pPr>
            <w:r w:rsidRPr="00E759E2">
              <w:rPr>
                <w:rFonts w:ascii="Times New Roman" w:hAnsi="Times New Roman"/>
                <w:sz w:val="18"/>
                <w:szCs w:val="18"/>
              </w:rPr>
              <w:t>Distributoři poskytnou příslušnému vnitrostátnímu orgánu na základě jeho odůvodněné žádosti všechny informace a dokumentaci v papírové nebo elektronické podobě, které jsou nezbytné k prokázání shody měřidla. Spolupracují s tímto orgánem na jeho žádost při činnostech, jejichž cílem je vyloučit rizika vyvolaná měřidly, která dodali na trh.</w:t>
            </w:r>
          </w:p>
        </w:tc>
      </w:tr>
      <w:tr w:rsidR="00EE1F44" w:rsidRPr="00F30ED3" w:rsidTr="001A59BD">
        <w:tblPrEx>
          <w:tblCellMar>
            <w:top w:w="0" w:type="dxa"/>
            <w:left w:w="0" w:type="dxa"/>
            <w:bottom w:w="0" w:type="dxa"/>
            <w:right w:w="0" w:type="dxa"/>
          </w:tblCellMar>
        </w:tblPrEx>
        <w:tc>
          <w:tcPr>
            <w:tcW w:w="1535" w:type="dxa"/>
          </w:tcPr>
          <w:p w:rsidR="00EE1F44" w:rsidRDefault="00EE1F44" w:rsidP="00EE1F44">
            <w:pPr>
              <w:tabs>
                <w:tab w:val="left" w:pos="360"/>
              </w:tabs>
              <w:rPr>
                <w:rFonts w:ascii="Times New Roman" w:hAnsi="Times New Roman"/>
                <w:sz w:val="18"/>
                <w:szCs w:val="18"/>
              </w:rPr>
            </w:pPr>
            <w:r>
              <w:rPr>
                <w:rFonts w:ascii="Times New Roman" w:hAnsi="Times New Roman"/>
                <w:sz w:val="18"/>
                <w:szCs w:val="18"/>
              </w:rPr>
              <w:lastRenderedPageBreak/>
              <w:t>Čl. II</w:t>
            </w:r>
          </w:p>
        </w:tc>
        <w:tc>
          <w:tcPr>
            <w:tcW w:w="4111" w:type="dxa"/>
          </w:tcPr>
          <w:p w:rsidR="00EE1F44" w:rsidRPr="00FF56FC" w:rsidRDefault="00EE1F44" w:rsidP="00EE1F44">
            <w:pPr>
              <w:pStyle w:val="Bezmezer"/>
              <w:rPr>
                <w:rFonts w:ascii="Times New Roman" w:hAnsi="Times New Roman"/>
                <w:sz w:val="18"/>
                <w:szCs w:val="24"/>
              </w:rPr>
            </w:pPr>
            <w:r>
              <w:rPr>
                <w:rFonts w:ascii="Times New Roman" w:hAnsi="Times New Roman"/>
                <w:sz w:val="18"/>
                <w:szCs w:val="24"/>
              </w:rPr>
              <w:t>Tento zákon nabývá účinnosti dnem 21. dubna 2018.</w:t>
            </w:r>
          </w:p>
        </w:tc>
        <w:tc>
          <w:tcPr>
            <w:tcW w:w="992" w:type="dxa"/>
          </w:tcPr>
          <w:p w:rsidR="00EE1F44" w:rsidRDefault="00EE1F44" w:rsidP="00EE1F44">
            <w:pPr>
              <w:tabs>
                <w:tab w:val="left" w:pos="360"/>
              </w:tabs>
              <w:rPr>
                <w:rFonts w:ascii="Times New Roman" w:hAnsi="Times New Roman"/>
                <w:sz w:val="18"/>
                <w:szCs w:val="18"/>
              </w:rPr>
            </w:pPr>
            <w:r>
              <w:rPr>
                <w:rFonts w:ascii="Times New Roman" w:hAnsi="Times New Roman"/>
                <w:sz w:val="18"/>
                <w:szCs w:val="18"/>
              </w:rPr>
              <w:t>32016R0425</w:t>
            </w: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jc w:val="both"/>
              <w:rPr>
                <w:rFonts w:ascii="Times New Roman" w:eastAsia="Calibri" w:hAnsi="Times New Roman"/>
                <w:sz w:val="18"/>
                <w:szCs w:val="24"/>
                <w:lang w:eastAsia="en-US"/>
              </w:rPr>
            </w:pPr>
            <w:r>
              <w:rPr>
                <w:rFonts w:ascii="Times New Roman" w:eastAsia="Calibri" w:hAnsi="Times New Roman"/>
                <w:sz w:val="18"/>
                <w:szCs w:val="24"/>
                <w:lang w:eastAsia="en-US"/>
              </w:rPr>
              <w:t>32016R0426</w:t>
            </w:r>
          </w:p>
          <w:p w:rsidR="00EE1F44" w:rsidRDefault="00EE1F44" w:rsidP="00EE1F44">
            <w:pPr>
              <w:tabs>
                <w:tab w:val="left" w:pos="360"/>
              </w:tabs>
              <w:jc w:val="both"/>
              <w:rPr>
                <w:rFonts w:ascii="Times New Roman" w:eastAsia="Calibri" w:hAnsi="Times New Roman"/>
                <w:sz w:val="18"/>
                <w:szCs w:val="24"/>
                <w:lang w:eastAsia="en-US"/>
              </w:rPr>
            </w:pPr>
          </w:p>
          <w:p w:rsidR="00EE1F44" w:rsidRDefault="00EE1F44" w:rsidP="00EE1F44">
            <w:pPr>
              <w:tabs>
                <w:tab w:val="left" w:pos="360"/>
              </w:tabs>
              <w:jc w:val="both"/>
              <w:rPr>
                <w:rFonts w:ascii="Times New Roman" w:eastAsia="Calibri" w:hAnsi="Times New Roman"/>
                <w:sz w:val="18"/>
                <w:szCs w:val="24"/>
                <w:lang w:eastAsia="en-US"/>
              </w:rPr>
            </w:pPr>
          </w:p>
          <w:p w:rsidR="00EE1F44" w:rsidRDefault="00EE1F44" w:rsidP="00EE1F44">
            <w:pPr>
              <w:tabs>
                <w:tab w:val="left" w:pos="360"/>
              </w:tabs>
              <w:jc w:val="both"/>
              <w:rPr>
                <w:rFonts w:ascii="Times New Roman" w:eastAsia="Calibri" w:hAnsi="Times New Roman"/>
                <w:sz w:val="18"/>
                <w:szCs w:val="24"/>
                <w:lang w:eastAsia="en-US"/>
              </w:rPr>
            </w:pPr>
          </w:p>
          <w:p w:rsidR="00EE1F44" w:rsidRDefault="00EE1F44" w:rsidP="00EE1F44">
            <w:pPr>
              <w:tabs>
                <w:tab w:val="left" w:pos="360"/>
              </w:tabs>
              <w:jc w:val="both"/>
              <w:rPr>
                <w:rFonts w:ascii="Times New Roman" w:eastAsia="Calibri" w:hAnsi="Times New Roman"/>
                <w:sz w:val="18"/>
                <w:szCs w:val="24"/>
                <w:lang w:eastAsia="en-US"/>
              </w:rPr>
            </w:pPr>
            <w:r>
              <w:rPr>
                <w:rFonts w:ascii="Times New Roman" w:eastAsia="Calibri" w:hAnsi="Times New Roman"/>
                <w:sz w:val="18"/>
                <w:szCs w:val="24"/>
                <w:lang w:eastAsia="en-US"/>
              </w:rPr>
              <w:t>32016R0424</w:t>
            </w:r>
          </w:p>
          <w:p w:rsidR="00EE1F44" w:rsidRDefault="00EE1F44" w:rsidP="00EE1F44">
            <w:pPr>
              <w:tabs>
                <w:tab w:val="left" w:pos="360"/>
              </w:tabs>
              <w:jc w:val="both"/>
              <w:rPr>
                <w:rFonts w:ascii="Times New Roman" w:eastAsia="Calibri" w:hAnsi="Times New Roman"/>
                <w:sz w:val="18"/>
                <w:szCs w:val="24"/>
                <w:lang w:eastAsia="en-US"/>
              </w:rPr>
            </w:pPr>
          </w:p>
          <w:p w:rsidR="00EE1F44" w:rsidRPr="00F30ED3" w:rsidRDefault="00EE1F44" w:rsidP="00EE1F44">
            <w:pPr>
              <w:tabs>
                <w:tab w:val="left" w:pos="360"/>
              </w:tabs>
              <w:rPr>
                <w:rFonts w:ascii="Times New Roman" w:hAnsi="Times New Roman"/>
                <w:sz w:val="18"/>
                <w:szCs w:val="18"/>
              </w:rPr>
            </w:pPr>
          </w:p>
        </w:tc>
        <w:tc>
          <w:tcPr>
            <w:tcW w:w="1134" w:type="dxa"/>
            <w:shd w:val="clear" w:color="auto" w:fill="auto"/>
          </w:tcPr>
          <w:p w:rsidR="00EE1F44" w:rsidRDefault="00EE1F44" w:rsidP="00EE1F44">
            <w:pPr>
              <w:tabs>
                <w:tab w:val="left" w:pos="360"/>
              </w:tabs>
              <w:rPr>
                <w:rFonts w:ascii="Times New Roman" w:hAnsi="Times New Roman"/>
                <w:sz w:val="18"/>
                <w:szCs w:val="18"/>
              </w:rPr>
            </w:pPr>
            <w:r>
              <w:rPr>
                <w:rFonts w:ascii="Times New Roman" w:hAnsi="Times New Roman"/>
                <w:sz w:val="18"/>
                <w:szCs w:val="18"/>
              </w:rPr>
              <w:t xml:space="preserve">Čl. 48 odst. 2 </w:t>
            </w: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r>
              <w:rPr>
                <w:rFonts w:ascii="Times New Roman" w:hAnsi="Times New Roman"/>
                <w:sz w:val="18"/>
                <w:szCs w:val="18"/>
              </w:rPr>
              <w:t>Čl. 46 odst. 2</w:t>
            </w: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p>
          <w:p w:rsidR="00EE1F44" w:rsidRDefault="00EE1F44" w:rsidP="00EE1F44">
            <w:pPr>
              <w:tabs>
                <w:tab w:val="left" w:pos="360"/>
              </w:tabs>
              <w:rPr>
                <w:rFonts w:ascii="Times New Roman" w:hAnsi="Times New Roman"/>
                <w:sz w:val="18"/>
                <w:szCs w:val="18"/>
              </w:rPr>
            </w:pPr>
            <w:r>
              <w:rPr>
                <w:rFonts w:ascii="Times New Roman" w:hAnsi="Times New Roman"/>
                <w:sz w:val="18"/>
                <w:szCs w:val="18"/>
              </w:rPr>
              <w:t xml:space="preserve">Čl. 48 odst. 2 </w:t>
            </w:r>
          </w:p>
          <w:p w:rsidR="00EE1F44" w:rsidRDefault="00EE1F44" w:rsidP="00EE1F44">
            <w:pPr>
              <w:tabs>
                <w:tab w:val="left" w:pos="360"/>
              </w:tabs>
              <w:rPr>
                <w:rFonts w:ascii="Times New Roman" w:hAnsi="Times New Roman"/>
                <w:sz w:val="18"/>
                <w:szCs w:val="18"/>
              </w:rPr>
            </w:pPr>
          </w:p>
        </w:tc>
        <w:tc>
          <w:tcPr>
            <w:tcW w:w="6095" w:type="dxa"/>
            <w:shd w:val="clear" w:color="auto" w:fill="auto"/>
          </w:tcPr>
          <w:p w:rsidR="00EE1F44" w:rsidRP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2. Toto nařízení se použije ode dne 21. dubna 2018, s výjimkou:</w:t>
            </w:r>
          </w:p>
          <w:p w:rsidR="00EE1F44" w:rsidRPr="00EE1F44" w:rsidRDefault="00EE1F44" w:rsidP="00CF3DE5">
            <w:pPr>
              <w:tabs>
                <w:tab w:val="left" w:pos="360"/>
              </w:tabs>
              <w:jc w:val="both"/>
              <w:rPr>
                <w:rFonts w:ascii="Times New Roman" w:hAnsi="Times New Roman"/>
                <w:sz w:val="18"/>
                <w:szCs w:val="18"/>
              </w:rPr>
            </w:pPr>
            <w:r w:rsidRPr="00EE1F44">
              <w:rPr>
                <w:rFonts w:ascii="Times New Roman" w:hAnsi="Times New Roman"/>
                <w:sz w:val="18"/>
                <w:szCs w:val="18"/>
              </w:rPr>
              <w:t>a) článků 20 až 36 a článku 44, které se použijí ode dne 21. října 2016, a</w:t>
            </w:r>
          </w:p>
          <w:p w:rsid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b) čl. 45 odst. 1, který se použije ode dne 21. března 2018.</w:t>
            </w:r>
          </w:p>
          <w:p w:rsidR="00EE1F44" w:rsidRDefault="00EE1F44" w:rsidP="00EE1F44">
            <w:pPr>
              <w:tabs>
                <w:tab w:val="left" w:pos="360"/>
              </w:tabs>
              <w:rPr>
                <w:rFonts w:ascii="Times New Roman" w:hAnsi="Times New Roman"/>
                <w:sz w:val="18"/>
                <w:szCs w:val="18"/>
              </w:rPr>
            </w:pPr>
          </w:p>
          <w:p w:rsidR="00EE1F44" w:rsidRP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2. Toto nařízení se použije ode dne 21. dubna 2018, s výjimkou</w:t>
            </w:r>
          </w:p>
          <w:p w:rsidR="00EE1F44" w:rsidRP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a) článků 4, 19 až 35 a 42 a přílohy II, které se použijí ode dne 21. října 2016; a</w:t>
            </w:r>
          </w:p>
          <w:p w:rsid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b) čl. 43 odst. 1, který se použije ode dne 21. března 2018.</w:t>
            </w:r>
          </w:p>
          <w:p w:rsidR="00EE1F44" w:rsidRDefault="00EE1F44" w:rsidP="00EE1F44">
            <w:pPr>
              <w:tabs>
                <w:tab w:val="left" w:pos="360"/>
              </w:tabs>
              <w:rPr>
                <w:rFonts w:ascii="Times New Roman" w:hAnsi="Times New Roman"/>
                <w:sz w:val="18"/>
                <w:szCs w:val="18"/>
              </w:rPr>
            </w:pPr>
          </w:p>
          <w:p w:rsidR="00EE1F44" w:rsidRP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2. Toto nařízení se použije od 21. dubna 2018 s výjimkou:</w:t>
            </w:r>
          </w:p>
          <w:p w:rsidR="00EE1F44" w:rsidRPr="00EE1F44" w:rsidRDefault="00EE1F44" w:rsidP="00EE1F44">
            <w:pPr>
              <w:tabs>
                <w:tab w:val="left" w:pos="360"/>
              </w:tabs>
              <w:rPr>
                <w:rFonts w:ascii="Times New Roman" w:hAnsi="Times New Roman"/>
                <w:sz w:val="18"/>
                <w:szCs w:val="18"/>
              </w:rPr>
            </w:pPr>
            <w:r w:rsidRPr="00EE1F44">
              <w:rPr>
                <w:rFonts w:ascii="Times New Roman" w:hAnsi="Times New Roman"/>
                <w:sz w:val="18"/>
                <w:szCs w:val="18"/>
              </w:rPr>
              <w:t>a) článků 22 až 38 a článku 44, které se použijí od 21. října 2016;</w:t>
            </w:r>
          </w:p>
          <w:p w:rsidR="00EE1F44" w:rsidRPr="00FF56FC" w:rsidRDefault="00EE1F44" w:rsidP="00EE1F44">
            <w:pPr>
              <w:tabs>
                <w:tab w:val="left" w:pos="360"/>
              </w:tabs>
              <w:rPr>
                <w:rFonts w:ascii="Times New Roman" w:hAnsi="Times New Roman"/>
                <w:sz w:val="18"/>
                <w:szCs w:val="18"/>
              </w:rPr>
            </w:pPr>
            <w:r w:rsidRPr="00EE1F44">
              <w:rPr>
                <w:rFonts w:ascii="Times New Roman" w:hAnsi="Times New Roman"/>
                <w:sz w:val="18"/>
                <w:szCs w:val="18"/>
              </w:rPr>
              <w:t>b) čl. 45 odst. 1, který se použije od 21. března 2018.</w:t>
            </w:r>
          </w:p>
        </w:tc>
      </w:tr>
    </w:tbl>
    <w:p w:rsidR="00F97F23" w:rsidRPr="00FA795B" w:rsidRDefault="00F97F23" w:rsidP="00F97F23">
      <w:pPr>
        <w:tabs>
          <w:tab w:val="left" w:pos="360"/>
        </w:tabs>
        <w:rPr>
          <w:rFonts w:cs="Arial"/>
        </w:rPr>
      </w:pPr>
    </w:p>
    <w:p w:rsidR="00F97F23" w:rsidRPr="00FA795B" w:rsidRDefault="00F97F23" w:rsidP="00F97F23">
      <w:pPr>
        <w:tabs>
          <w:tab w:val="left" w:pos="360"/>
        </w:tabs>
        <w:rPr>
          <w:rFonts w:cs="Arial"/>
        </w:rPr>
      </w:pPr>
    </w:p>
    <w:tbl>
      <w:tblPr>
        <w:tblW w:w="0" w:type="auto"/>
        <w:tblInd w:w="-112" w:type="dxa"/>
        <w:tblLayout w:type="fixed"/>
        <w:tblCellMar>
          <w:left w:w="0" w:type="dxa"/>
          <w:right w:w="0" w:type="dxa"/>
        </w:tblCellMar>
        <w:tblLook w:val="0000" w:firstRow="0" w:lastRow="0" w:firstColumn="0" w:lastColumn="0" w:noHBand="0" w:noVBand="0"/>
      </w:tblPr>
      <w:tblGrid>
        <w:gridCol w:w="4606"/>
        <w:gridCol w:w="9520"/>
      </w:tblGrid>
      <w:tr w:rsidR="00F97F23" w:rsidRPr="002C31AF" w:rsidTr="008A3542">
        <w:tblPrEx>
          <w:tblCellMar>
            <w:top w:w="0" w:type="dxa"/>
            <w:left w:w="0" w:type="dxa"/>
            <w:bottom w:w="0" w:type="dxa"/>
            <w:right w:w="0" w:type="dxa"/>
          </w:tblCellMar>
        </w:tblPrEx>
        <w:trPr>
          <w:cantSplit/>
        </w:trPr>
        <w:tc>
          <w:tcPr>
            <w:tcW w:w="4606" w:type="dxa"/>
            <w:tcBorders>
              <w:top w:val="single" w:sz="8" w:space="0" w:color="000000"/>
              <w:left w:val="single" w:sz="8" w:space="0" w:color="000000"/>
            </w:tcBorders>
          </w:tcPr>
          <w:p w:rsidR="00F97F23" w:rsidRPr="002C31AF" w:rsidRDefault="00F97F23" w:rsidP="00F97F23">
            <w:pPr>
              <w:tabs>
                <w:tab w:val="left" w:pos="360"/>
              </w:tabs>
              <w:rPr>
                <w:rFonts w:ascii="Times New Roman" w:hAnsi="Times New Roman"/>
                <w:sz w:val="18"/>
                <w:szCs w:val="18"/>
              </w:rPr>
            </w:pPr>
            <w:r w:rsidRPr="002C31AF">
              <w:rPr>
                <w:rFonts w:ascii="Times New Roman" w:hAnsi="Times New Roman"/>
                <w:sz w:val="18"/>
                <w:szCs w:val="18"/>
              </w:rPr>
              <w:t>Číslo předpisu EU (kód celex)</w:t>
            </w:r>
          </w:p>
        </w:tc>
        <w:tc>
          <w:tcPr>
            <w:tcW w:w="9520" w:type="dxa"/>
            <w:tcBorders>
              <w:top w:val="single" w:sz="8" w:space="0" w:color="000000"/>
              <w:left w:val="single" w:sz="8" w:space="0" w:color="000000"/>
              <w:right w:val="single" w:sz="8" w:space="0" w:color="000000"/>
            </w:tcBorders>
          </w:tcPr>
          <w:p w:rsidR="00F97F23" w:rsidRPr="002C31AF" w:rsidRDefault="00F97F23" w:rsidP="00F97F23">
            <w:pPr>
              <w:tabs>
                <w:tab w:val="left" w:pos="360"/>
              </w:tabs>
              <w:rPr>
                <w:rFonts w:ascii="Times New Roman" w:hAnsi="Times New Roman"/>
                <w:b/>
                <w:sz w:val="18"/>
                <w:szCs w:val="18"/>
              </w:rPr>
            </w:pPr>
            <w:r w:rsidRPr="002C31AF">
              <w:rPr>
                <w:rFonts w:ascii="Times New Roman" w:hAnsi="Times New Roman"/>
                <w:sz w:val="18"/>
                <w:szCs w:val="18"/>
              </w:rPr>
              <w:t>Název předpisu EU</w:t>
            </w:r>
          </w:p>
        </w:tc>
      </w:tr>
      <w:tr w:rsidR="00F97F23" w:rsidRPr="002C31AF" w:rsidTr="0099561F">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F97F23" w:rsidRPr="002C31AF" w:rsidRDefault="0099561F" w:rsidP="00F97F23">
            <w:pPr>
              <w:tabs>
                <w:tab w:val="left" w:pos="360"/>
              </w:tabs>
              <w:rPr>
                <w:rFonts w:ascii="Times New Roman" w:hAnsi="Times New Roman"/>
                <w:sz w:val="18"/>
                <w:szCs w:val="18"/>
              </w:rPr>
            </w:pPr>
            <w:r>
              <w:rPr>
                <w:rFonts w:ascii="Times New Roman" w:hAnsi="Times New Roman"/>
                <w:sz w:val="18"/>
                <w:szCs w:val="18"/>
              </w:rPr>
              <w:t>32016R0425</w:t>
            </w:r>
          </w:p>
        </w:tc>
        <w:tc>
          <w:tcPr>
            <w:tcW w:w="9520" w:type="dxa"/>
            <w:tcBorders>
              <w:top w:val="single" w:sz="8" w:space="0" w:color="000000"/>
              <w:left w:val="single" w:sz="8" w:space="0" w:color="000000"/>
              <w:bottom w:val="single" w:sz="8" w:space="0" w:color="000000"/>
              <w:right w:val="single" w:sz="8" w:space="0" w:color="000000"/>
            </w:tcBorders>
          </w:tcPr>
          <w:p w:rsidR="00F97F23" w:rsidRPr="002C31AF" w:rsidRDefault="0099561F" w:rsidP="00D4483B">
            <w:pPr>
              <w:tabs>
                <w:tab w:val="left" w:pos="360"/>
              </w:tabs>
              <w:rPr>
                <w:rFonts w:ascii="Times New Roman" w:hAnsi="Times New Roman"/>
                <w:sz w:val="18"/>
                <w:szCs w:val="18"/>
              </w:rPr>
            </w:pPr>
            <w:r>
              <w:rPr>
                <w:rFonts w:ascii="Times New Roman" w:hAnsi="Times New Roman"/>
                <w:sz w:val="18"/>
                <w:szCs w:val="18"/>
              </w:rPr>
              <w:t>Nařízení Evropského parlamentu a Rady (EU) 2016/425 ze dne 9. března 2016 o osobních ochranných prostředcích a o zrušení směrnice Rady 89/686/EHS</w:t>
            </w:r>
          </w:p>
        </w:tc>
      </w:tr>
      <w:tr w:rsidR="0099561F" w:rsidRPr="002C31AF" w:rsidTr="0099561F">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99561F" w:rsidRDefault="0099561F" w:rsidP="0099561F">
            <w:pPr>
              <w:tabs>
                <w:tab w:val="left" w:pos="360"/>
              </w:tabs>
              <w:jc w:val="both"/>
              <w:rPr>
                <w:rFonts w:ascii="Times New Roman" w:eastAsia="Calibri" w:hAnsi="Times New Roman"/>
                <w:sz w:val="18"/>
                <w:szCs w:val="24"/>
                <w:lang w:eastAsia="en-US"/>
              </w:rPr>
            </w:pPr>
            <w:r>
              <w:rPr>
                <w:rFonts w:ascii="Times New Roman" w:eastAsia="Calibri" w:hAnsi="Times New Roman"/>
                <w:sz w:val="18"/>
                <w:szCs w:val="24"/>
                <w:lang w:eastAsia="en-US"/>
              </w:rPr>
              <w:t>32016R0426</w:t>
            </w:r>
          </w:p>
          <w:p w:rsidR="0099561F" w:rsidRPr="002C31AF" w:rsidRDefault="0099561F" w:rsidP="00F97F23">
            <w:pPr>
              <w:tabs>
                <w:tab w:val="left" w:pos="360"/>
              </w:tabs>
              <w:rPr>
                <w:rFonts w:ascii="Times New Roman" w:hAnsi="Times New Roman"/>
                <w:sz w:val="18"/>
                <w:szCs w:val="18"/>
              </w:rPr>
            </w:pPr>
          </w:p>
        </w:tc>
        <w:tc>
          <w:tcPr>
            <w:tcW w:w="9520" w:type="dxa"/>
            <w:tcBorders>
              <w:top w:val="single" w:sz="8" w:space="0" w:color="000000"/>
              <w:left w:val="single" w:sz="8" w:space="0" w:color="000000"/>
              <w:bottom w:val="single" w:sz="8" w:space="0" w:color="000000"/>
              <w:right w:val="single" w:sz="8" w:space="0" w:color="000000"/>
            </w:tcBorders>
          </w:tcPr>
          <w:p w:rsidR="0099561F" w:rsidRPr="002C31AF" w:rsidRDefault="0099561F" w:rsidP="0099561F">
            <w:pPr>
              <w:tabs>
                <w:tab w:val="left" w:pos="360"/>
              </w:tabs>
              <w:rPr>
                <w:rFonts w:ascii="Times New Roman" w:hAnsi="Times New Roman"/>
                <w:sz w:val="18"/>
                <w:szCs w:val="18"/>
              </w:rPr>
            </w:pPr>
            <w:r w:rsidRPr="0099561F">
              <w:rPr>
                <w:rFonts w:ascii="Times New Roman" w:hAnsi="Times New Roman"/>
                <w:sz w:val="18"/>
                <w:szCs w:val="18"/>
              </w:rPr>
              <w:t>Nařízení</w:t>
            </w:r>
            <w:r>
              <w:rPr>
                <w:rFonts w:ascii="Times New Roman" w:hAnsi="Times New Roman"/>
                <w:sz w:val="18"/>
                <w:szCs w:val="18"/>
              </w:rPr>
              <w:t xml:space="preserve"> Evropského parlamentu a R</w:t>
            </w:r>
            <w:r w:rsidRPr="0099561F">
              <w:rPr>
                <w:rFonts w:ascii="Times New Roman" w:hAnsi="Times New Roman"/>
                <w:sz w:val="18"/>
                <w:szCs w:val="18"/>
              </w:rPr>
              <w:t>ady (EU)</w:t>
            </w:r>
            <w:r>
              <w:rPr>
                <w:rFonts w:ascii="Times New Roman" w:hAnsi="Times New Roman"/>
                <w:sz w:val="18"/>
                <w:szCs w:val="18"/>
              </w:rPr>
              <w:t xml:space="preserve"> </w:t>
            </w:r>
            <w:r w:rsidRPr="0099561F">
              <w:rPr>
                <w:rFonts w:ascii="Times New Roman" w:hAnsi="Times New Roman"/>
                <w:sz w:val="18"/>
                <w:szCs w:val="18"/>
              </w:rPr>
              <w:t>2016/426</w:t>
            </w:r>
            <w:r>
              <w:rPr>
                <w:rFonts w:ascii="Times New Roman" w:hAnsi="Times New Roman"/>
                <w:sz w:val="18"/>
                <w:szCs w:val="18"/>
              </w:rPr>
              <w:t xml:space="preserve"> </w:t>
            </w:r>
            <w:r w:rsidRPr="0099561F">
              <w:rPr>
                <w:rFonts w:ascii="Times New Roman" w:hAnsi="Times New Roman"/>
                <w:sz w:val="18"/>
                <w:szCs w:val="18"/>
              </w:rPr>
              <w:t>ze dne 9. března 2016</w:t>
            </w:r>
            <w:r>
              <w:rPr>
                <w:rFonts w:ascii="Times New Roman" w:hAnsi="Times New Roman"/>
                <w:sz w:val="18"/>
                <w:szCs w:val="18"/>
              </w:rPr>
              <w:t xml:space="preserve"> </w:t>
            </w:r>
            <w:r w:rsidRPr="0099561F">
              <w:rPr>
                <w:rFonts w:ascii="Times New Roman" w:hAnsi="Times New Roman"/>
                <w:sz w:val="18"/>
                <w:szCs w:val="18"/>
              </w:rPr>
              <w:t>o spotřebičích plynných paliv a o zrušení směrnice 2009/142/ES</w:t>
            </w:r>
          </w:p>
        </w:tc>
      </w:tr>
      <w:tr w:rsidR="0099561F"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99561F" w:rsidRPr="00F31AB6" w:rsidRDefault="0099561F" w:rsidP="0099561F">
            <w:pPr>
              <w:tabs>
                <w:tab w:val="left" w:pos="360"/>
              </w:tabs>
              <w:jc w:val="both"/>
              <w:rPr>
                <w:rFonts w:ascii="Times New Roman" w:eastAsia="Calibri" w:hAnsi="Times New Roman"/>
                <w:sz w:val="18"/>
                <w:szCs w:val="24"/>
                <w:lang w:eastAsia="en-US"/>
              </w:rPr>
            </w:pPr>
            <w:r w:rsidRPr="00F31AB6">
              <w:rPr>
                <w:rFonts w:ascii="Times New Roman" w:eastAsia="Calibri" w:hAnsi="Times New Roman"/>
                <w:sz w:val="18"/>
                <w:szCs w:val="24"/>
                <w:lang w:eastAsia="en-US"/>
              </w:rPr>
              <w:t>32016R0424</w:t>
            </w:r>
          </w:p>
          <w:p w:rsidR="0099561F" w:rsidRPr="00F31AB6" w:rsidRDefault="0099561F" w:rsidP="00F97F23">
            <w:pPr>
              <w:tabs>
                <w:tab w:val="left" w:pos="360"/>
              </w:tabs>
              <w:rPr>
                <w:rFonts w:ascii="Times New Roman" w:hAnsi="Times New Roman"/>
                <w:sz w:val="18"/>
                <w:szCs w:val="18"/>
              </w:rPr>
            </w:pPr>
          </w:p>
        </w:tc>
        <w:tc>
          <w:tcPr>
            <w:tcW w:w="9520" w:type="dxa"/>
            <w:tcBorders>
              <w:top w:val="single" w:sz="8" w:space="0" w:color="000000"/>
              <w:left w:val="single" w:sz="8" w:space="0" w:color="000000"/>
              <w:bottom w:val="single" w:sz="8" w:space="0" w:color="000000"/>
              <w:right w:val="single" w:sz="8" w:space="0" w:color="000000"/>
            </w:tcBorders>
          </w:tcPr>
          <w:p w:rsidR="0099561F" w:rsidRPr="00F31AB6" w:rsidRDefault="0099561F" w:rsidP="0099561F">
            <w:pPr>
              <w:tabs>
                <w:tab w:val="left" w:pos="360"/>
              </w:tabs>
              <w:rPr>
                <w:rFonts w:ascii="Times New Roman" w:hAnsi="Times New Roman"/>
                <w:sz w:val="18"/>
                <w:szCs w:val="18"/>
              </w:rPr>
            </w:pPr>
            <w:r w:rsidRPr="00F31AB6">
              <w:rPr>
                <w:rFonts w:ascii="Times New Roman" w:hAnsi="Times New Roman"/>
                <w:sz w:val="18"/>
                <w:szCs w:val="18"/>
              </w:rPr>
              <w:t>Nařízení Evropského parlamentu a Rady (EU) 2016/424 ze dne 9. března 2016 o lanových dráhách a o zrušení směrnice 2000/9/ES</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lastRenderedPageBreak/>
              <w:t>32013L0053</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99561F">
            <w:pPr>
              <w:tabs>
                <w:tab w:val="left" w:pos="360"/>
              </w:tabs>
              <w:rPr>
                <w:rFonts w:ascii="Times New Roman" w:hAnsi="Times New Roman"/>
                <w:sz w:val="18"/>
                <w:szCs w:val="18"/>
              </w:rPr>
            </w:pPr>
            <w:r w:rsidRPr="00F31AB6">
              <w:rPr>
                <w:rFonts w:ascii="Times New Roman" w:hAnsi="Times New Roman"/>
                <w:sz w:val="18"/>
                <w:szCs w:val="18"/>
                <w:lang w:eastAsia="cs-CZ"/>
              </w:rPr>
              <w:t>Směrnice Evropského parlamentu a Rady 2013/53/EU o rekreačních plavidlech a vodních skútrech a o zrušení směrnice 94/25/ES</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32014L0028</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99561F">
            <w:pPr>
              <w:tabs>
                <w:tab w:val="left" w:pos="360"/>
              </w:tabs>
              <w:rPr>
                <w:rFonts w:ascii="Times New Roman" w:hAnsi="Times New Roman"/>
                <w:sz w:val="18"/>
                <w:szCs w:val="18"/>
              </w:rPr>
            </w:pPr>
            <w:r w:rsidRPr="00F31AB6">
              <w:rPr>
                <w:rFonts w:ascii="Times New Roman" w:hAnsi="Times New Roman"/>
                <w:sz w:val="18"/>
                <w:szCs w:val="18"/>
                <w:lang w:eastAsia="cs-CZ"/>
              </w:rPr>
              <w:t>Směrnice Evropského parlamentu a Rady 2014/32/EU o harmonizaci právních předpisů členských států týkajících se dodávání měřidel na trh</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32014L0029</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lang w:eastAsia="cs-CZ"/>
              </w:rPr>
            </w:pPr>
            <w:r w:rsidRPr="00F31AB6">
              <w:rPr>
                <w:rFonts w:ascii="Times New Roman" w:hAnsi="Times New Roman"/>
                <w:sz w:val="18"/>
                <w:szCs w:val="18"/>
                <w:lang w:eastAsia="cs-CZ"/>
              </w:rPr>
              <w:t xml:space="preserve">Směrnice Evropského parlamentu a Rady 2014/29/EU o harmonizaci právních předpisů členských států týkajících se dodávání </w:t>
            </w:r>
            <w:r w:rsidR="00F31AB6">
              <w:rPr>
                <w:rFonts w:ascii="Times New Roman" w:hAnsi="Times New Roman"/>
                <w:sz w:val="18"/>
                <w:szCs w:val="18"/>
                <w:lang w:eastAsia="cs-CZ"/>
              </w:rPr>
              <w:t>je</w:t>
            </w:r>
            <w:r w:rsidRPr="00F31AB6">
              <w:rPr>
                <w:rFonts w:ascii="Times New Roman" w:hAnsi="Times New Roman"/>
                <w:sz w:val="18"/>
                <w:szCs w:val="18"/>
                <w:lang w:eastAsia="cs-CZ"/>
              </w:rPr>
              <w:t>dnoduchých</w:t>
            </w:r>
            <w:r w:rsidR="00F31AB6">
              <w:rPr>
                <w:rFonts w:ascii="Times New Roman" w:hAnsi="Times New Roman"/>
                <w:sz w:val="18"/>
                <w:szCs w:val="18"/>
                <w:lang w:eastAsia="cs-CZ"/>
              </w:rPr>
              <w:t xml:space="preserve"> tlakových nádob na trh</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32014L0030</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rPr>
            </w:pPr>
            <w:r w:rsidRPr="00F31AB6">
              <w:rPr>
                <w:rFonts w:ascii="Times New Roman" w:hAnsi="Times New Roman"/>
                <w:sz w:val="18"/>
                <w:szCs w:val="18"/>
                <w:lang w:eastAsia="cs-CZ"/>
              </w:rPr>
              <w:t xml:space="preserve">Směrnice Evropského parlamentu a Rady 2014/30/EU o harmonizaci právních předpisů členských států týkajících se </w:t>
            </w:r>
            <w:r w:rsidR="00F31AB6">
              <w:rPr>
                <w:rFonts w:ascii="Times New Roman" w:hAnsi="Times New Roman"/>
                <w:sz w:val="18"/>
                <w:szCs w:val="18"/>
                <w:lang w:eastAsia="cs-CZ"/>
              </w:rPr>
              <w:t>elektromagnetické kompatibility</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32014L0031</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rPr>
            </w:pPr>
            <w:r w:rsidRPr="00F31AB6">
              <w:rPr>
                <w:rFonts w:ascii="Times New Roman" w:hAnsi="Times New Roman"/>
                <w:sz w:val="18"/>
                <w:szCs w:val="18"/>
                <w:lang w:eastAsia="cs-CZ"/>
              </w:rPr>
              <w:t>Směrnice Evropského parlamentu a Rady 2014/32/EU o harmonizaci právních předpisů členských států týkajících se dodávání vah s</w:t>
            </w:r>
            <w:r w:rsidR="00F31AB6">
              <w:rPr>
                <w:rFonts w:ascii="Times New Roman" w:hAnsi="Times New Roman"/>
                <w:sz w:val="18"/>
                <w:szCs w:val="18"/>
                <w:lang w:eastAsia="cs-CZ"/>
              </w:rPr>
              <w:t xml:space="preserve"> neautomatickou činnosti na trh</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32014L0032</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tabs>
                <w:tab w:val="left" w:pos="360"/>
              </w:tabs>
              <w:jc w:val="both"/>
              <w:rPr>
                <w:rFonts w:ascii="Times New Roman" w:hAnsi="Times New Roman"/>
                <w:sz w:val="18"/>
                <w:szCs w:val="18"/>
              </w:rPr>
            </w:pPr>
            <w:r w:rsidRPr="00F31AB6">
              <w:rPr>
                <w:rFonts w:ascii="Times New Roman" w:hAnsi="Times New Roman"/>
                <w:sz w:val="18"/>
                <w:szCs w:val="18"/>
                <w:lang w:eastAsia="cs-CZ"/>
              </w:rPr>
              <w:t>Směrnice Evropského parlamentu a Rady 2014/32/EU o harmonizaci právních předpisů členských států týkajících se dodávání měřidel na trh</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eastAsia="Calibri" w:hAnsi="Times New Roman"/>
                <w:sz w:val="18"/>
                <w:szCs w:val="24"/>
                <w:lang w:eastAsia="en-US"/>
              </w:rPr>
            </w:pPr>
            <w:r w:rsidRPr="00F31AB6">
              <w:rPr>
                <w:rFonts w:ascii="Times New Roman" w:hAnsi="Times New Roman"/>
                <w:sz w:val="18"/>
                <w:szCs w:val="18"/>
                <w:lang w:eastAsia="cs-CZ"/>
              </w:rPr>
              <w:t>32014L0033</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rPr>
            </w:pPr>
            <w:r w:rsidRPr="00F31AB6">
              <w:rPr>
                <w:rFonts w:ascii="Times New Roman" w:hAnsi="Times New Roman"/>
                <w:sz w:val="18"/>
                <w:szCs w:val="18"/>
                <w:lang w:eastAsia="cs-CZ"/>
              </w:rPr>
              <w:t xml:space="preserve">Směrnice Evropského parlamentu a Rady 2014/33/EU o harmonizaci právních předpisů členských států týkajících se výtahů a </w:t>
            </w:r>
            <w:r w:rsidR="00F31AB6">
              <w:rPr>
                <w:rFonts w:ascii="Times New Roman" w:hAnsi="Times New Roman"/>
                <w:sz w:val="18"/>
                <w:szCs w:val="18"/>
                <w:lang w:eastAsia="cs-CZ"/>
              </w:rPr>
              <w:t>bezpečnostních komponent pro výtahy</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hAnsi="Times New Roman"/>
                <w:sz w:val="18"/>
                <w:szCs w:val="18"/>
                <w:lang w:eastAsia="cs-CZ"/>
              </w:rPr>
            </w:pPr>
            <w:r w:rsidRPr="00F31AB6">
              <w:rPr>
                <w:rFonts w:ascii="Times New Roman" w:hAnsi="Times New Roman"/>
                <w:sz w:val="18"/>
                <w:szCs w:val="18"/>
                <w:lang w:eastAsia="cs-CZ"/>
              </w:rPr>
              <w:t>32014L0034</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lang w:eastAsia="cs-CZ"/>
              </w:rPr>
            </w:pPr>
            <w:r w:rsidRPr="00F31AB6">
              <w:rPr>
                <w:rFonts w:ascii="Times New Roman" w:hAnsi="Times New Roman"/>
                <w:sz w:val="18"/>
                <w:szCs w:val="18"/>
                <w:lang w:eastAsia="cs-CZ"/>
              </w:rPr>
              <w:t>Směrnice Evropského parlamentu a Rady 2014/34/EU o harmonizaci právních předpisů členských států týkajících se zařízení a ochranných</w:t>
            </w:r>
            <w:r w:rsidR="00F31AB6">
              <w:rPr>
                <w:rFonts w:ascii="Times New Roman" w:hAnsi="Times New Roman"/>
                <w:sz w:val="18"/>
                <w:szCs w:val="18"/>
                <w:lang w:eastAsia="cs-CZ"/>
              </w:rPr>
              <w:t xml:space="preserve"> systému určených k použití v prostředí s nebezpečím výbuchu (přepracované znění)</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hAnsi="Times New Roman"/>
                <w:sz w:val="18"/>
                <w:szCs w:val="18"/>
                <w:lang w:eastAsia="cs-CZ"/>
              </w:rPr>
            </w:pPr>
            <w:r w:rsidRPr="00F31AB6">
              <w:rPr>
                <w:rFonts w:ascii="Times New Roman" w:hAnsi="Times New Roman"/>
                <w:sz w:val="18"/>
                <w:szCs w:val="18"/>
                <w:lang w:eastAsia="cs-CZ"/>
              </w:rPr>
              <w:t>32014L0035</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lang w:eastAsia="cs-CZ"/>
              </w:rPr>
            </w:pPr>
            <w:r w:rsidRPr="00F31AB6">
              <w:rPr>
                <w:rFonts w:ascii="Times New Roman" w:hAnsi="Times New Roman"/>
                <w:sz w:val="18"/>
                <w:szCs w:val="18"/>
                <w:lang w:eastAsia="cs-CZ"/>
              </w:rPr>
              <w:t>Směrnice Evropského parlamentu A Rady 2014/35/EU o harmonizaci právních předpisů členských států týkajících se dodávání elektrických</w:t>
            </w:r>
            <w:r w:rsidR="00F31AB6">
              <w:rPr>
                <w:rFonts w:ascii="Times New Roman" w:hAnsi="Times New Roman"/>
                <w:sz w:val="18"/>
                <w:szCs w:val="18"/>
                <w:lang w:eastAsia="cs-CZ"/>
              </w:rPr>
              <w:t xml:space="preserve"> zařízení určených pro používání v určitých mezích napětí na trh</w:t>
            </w:r>
          </w:p>
        </w:tc>
      </w:tr>
      <w:tr w:rsidR="001E4CA2" w:rsidRPr="00F31AB6" w:rsidTr="001E4CA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1E4CA2" w:rsidP="0099561F">
            <w:pPr>
              <w:tabs>
                <w:tab w:val="left" w:pos="360"/>
              </w:tabs>
              <w:jc w:val="both"/>
              <w:rPr>
                <w:rFonts w:ascii="Times New Roman" w:hAnsi="Times New Roman"/>
                <w:sz w:val="18"/>
                <w:szCs w:val="18"/>
                <w:lang w:eastAsia="cs-CZ"/>
              </w:rPr>
            </w:pPr>
            <w:r w:rsidRPr="00F31AB6">
              <w:rPr>
                <w:rFonts w:ascii="Times New Roman" w:hAnsi="Times New Roman"/>
                <w:sz w:val="18"/>
                <w:szCs w:val="18"/>
                <w:lang w:eastAsia="cs-CZ"/>
              </w:rPr>
              <w:t>32014L0068</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1E4CA2" w:rsidP="006F71A4">
            <w:pPr>
              <w:suppressAutoHyphens w:val="0"/>
              <w:autoSpaceDE w:val="0"/>
              <w:autoSpaceDN w:val="0"/>
              <w:adjustRightInd w:val="0"/>
              <w:jc w:val="both"/>
              <w:rPr>
                <w:rFonts w:ascii="Times New Roman" w:hAnsi="Times New Roman"/>
                <w:sz w:val="18"/>
                <w:szCs w:val="18"/>
                <w:lang w:eastAsia="cs-CZ"/>
              </w:rPr>
            </w:pPr>
            <w:r w:rsidRPr="00F31AB6">
              <w:rPr>
                <w:rFonts w:ascii="Times New Roman" w:hAnsi="Times New Roman"/>
                <w:sz w:val="18"/>
                <w:szCs w:val="18"/>
                <w:lang w:eastAsia="cs-CZ"/>
              </w:rPr>
              <w:t>Směrnice Evropského parlamentu a Rady 2014/68/EU o harmonizaci právních předpisů členských států týkajících se dodávání tlakových zařízení</w:t>
            </w:r>
            <w:r w:rsidR="00F31AB6">
              <w:rPr>
                <w:rFonts w:ascii="Times New Roman" w:hAnsi="Times New Roman"/>
                <w:sz w:val="18"/>
                <w:szCs w:val="18"/>
                <w:lang w:eastAsia="cs-CZ"/>
              </w:rPr>
              <w:t xml:space="preserve"> na trh</w:t>
            </w:r>
          </w:p>
        </w:tc>
      </w:tr>
      <w:tr w:rsidR="001E4CA2" w:rsidRPr="00F31AB6" w:rsidTr="000E48D8">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8" w:space="0" w:color="000000"/>
            </w:tcBorders>
          </w:tcPr>
          <w:p w:rsidR="001E4CA2" w:rsidRPr="00F31AB6" w:rsidRDefault="00F31AB6" w:rsidP="0099561F">
            <w:pPr>
              <w:tabs>
                <w:tab w:val="left" w:pos="360"/>
              </w:tabs>
              <w:jc w:val="both"/>
              <w:rPr>
                <w:rFonts w:ascii="Times New Roman" w:hAnsi="Times New Roman"/>
                <w:sz w:val="18"/>
                <w:szCs w:val="18"/>
                <w:lang w:eastAsia="cs-CZ"/>
              </w:rPr>
            </w:pPr>
            <w:r w:rsidRPr="00F31AB6">
              <w:rPr>
                <w:rFonts w:ascii="Times New Roman" w:hAnsi="Times New Roman"/>
                <w:sz w:val="18"/>
                <w:szCs w:val="18"/>
                <w:lang w:eastAsia="cs-CZ"/>
              </w:rPr>
              <w:t>32014L0090</w:t>
            </w:r>
          </w:p>
        </w:tc>
        <w:tc>
          <w:tcPr>
            <w:tcW w:w="9520" w:type="dxa"/>
            <w:tcBorders>
              <w:top w:val="single" w:sz="8" w:space="0" w:color="000000"/>
              <w:left w:val="single" w:sz="8" w:space="0" w:color="000000"/>
              <w:bottom w:val="single" w:sz="8" w:space="0" w:color="000000"/>
              <w:right w:val="single" w:sz="8" w:space="0" w:color="000000"/>
            </w:tcBorders>
          </w:tcPr>
          <w:p w:rsidR="001E4CA2" w:rsidRPr="00F31AB6" w:rsidRDefault="00F31AB6" w:rsidP="001E4CA2">
            <w:pPr>
              <w:suppressAutoHyphens w:val="0"/>
              <w:autoSpaceDE w:val="0"/>
              <w:autoSpaceDN w:val="0"/>
              <w:adjustRightInd w:val="0"/>
              <w:rPr>
                <w:rFonts w:ascii="Times New Roman" w:hAnsi="Times New Roman"/>
                <w:sz w:val="18"/>
                <w:szCs w:val="18"/>
                <w:lang w:eastAsia="cs-CZ"/>
              </w:rPr>
            </w:pPr>
            <w:r w:rsidRPr="00F31AB6">
              <w:rPr>
                <w:rFonts w:ascii="Times New Roman" w:hAnsi="Times New Roman"/>
                <w:sz w:val="18"/>
                <w:szCs w:val="18"/>
                <w:lang w:eastAsia="cs-CZ"/>
              </w:rPr>
              <w:t>Směrnice Evropského parlamentu a Rady 2014/90/EU o lodní výstroji a o zrušení směrnice Rady 96/98/ES</w:t>
            </w:r>
          </w:p>
        </w:tc>
      </w:tr>
      <w:tr w:rsidR="000E48D8" w:rsidRPr="00F31AB6" w:rsidTr="008A3542">
        <w:tblPrEx>
          <w:tblCellMar>
            <w:top w:w="0" w:type="dxa"/>
            <w:left w:w="0" w:type="dxa"/>
            <w:bottom w:w="0" w:type="dxa"/>
            <w:right w:w="0" w:type="dxa"/>
          </w:tblCellMar>
        </w:tblPrEx>
        <w:trPr>
          <w:cantSplit/>
        </w:trPr>
        <w:tc>
          <w:tcPr>
            <w:tcW w:w="4606" w:type="dxa"/>
            <w:tcBorders>
              <w:top w:val="single" w:sz="8" w:space="0" w:color="000000"/>
              <w:left w:val="single" w:sz="8" w:space="0" w:color="000000"/>
              <w:bottom w:val="single" w:sz="1" w:space="0" w:color="000000"/>
            </w:tcBorders>
          </w:tcPr>
          <w:p w:rsidR="000E48D8" w:rsidRPr="00F31AB6" w:rsidRDefault="000E48D8" w:rsidP="0099561F">
            <w:pPr>
              <w:tabs>
                <w:tab w:val="left" w:pos="360"/>
              </w:tabs>
              <w:jc w:val="both"/>
              <w:rPr>
                <w:rFonts w:ascii="Times New Roman" w:hAnsi="Times New Roman"/>
                <w:sz w:val="18"/>
                <w:szCs w:val="18"/>
                <w:lang w:eastAsia="cs-CZ"/>
              </w:rPr>
            </w:pPr>
            <w:r>
              <w:rPr>
                <w:rFonts w:ascii="Times New Roman" w:hAnsi="Times New Roman"/>
                <w:sz w:val="18"/>
                <w:szCs w:val="18"/>
                <w:lang w:eastAsia="cs-CZ"/>
              </w:rPr>
              <w:t>32014L0053</w:t>
            </w:r>
          </w:p>
        </w:tc>
        <w:tc>
          <w:tcPr>
            <w:tcW w:w="9520" w:type="dxa"/>
            <w:tcBorders>
              <w:top w:val="single" w:sz="8" w:space="0" w:color="000000"/>
              <w:left w:val="single" w:sz="8" w:space="0" w:color="000000"/>
              <w:bottom w:val="single" w:sz="1" w:space="0" w:color="000000"/>
              <w:right w:val="single" w:sz="8" w:space="0" w:color="000000"/>
            </w:tcBorders>
          </w:tcPr>
          <w:p w:rsidR="000E48D8" w:rsidRPr="00F31AB6" w:rsidRDefault="000E48D8" w:rsidP="000E48D8">
            <w:pPr>
              <w:suppressAutoHyphens w:val="0"/>
              <w:autoSpaceDE w:val="0"/>
              <w:autoSpaceDN w:val="0"/>
              <w:adjustRightInd w:val="0"/>
              <w:rPr>
                <w:rFonts w:ascii="Times New Roman" w:hAnsi="Times New Roman"/>
                <w:sz w:val="18"/>
                <w:szCs w:val="18"/>
                <w:lang w:eastAsia="cs-CZ"/>
              </w:rPr>
            </w:pPr>
            <w:r w:rsidRPr="00F31AB6">
              <w:rPr>
                <w:rFonts w:ascii="Times New Roman" w:hAnsi="Times New Roman"/>
                <w:sz w:val="18"/>
                <w:szCs w:val="18"/>
                <w:lang w:eastAsia="cs-CZ"/>
              </w:rPr>
              <w:t>Směrnice Evr</w:t>
            </w:r>
            <w:r>
              <w:rPr>
                <w:rFonts w:ascii="Times New Roman" w:hAnsi="Times New Roman"/>
                <w:sz w:val="18"/>
                <w:szCs w:val="18"/>
                <w:lang w:eastAsia="cs-CZ"/>
              </w:rPr>
              <w:t>opského parlamentu a Rady 2014/53</w:t>
            </w:r>
            <w:r w:rsidRPr="00F31AB6">
              <w:rPr>
                <w:rFonts w:ascii="Times New Roman" w:hAnsi="Times New Roman"/>
                <w:sz w:val="18"/>
                <w:szCs w:val="18"/>
                <w:lang w:eastAsia="cs-CZ"/>
              </w:rPr>
              <w:t xml:space="preserve">/EU o harmonizaci právních předpisů členských států týkajících se dodávání </w:t>
            </w:r>
            <w:r>
              <w:rPr>
                <w:rFonts w:ascii="Times New Roman" w:hAnsi="Times New Roman"/>
                <w:sz w:val="18"/>
                <w:szCs w:val="18"/>
                <w:lang w:eastAsia="cs-CZ"/>
              </w:rPr>
              <w:t>rádiových</w:t>
            </w:r>
            <w:r w:rsidRPr="00F31AB6">
              <w:rPr>
                <w:rFonts w:ascii="Times New Roman" w:hAnsi="Times New Roman"/>
                <w:sz w:val="18"/>
                <w:szCs w:val="18"/>
                <w:lang w:eastAsia="cs-CZ"/>
              </w:rPr>
              <w:t xml:space="preserve"> zařízení</w:t>
            </w:r>
            <w:r>
              <w:rPr>
                <w:rFonts w:ascii="Times New Roman" w:hAnsi="Times New Roman"/>
                <w:sz w:val="18"/>
                <w:szCs w:val="18"/>
                <w:lang w:eastAsia="cs-CZ"/>
              </w:rPr>
              <w:t xml:space="preserve"> na trh a zrušení směrnice 1999/5/ES.</w:t>
            </w:r>
          </w:p>
        </w:tc>
      </w:tr>
    </w:tbl>
    <w:p w:rsidR="00F97F23" w:rsidRPr="00F31AB6" w:rsidRDefault="00F97F23" w:rsidP="00F97F23">
      <w:pPr>
        <w:tabs>
          <w:tab w:val="left" w:pos="1080"/>
        </w:tabs>
        <w:ind w:left="360" w:hanging="360"/>
        <w:jc w:val="right"/>
        <w:rPr>
          <w:rFonts w:ascii="Times New Roman" w:hAnsi="Times New Roman"/>
        </w:rPr>
      </w:pPr>
    </w:p>
    <w:p w:rsidR="00F97F23" w:rsidRPr="00F31AB6" w:rsidRDefault="00F97F23" w:rsidP="00F97F23">
      <w:pPr>
        <w:tabs>
          <w:tab w:val="left" w:pos="360"/>
        </w:tabs>
        <w:rPr>
          <w:rFonts w:ascii="Times New Roman" w:hAnsi="Times New Roman"/>
          <w:b/>
          <w:caps/>
          <w:sz w:val="32"/>
        </w:rPr>
      </w:pPr>
    </w:p>
    <w:p w:rsidR="00C5192C" w:rsidRDefault="00C5192C" w:rsidP="00C5192C">
      <w:pPr>
        <w:pStyle w:val="Zkladntext"/>
        <w:spacing w:line="240" w:lineRule="auto"/>
        <w:jc w:val="center"/>
        <w:rPr>
          <w:b/>
          <w:caps/>
        </w:rPr>
      </w:pPr>
    </w:p>
    <w:p w:rsidR="00F97F23" w:rsidRDefault="00F97F23" w:rsidP="00C5192C">
      <w:pPr>
        <w:pStyle w:val="Zkladntext"/>
        <w:spacing w:line="240" w:lineRule="auto"/>
        <w:jc w:val="center"/>
        <w:rPr>
          <w:b/>
          <w:caps/>
        </w:rPr>
      </w:pPr>
    </w:p>
    <w:p w:rsidR="00C01B6C" w:rsidRDefault="00C01B6C"/>
    <w:sectPr w:rsidR="00C01B6C" w:rsidSect="008A3542">
      <w:headerReference w:type="even" r:id="rId7"/>
      <w:headerReference w:type="default" r:id="rId8"/>
      <w:footerReference w:type="defaul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0F1" w:rsidRDefault="009220F1">
      <w:r>
        <w:separator/>
      </w:r>
    </w:p>
  </w:endnote>
  <w:endnote w:type="continuationSeparator" w:id="0">
    <w:p w:rsidR="009220F1" w:rsidRDefault="00922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Minion Web">
    <w:altName w:val="Georgia"/>
    <w:charset w:val="00"/>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E95" w:rsidRDefault="00FE3E95">
    <w:pPr>
      <w:pStyle w:val="Zpat"/>
      <w:jc w:val="center"/>
    </w:pPr>
    <w:r>
      <w:fldChar w:fldCharType="begin"/>
    </w:r>
    <w:r>
      <w:instrText>PAGE   \* MERGEFORMAT</w:instrText>
    </w:r>
    <w:r>
      <w:fldChar w:fldCharType="separate"/>
    </w:r>
    <w:r w:rsidR="001E0A46">
      <w:rPr>
        <w:noProof/>
      </w:rPr>
      <w:t>11</w:t>
    </w:r>
    <w:r>
      <w:fldChar w:fldCharType="end"/>
    </w:r>
  </w:p>
  <w:p w:rsidR="00FE3E95" w:rsidRDefault="00FE3E9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0F1" w:rsidRDefault="009220F1">
      <w:r>
        <w:separator/>
      </w:r>
    </w:p>
  </w:footnote>
  <w:footnote w:type="continuationSeparator" w:id="0">
    <w:p w:rsidR="009220F1" w:rsidRDefault="009220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695" w:rsidRDefault="00AD6695" w:rsidP="00CB5D3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6695" w:rsidRDefault="00AD669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695" w:rsidRDefault="00AD6695" w:rsidP="00FE3E95">
    <w:pPr>
      <w:pStyle w:val="Zhlav"/>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283"/>
        </w:tabs>
        <w:ind w:left="283" w:hanging="283"/>
      </w:pPr>
    </w:lvl>
  </w:abstractNum>
  <w:abstractNum w:abstractNumId="2" w15:restartNumberingAfterBreak="0">
    <w:nsid w:val="00000003"/>
    <w:multiLevelType w:val="singleLevel"/>
    <w:tmpl w:val="00000003"/>
    <w:name w:val="WW8Num3"/>
    <w:lvl w:ilvl="0">
      <w:start w:val="1"/>
      <w:numFmt w:val="decimal"/>
      <w:lvlText w:val="%1)"/>
      <w:lvlJc w:val="left"/>
      <w:pPr>
        <w:tabs>
          <w:tab w:val="num" w:pos="283"/>
        </w:tabs>
        <w:ind w:left="283" w:hanging="283"/>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420"/>
        </w:tabs>
        <w:ind w:left="420" w:hanging="42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283"/>
        </w:tabs>
        <w:ind w:left="283" w:hanging="283"/>
      </w:pPr>
    </w:lvl>
  </w:abstractNum>
  <w:abstractNum w:abstractNumId="7" w15:restartNumberingAfterBreak="0">
    <w:nsid w:val="00000009"/>
    <w:multiLevelType w:val="multilevel"/>
    <w:tmpl w:val="7B2CED3C"/>
    <w:lvl w:ilvl="0">
      <w:start w:val="1"/>
      <w:numFmt w:val="decimal"/>
      <w:lvlText w:val="%1."/>
      <w:lvlJc w:val="left"/>
      <w:pPr>
        <w:tabs>
          <w:tab w:val="num" w:pos="567"/>
        </w:tabs>
        <w:ind w:left="567" w:hanging="283"/>
      </w:pPr>
    </w:lvl>
    <w:lvl w:ilvl="1" w:tentative="1">
      <w:start w:val="1"/>
      <w:numFmt w:val="lowerLetter"/>
      <w:pStyle w:val="Normln"/>
      <w:lvlText w:val="%2."/>
      <w:lvlJc w:val="left"/>
      <w:pPr>
        <w:tabs>
          <w:tab w:val="num" w:pos="1420"/>
        </w:tabs>
        <w:ind w:left="1420" w:hanging="360"/>
      </w:pPr>
    </w:lvl>
    <w:lvl w:ilvl="2" w:tentative="1">
      <w:start w:val="1"/>
      <w:numFmt w:val="lowerRoman"/>
      <w:pStyle w:val="Normln"/>
      <w:lvlText w:val="%3."/>
      <w:lvlJc w:val="right"/>
      <w:pPr>
        <w:tabs>
          <w:tab w:val="num" w:pos="2140"/>
        </w:tabs>
        <w:ind w:left="2140" w:hanging="180"/>
      </w:pPr>
    </w:lvl>
    <w:lvl w:ilvl="3" w:tentative="1">
      <w:start w:val="1"/>
      <w:numFmt w:val="decimal"/>
      <w:pStyle w:val="Normln"/>
      <w:lvlText w:val="%4."/>
      <w:lvlJc w:val="left"/>
      <w:pPr>
        <w:tabs>
          <w:tab w:val="num" w:pos="2860"/>
        </w:tabs>
        <w:ind w:left="2860" w:hanging="360"/>
      </w:pPr>
    </w:lvl>
    <w:lvl w:ilvl="4" w:tentative="1">
      <w:start w:val="1"/>
      <w:numFmt w:val="lowerLetter"/>
      <w:pStyle w:val="Normln"/>
      <w:lvlText w:val="%5."/>
      <w:lvlJc w:val="left"/>
      <w:pPr>
        <w:tabs>
          <w:tab w:val="num" w:pos="3580"/>
        </w:tabs>
        <w:ind w:left="3580" w:hanging="360"/>
      </w:pPr>
    </w:lvl>
    <w:lvl w:ilvl="5" w:tentative="1">
      <w:start w:val="1"/>
      <w:numFmt w:val="lowerRoman"/>
      <w:pStyle w:val="Normln"/>
      <w:lvlText w:val="%6."/>
      <w:lvlJc w:val="right"/>
      <w:pPr>
        <w:tabs>
          <w:tab w:val="num" w:pos="4300"/>
        </w:tabs>
        <w:ind w:left="4300" w:hanging="180"/>
      </w:pPr>
    </w:lvl>
    <w:lvl w:ilvl="6" w:tentative="1">
      <w:start w:val="1"/>
      <w:numFmt w:val="decimal"/>
      <w:pStyle w:val="Normln"/>
      <w:lvlText w:val="%7."/>
      <w:lvlJc w:val="left"/>
      <w:pPr>
        <w:tabs>
          <w:tab w:val="num" w:pos="5020"/>
        </w:tabs>
        <w:ind w:left="5020" w:hanging="360"/>
      </w:pPr>
    </w:lvl>
    <w:lvl w:ilvl="7" w:tentative="1">
      <w:start w:val="1"/>
      <w:numFmt w:val="lowerLetter"/>
      <w:pStyle w:val="Normln"/>
      <w:lvlText w:val="%8."/>
      <w:lvlJc w:val="left"/>
      <w:pPr>
        <w:tabs>
          <w:tab w:val="num" w:pos="5740"/>
        </w:tabs>
        <w:ind w:left="5740" w:hanging="360"/>
      </w:pPr>
    </w:lvl>
    <w:lvl w:ilvl="8" w:tentative="1">
      <w:start w:val="1"/>
      <w:numFmt w:val="lowerRoman"/>
      <w:pStyle w:val="Normln"/>
      <w:lvlText w:val="%9."/>
      <w:lvlJc w:val="right"/>
      <w:pPr>
        <w:tabs>
          <w:tab w:val="num" w:pos="6460"/>
        </w:tabs>
        <w:ind w:left="6460" w:hanging="180"/>
      </w:pPr>
    </w:lvl>
  </w:abstractNum>
  <w:abstractNum w:abstractNumId="8" w15:restartNumberingAfterBreak="0">
    <w:nsid w:val="0000000A"/>
    <w:multiLevelType w:val="singleLevel"/>
    <w:tmpl w:val="0000000A"/>
    <w:name w:val="WW8Num10"/>
    <w:lvl w:ilvl="0">
      <w:start w:val="1"/>
      <w:numFmt w:val="lowerLetter"/>
      <w:lvlText w:val="%1)"/>
      <w:lvlJc w:val="left"/>
      <w:pPr>
        <w:tabs>
          <w:tab w:val="num" w:pos="360"/>
        </w:tabs>
        <w:ind w:left="360" w:hanging="360"/>
      </w:pPr>
    </w:lvl>
  </w:abstractNum>
  <w:abstractNum w:abstractNumId="9" w15:restartNumberingAfterBreak="0">
    <w:nsid w:val="0000000B"/>
    <w:multiLevelType w:val="singleLevel"/>
    <w:tmpl w:val="0000000B"/>
    <w:name w:val="WW8Num11"/>
    <w:lvl w:ilvl="0">
      <w:start w:val="1"/>
      <w:numFmt w:val="lowerLetter"/>
      <w:lvlText w:val="%1)"/>
      <w:lvlJc w:val="left"/>
      <w:pPr>
        <w:tabs>
          <w:tab w:val="num" w:pos="360"/>
        </w:tabs>
        <w:ind w:left="360" w:hanging="360"/>
      </w:pPr>
    </w:lvl>
  </w:abstractNum>
  <w:abstractNum w:abstractNumId="10" w15:restartNumberingAfterBreak="0">
    <w:nsid w:val="0000000C"/>
    <w:multiLevelType w:val="singleLevel"/>
    <w:tmpl w:val="0000000C"/>
    <w:name w:val="WW8Num12"/>
    <w:lvl w:ilvl="0">
      <w:start w:val="6"/>
      <w:numFmt w:val="lowerLetter"/>
      <w:lvlText w:val="%1)"/>
      <w:lvlJc w:val="left"/>
      <w:pPr>
        <w:tabs>
          <w:tab w:val="num" w:pos="717"/>
        </w:tabs>
        <w:ind w:left="717" w:hanging="360"/>
      </w:pPr>
    </w:lvl>
  </w:abstractNum>
  <w:abstractNum w:abstractNumId="11" w15:restartNumberingAfterBreak="0">
    <w:nsid w:val="0000000D"/>
    <w:multiLevelType w:val="singleLevel"/>
    <w:tmpl w:val="0000000D"/>
    <w:name w:val="WW8Num13"/>
    <w:lvl w:ilvl="0">
      <w:start w:val="1"/>
      <w:numFmt w:val="lowerLetter"/>
      <w:lvlText w:val="%1)"/>
      <w:lvlJc w:val="left"/>
      <w:pPr>
        <w:tabs>
          <w:tab w:val="num" w:pos="283"/>
        </w:tabs>
        <w:ind w:left="283" w:hanging="283"/>
      </w:pPr>
    </w:lvl>
  </w:abstractNum>
  <w:abstractNum w:abstractNumId="12" w15:restartNumberingAfterBreak="0">
    <w:nsid w:val="0000000F"/>
    <w:multiLevelType w:val="singleLevel"/>
    <w:tmpl w:val="0000000F"/>
    <w:name w:val="WW8Num15"/>
    <w:lvl w:ilvl="0">
      <w:start w:val="1"/>
      <w:numFmt w:val="lowerLetter"/>
      <w:lvlText w:val="%1)"/>
      <w:lvlJc w:val="left"/>
      <w:pPr>
        <w:tabs>
          <w:tab w:val="num" w:pos="360"/>
        </w:tabs>
        <w:ind w:left="36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283"/>
        </w:tabs>
        <w:ind w:left="283" w:hanging="283"/>
      </w:pPr>
    </w:lvl>
  </w:abstractNum>
  <w:abstractNum w:abstractNumId="14" w15:restartNumberingAfterBreak="0">
    <w:nsid w:val="00000011"/>
    <w:multiLevelType w:val="singleLevel"/>
    <w:tmpl w:val="88465B76"/>
    <w:name w:val="WW8Num17"/>
    <w:lvl w:ilvl="0">
      <w:start w:val="1"/>
      <w:numFmt w:val="lowerLetter"/>
      <w:lvlText w:val="%1)"/>
      <w:lvlJc w:val="left"/>
      <w:pPr>
        <w:tabs>
          <w:tab w:val="num" w:pos="360"/>
        </w:tabs>
        <w:ind w:left="360" w:hanging="360"/>
      </w:pPr>
      <w:rPr>
        <w:rFonts w:hint="default"/>
        <w:b w:val="0"/>
        <w:i w:val="0"/>
        <w:color w:val="auto"/>
      </w:rPr>
    </w:lvl>
  </w:abstractNum>
  <w:abstractNum w:abstractNumId="15" w15:restartNumberingAfterBreak="0">
    <w:nsid w:val="00000013"/>
    <w:multiLevelType w:val="singleLevel"/>
    <w:tmpl w:val="00000013"/>
    <w:name w:val="WW8Num19"/>
    <w:lvl w:ilvl="0">
      <w:start w:val="1"/>
      <w:numFmt w:val="lowerLetter"/>
      <w:lvlText w:val="%1)"/>
      <w:lvlJc w:val="left"/>
      <w:pPr>
        <w:tabs>
          <w:tab w:val="num" w:pos="1154"/>
        </w:tabs>
        <w:ind w:left="1154" w:hanging="360"/>
      </w:pPr>
    </w:lvl>
  </w:abstractNum>
  <w:abstractNum w:abstractNumId="16" w15:restartNumberingAfterBreak="0">
    <w:nsid w:val="00000016"/>
    <w:multiLevelType w:val="singleLevel"/>
    <w:tmpl w:val="A112DA0A"/>
    <w:name w:val="WW8Num22"/>
    <w:lvl w:ilvl="0">
      <w:start w:val="1"/>
      <w:numFmt w:val="lowerLetter"/>
      <w:lvlText w:val="%1)"/>
      <w:lvlJc w:val="left"/>
      <w:pPr>
        <w:tabs>
          <w:tab w:val="num" w:pos="283"/>
        </w:tabs>
        <w:ind w:left="283" w:hanging="283"/>
      </w:pPr>
      <w:rPr>
        <w:strike w:val="0"/>
      </w:rPr>
    </w:lvl>
  </w:abstractNum>
  <w:abstractNum w:abstractNumId="17" w15:restartNumberingAfterBreak="0">
    <w:nsid w:val="00000017"/>
    <w:multiLevelType w:val="singleLevel"/>
    <w:tmpl w:val="00000017"/>
    <w:name w:val="WW8Num23"/>
    <w:lvl w:ilvl="0">
      <w:start w:val="1"/>
      <w:numFmt w:val="lowerLetter"/>
      <w:lvlText w:val="%1)"/>
      <w:lvlJc w:val="left"/>
      <w:pPr>
        <w:tabs>
          <w:tab w:val="num" w:pos="283"/>
        </w:tabs>
        <w:ind w:left="283" w:hanging="283"/>
      </w:pPr>
    </w:lvl>
  </w:abstractNum>
  <w:abstractNum w:abstractNumId="18" w15:restartNumberingAfterBreak="0">
    <w:nsid w:val="00000018"/>
    <w:multiLevelType w:val="singleLevel"/>
    <w:tmpl w:val="00000018"/>
    <w:name w:val="WW8Num24"/>
    <w:lvl w:ilvl="0">
      <w:start w:val="1"/>
      <w:numFmt w:val="decimal"/>
      <w:lvlText w:val="%1)"/>
      <w:lvlJc w:val="left"/>
      <w:pPr>
        <w:tabs>
          <w:tab w:val="num" w:pos="283"/>
        </w:tabs>
        <w:ind w:left="283" w:hanging="283"/>
      </w:pPr>
    </w:lvl>
  </w:abstractNum>
  <w:abstractNum w:abstractNumId="19" w15:restartNumberingAfterBreak="0">
    <w:nsid w:val="00000019"/>
    <w:multiLevelType w:val="singleLevel"/>
    <w:tmpl w:val="00000019"/>
    <w:name w:val="WW8Num25"/>
    <w:lvl w:ilvl="0">
      <w:start w:val="1"/>
      <w:numFmt w:val="lowerLetter"/>
      <w:lvlText w:val="%1)"/>
      <w:lvlJc w:val="left"/>
      <w:pPr>
        <w:tabs>
          <w:tab w:val="num" w:pos="360"/>
        </w:tabs>
        <w:ind w:left="360" w:hanging="360"/>
      </w:pPr>
    </w:lvl>
  </w:abstractNum>
  <w:abstractNum w:abstractNumId="20" w15:restartNumberingAfterBreak="0">
    <w:nsid w:val="0000001A"/>
    <w:multiLevelType w:val="singleLevel"/>
    <w:tmpl w:val="0000001A"/>
    <w:name w:val="WW8Num26"/>
    <w:lvl w:ilvl="0">
      <w:start w:val="2"/>
      <w:numFmt w:val="lowerLetter"/>
      <w:lvlText w:val="%1)"/>
      <w:lvlJc w:val="left"/>
      <w:pPr>
        <w:tabs>
          <w:tab w:val="num" w:pos="283"/>
        </w:tabs>
        <w:ind w:left="283" w:hanging="283"/>
      </w:pPr>
    </w:lvl>
  </w:abstractNum>
  <w:abstractNum w:abstractNumId="21" w15:restartNumberingAfterBreak="0">
    <w:nsid w:val="0000001B"/>
    <w:multiLevelType w:val="singleLevel"/>
    <w:tmpl w:val="0000001B"/>
    <w:name w:val="WW8Num27"/>
    <w:lvl w:ilvl="0">
      <w:start w:val="9"/>
      <w:numFmt w:val="lowerLetter"/>
      <w:lvlText w:val="%1)"/>
      <w:lvlJc w:val="left"/>
      <w:pPr>
        <w:tabs>
          <w:tab w:val="num" w:pos="360"/>
        </w:tabs>
        <w:ind w:left="360" w:hanging="360"/>
      </w:pPr>
    </w:lvl>
  </w:abstractNum>
  <w:abstractNum w:abstractNumId="22" w15:restartNumberingAfterBreak="0">
    <w:nsid w:val="0000001C"/>
    <w:multiLevelType w:val="singleLevel"/>
    <w:tmpl w:val="0000001C"/>
    <w:name w:val="WW8Num28"/>
    <w:lvl w:ilvl="0">
      <w:start w:val="5"/>
      <w:numFmt w:val="lowerLetter"/>
      <w:lvlText w:val="%1)"/>
      <w:lvlJc w:val="left"/>
      <w:pPr>
        <w:tabs>
          <w:tab w:val="num" w:pos="420"/>
        </w:tabs>
        <w:ind w:left="420" w:hanging="420"/>
      </w:pPr>
    </w:lvl>
  </w:abstractNum>
  <w:abstractNum w:abstractNumId="23" w15:restartNumberingAfterBreak="0">
    <w:nsid w:val="0000001D"/>
    <w:multiLevelType w:val="singleLevel"/>
    <w:tmpl w:val="0000001D"/>
    <w:name w:val="WW8Num29"/>
    <w:lvl w:ilvl="0">
      <w:start w:val="1"/>
      <w:numFmt w:val="lowerLetter"/>
      <w:lvlText w:val="%1)"/>
      <w:lvlJc w:val="left"/>
      <w:pPr>
        <w:tabs>
          <w:tab w:val="num" w:pos="283"/>
        </w:tabs>
        <w:ind w:left="283" w:hanging="283"/>
      </w:pPr>
    </w:lvl>
  </w:abstractNum>
  <w:abstractNum w:abstractNumId="24" w15:restartNumberingAfterBreak="0">
    <w:nsid w:val="0000001E"/>
    <w:multiLevelType w:val="singleLevel"/>
    <w:tmpl w:val="0000001E"/>
    <w:name w:val="WW8Num30"/>
    <w:lvl w:ilvl="0">
      <w:start w:val="8"/>
      <w:numFmt w:val="lowerLetter"/>
      <w:lvlText w:val="%1)"/>
      <w:lvlJc w:val="left"/>
      <w:pPr>
        <w:tabs>
          <w:tab w:val="num" w:pos="768"/>
        </w:tabs>
        <w:ind w:left="768" w:hanging="405"/>
      </w:pPr>
    </w:lvl>
  </w:abstractNum>
  <w:abstractNum w:abstractNumId="25" w15:restartNumberingAfterBreak="0">
    <w:nsid w:val="00000020"/>
    <w:multiLevelType w:val="singleLevel"/>
    <w:tmpl w:val="00000020"/>
    <w:name w:val="WW8Num32"/>
    <w:lvl w:ilvl="0">
      <w:start w:val="1"/>
      <w:numFmt w:val="lowerLetter"/>
      <w:lvlText w:val="%1)"/>
      <w:lvlJc w:val="left"/>
      <w:pPr>
        <w:tabs>
          <w:tab w:val="num" w:pos="645"/>
        </w:tabs>
        <w:ind w:left="645" w:hanging="360"/>
      </w:pPr>
    </w:lvl>
  </w:abstractNum>
  <w:abstractNum w:abstractNumId="26" w15:restartNumberingAfterBreak="0">
    <w:nsid w:val="00000021"/>
    <w:multiLevelType w:val="singleLevel"/>
    <w:tmpl w:val="00000021"/>
    <w:name w:val="WW8Num33"/>
    <w:lvl w:ilvl="0">
      <w:start w:val="2"/>
      <w:numFmt w:val="lowerLetter"/>
      <w:lvlText w:val="%1)"/>
      <w:lvlJc w:val="left"/>
      <w:pPr>
        <w:tabs>
          <w:tab w:val="num" w:pos="283"/>
        </w:tabs>
        <w:ind w:left="283" w:hanging="283"/>
      </w:pPr>
    </w:lvl>
  </w:abstractNum>
  <w:abstractNum w:abstractNumId="27" w15:restartNumberingAfterBreak="0">
    <w:nsid w:val="00000022"/>
    <w:multiLevelType w:val="singleLevel"/>
    <w:tmpl w:val="00000022"/>
    <w:name w:val="WW8Num34"/>
    <w:lvl w:ilvl="0">
      <w:start w:val="1"/>
      <w:numFmt w:val="lowerLetter"/>
      <w:lvlText w:val="%1)"/>
      <w:lvlJc w:val="left"/>
      <w:pPr>
        <w:tabs>
          <w:tab w:val="num" w:pos="360"/>
        </w:tabs>
        <w:ind w:left="360" w:hanging="360"/>
      </w:pPr>
    </w:lvl>
  </w:abstractNum>
  <w:abstractNum w:abstractNumId="28" w15:restartNumberingAfterBreak="0">
    <w:nsid w:val="00000023"/>
    <w:multiLevelType w:val="singleLevel"/>
    <w:tmpl w:val="1228F0BE"/>
    <w:name w:val="WW8Num35"/>
    <w:lvl w:ilvl="0">
      <w:start w:val="2"/>
      <w:numFmt w:val="lowerLetter"/>
      <w:lvlText w:val="%1)"/>
      <w:lvlJc w:val="left"/>
      <w:pPr>
        <w:tabs>
          <w:tab w:val="num" w:pos="768"/>
        </w:tabs>
        <w:ind w:left="768" w:hanging="405"/>
      </w:pPr>
    </w:lvl>
  </w:abstractNum>
  <w:abstractNum w:abstractNumId="29" w15:restartNumberingAfterBreak="0">
    <w:nsid w:val="00000025"/>
    <w:multiLevelType w:val="singleLevel"/>
    <w:tmpl w:val="00000025"/>
    <w:name w:val="WW8Num37"/>
    <w:lvl w:ilvl="0">
      <w:start w:val="1"/>
      <w:numFmt w:val="lowerLetter"/>
      <w:lvlText w:val="%1)"/>
      <w:lvlJc w:val="left"/>
      <w:pPr>
        <w:tabs>
          <w:tab w:val="num" w:pos="420"/>
        </w:tabs>
        <w:ind w:left="420" w:hanging="420"/>
      </w:pPr>
    </w:lvl>
  </w:abstractNum>
  <w:abstractNum w:abstractNumId="30"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1" w15:restartNumberingAfterBreak="0">
    <w:nsid w:val="00000029"/>
    <w:multiLevelType w:val="singleLevel"/>
    <w:tmpl w:val="00000029"/>
    <w:name w:val="WW8Num41"/>
    <w:lvl w:ilvl="0">
      <w:start w:val="1"/>
      <w:numFmt w:val="lowerLetter"/>
      <w:lvlText w:val="%1)"/>
      <w:lvlJc w:val="left"/>
      <w:pPr>
        <w:tabs>
          <w:tab w:val="num" w:pos="780"/>
        </w:tabs>
        <w:ind w:left="780" w:hanging="360"/>
      </w:pPr>
    </w:lvl>
  </w:abstractNum>
  <w:abstractNum w:abstractNumId="32" w15:restartNumberingAfterBreak="0">
    <w:nsid w:val="0000002B"/>
    <w:multiLevelType w:val="singleLevel"/>
    <w:tmpl w:val="0000002B"/>
    <w:name w:val="WW8Num43"/>
    <w:lvl w:ilvl="0">
      <w:start w:val="1"/>
      <w:numFmt w:val="lowerLetter"/>
      <w:lvlText w:val="%1)"/>
      <w:lvlJc w:val="left"/>
      <w:pPr>
        <w:tabs>
          <w:tab w:val="num" w:pos="768"/>
        </w:tabs>
        <w:ind w:left="768" w:hanging="405"/>
      </w:pPr>
    </w:lvl>
  </w:abstractNum>
  <w:abstractNum w:abstractNumId="33" w15:restartNumberingAfterBreak="0">
    <w:nsid w:val="0000002E"/>
    <w:multiLevelType w:val="singleLevel"/>
    <w:tmpl w:val="0000002E"/>
    <w:name w:val="WW8Num46"/>
    <w:lvl w:ilvl="0">
      <w:start w:val="1"/>
      <w:numFmt w:val="lowerLetter"/>
      <w:lvlText w:val="%1)"/>
      <w:lvlJc w:val="left"/>
      <w:pPr>
        <w:tabs>
          <w:tab w:val="num" w:pos="283"/>
        </w:tabs>
        <w:ind w:left="283" w:hanging="283"/>
      </w:pPr>
    </w:lvl>
  </w:abstractNum>
  <w:abstractNum w:abstractNumId="34" w15:restartNumberingAfterBreak="0">
    <w:nsid w:val="0000002F"/>
    <w:multiLevelType w:val="singleLevel"/>
    <w:tmpl w:val="0000002F"/>
    <w:name w:val="WW8Num47"/>
    <w:lvl w:ilvl="0">
      <w:start w:val="1"/>
      <w:numFmt w:val="lowerLetter"/>
      <w:lvlText w:val="%1)"/>
      <w:lvlJc w:val="left"/>
      <w:pPr>
        <w:tabs>
          <w:tab w:val="num" w:pos="283"/>
        </w:tabs>
        <w:ind w:left="283" w:hanging="283"/>
      </w:pPr>
    </w:lvl>
  </w:abstractNum>
  <w:abstractNum w:abstractNumId="35" w15:restartNumberingAfterBreak="0">
    <w:nsid w:val="00000030"/>
    <w:multiLevelType w:val="singleLevel"/>
    <w:tmpl w:val="00000030"/>
    <w:name w:val="WW8Num48"/>
    <w:lvl w:ilvl="0">
      <w:start w:val="1"/>
      <w:numFmt w:val="lowerLetter"/>
      <w:lvlText w:val="%1)"/>
      <w:lvlJc w:val="left"/>
      <w:pPr>
        <w:tabs>
          <w:tab w:val="num" w:pos="283"/>
        </w:tabs>
        <w:ind w:left="283" w:hanging="283"/>
      </w:pPr>
    </w:lvl>
  </w:abstractNum>
  <w:abstractNum w:abstractNumId="36" w15:restartNumberingAfterBreak="0">
    <w:nsid w:val="00000031"/>
    <w:multiLevelType w:val="singleLevel"/>
    <w:tmpl w:val="00000031"/>
    <w:name w:val="WW8Num49"/>
    <w:lvl w:ilvl="0">
      <w:start w:val="1"/>
      <w:numFmt w:val="lowerLetter"/>
      <w:lvlText w:val="%1)"/>
      <w:lvlJc w:val="left"/>
      <w:pPr>
        <w:tabs>
          <w:tab w:val="num" w:pos="283"/>
        </w:tabs>
        <w:ind w:left="283" w:hanging="283"/>
      </w:pPr>
    </w:lvl>
  </w:abstractNum>
  <w:abstractNum w:abstractNumId="37" w15:restartNumberingAfterBreak="0">
    <w:nsid w:val="00000032"/>
    <w:multiLevelType w:val="singleLevel"/>
    <w:tmpl w:val="00000032"/>
    <w:name w:val="WW8Num50"/>
    <w:lvl w:ilvl="0">
      <w:start w:val="1"/>
      <w:numFmt w:val="lowerLetter"/>
      <w:lvlText w:val="%1)"/>
      <w:lvlJc w:val="left"/>
      <w:pPr>
        <w:tabs>
          <w:tab w:val="num" w:pos="283"/>
        </w:tabs>
        <w:ind w:left="283" w:hanging="283"/>
      </w:pPr>
    </w:lvl>
  </w:abstractNum>
  <w:abstractNum w:abstractNumId="38" w15:restartNumberingAfterBreak="0">
    <w:nsid w:val="00000033"/>
    <w:multiLevelType w:val="singleLevel"/>
    <w:tmpl w:val="00000033"/>
    <w:name w:val="WW8Num51"/>
    <w:lvl w:ilvl="0">
      <w:start w:val="1"/>
      <w:numFmt w:val="lowerLetter"/>
      <w:lvlText w:val="%1)"/>
      <w:lvlJc w:val="left"/>
      <w:pPr>
        <w:tabs>
          <w:tab w:val="num" w:pos="283"/>
        </w:tabs>
        <w:ind w:left="283" w:hanging="283"/>
      </w:pPr>
    </w:lvl>
  </w:abstractNum>
  <w:abstractNum w:abstractNumId="39" w15:restartNumberingAfterBreak="0">
    <w:nsid w:val="00000034"/>
    <w:multiLevelType w:val="singleLevel"/>
    <w:tmpl w:val="00000034"/>
    <w:name w:val="WW8Num52"/>
    <w:lvl w:ilvl="0">
      <w:start w:val="1"/>
      <w:numFmt w:val="lowerLetter"/>
      <w:lvlText w:val="%1)"/>
      <w:lvlJc w:val="left"/>
      <w:pPr>
        <w:tabs>
          <w:tab w:val="num" w:pos="283"/>
        </w:tabs>
        <w:ind w:left="283" w:hanging="283"/>
      </w:pPr>
    </w:lvl>
  </w:abstractNum>
  <w:abstractNum w:abstractNumId="40" w15:restartNumberingAfterBreak="0">
    <w:nsid w:val="00000035"/>
    <w:multiLevelType w:val="singleLevel"/>
    <w:tmpl w:val="00000035"/>
    <w:name w:val="WW8Num53"/>
    <w:lvl w:ilvl="0">
      <w:start w:val="1"/>
      <w:numFmt w:val="lowerLetter"/>
      <w:lvlText w:val="%1)"/>
      <w:lvlJc w:val="left"/>
      <w:pPr>
        <w:tabs>
          <w:tab w:val="num" w:pos="283"/>
        </w:tabs>
        <w:ind w:left="283" w:hanging="283"/>
      </w:pPr>
    </w:lvl>
  </w:abstractNum>
  <w:abstractNum w:abstractNumId="41" w15:restartNumberingAfterBreak="0">
    <w:nsid w:val="00000036"/>
    <w:multiLevelType w:val="singleLevel"/>
    <w:tmpl w:val="00000036"/>
    <w:name w:val="WW8Num54"/>
    <w:lvl w:ilvl="0">
      <w:start w:val="1"/>
      <w:numFmt w:val="lowerLetter"/>
      <w:lvlText w:val="%1)"/>
      <w:lvlJc w:val="left"/>
      <w:pPr>
        <w:tabs>
          <w:tab w:val="num" w:pos="283"/>
        </w:tabs>
        <w:ind w:left="283" w:hanging="283"/>
      </w:pPr>
    </w:lvl>
  </w:abstractNum>
  <w:abstractNum w:abstractNumId="42" w15:restartNumberingAfterBreak="0">
    <w:nsid w:val="00000037"/>
    <w:multiLevelType w:val="singleLevel"/>
    <w:tmpl w:val="00000037"/>
    <w:name w:val="WW8Num55"/>
    <w:lvl w:ilvl="0">
      <w:start w:val="1"/>
      <w:numFmt w:val="lowerLetter"/>
      <w:lvlText w:val="%1)"/>
      <w:lvlJc w:val="left"/>
      <w:pPr>
        <w:tabs>
          <w:tab w:val="num" w:pos="283"/>
        </w:tabs>
        <w:ind w:left="283" w:hanging="283"/>
      </w:pPr>
    </w:lvl>
  </w:abstractNum>
  <w:abstractNum w:abstractNumId="43" w15:restartNumberingAfterBreak="0">
    <w:nsid w:val="00000038"/>
    <w:multiLevelType w:val="singleLevel"/>
    <w:tmpl w:val="00000038"/>
    <w:name w:val="WW8Num56"/>
    <w:lvl w:ilvl="0">
      <w:start w:val="1"/>
      <w:numFmt w:val="lowerLetter"/>
      <w:lvlText w:val="%1)"/>
      <w:lvlJc w:val="left"/>
      <w:pPr>
        <w:tabs>
          <w:tab w:val="num" w:pos="283"/>
        </w:tabs>
        <w:ind w:left="283" w:hanging="283"/>
      </w:pPr>
    </w:lvl>
  </w:abstractNum>
  <w:abstractNum w:abstractNumId="44" w15:restartNumberingAfterBreak="0">
    <w:nsid w:val="00000039"/>
    <w:multiLevelType w:val="singleLevel"/>
    <w:tmpl w:val="00000039"/>
    <w:name w:val="WW8Num57"/>
    <w:lvl w:ilvl="0">
      <w:start w:val="1"/>
      <w:numFmt w:val="lowerLetter"/>
      <w:lvlText w:val="%1)"/>
      <w:lvlJc w:val="left"/>
      <w:pPr>
        <w:tabs>
          <w:tab w:val="num" w:pos="283"/>
        </w:tabs>
        <w:ind w:left="283" w:hanging="283"/>
      </w:pPr>
    </w:lvl>
  </w:abstractNum>
  <w:abstractNum w:abstractNumId="45" w15:restartNumberingAfterBreak="0">
    <w:nsid w:val="0000003A"/>
    <w:multiLevelType w:val="singleLevel"/>
    <w:tmpl w:val="0000003A"/>
    <w:name w:val="WW8Num58"/>
    <w:lvl w:ilvl="0">
      <w:start w:val="1"/>
      <w:numFmt w:val="lowerLetter"/>
      <w:lvlText w:val="%1)"/>
      <w:lvlJc w:val="left"/>
      <w:pPr>
        <w:tabs>
          <w:tab w:val="num" w:pos="283"/>
        </w:tabs>
        <w:ind w:left="283" w:hanging="283"/>
      </w:pPr>
    </w:lvl>
  </w:abstractNum>
  <w:abstractNum w:abstractNumId="46" w15:restartNumberingAfterBreak="0">
    <w:nsid w:val="0000003B"/>
    <w:multiLevelType w:val="singleLevel"/>
    <w:tmpl w:val="0000003B"/>
    <w:name w:val="WW8Num59"/>
    <w:lvl w:ilvl="0">
      <w:start w:val="1"/>
      <w:numFmt w:val="lowerLetter"/>
      <w:lvlText w:val="%1)"/>
      <w:lvlJc w:val="left"/>
      <w:pPr>
        <w:tabs>
          <w:tab w:val="num" w:pos="720"/>
        </w:tabs>
        <w:ind w:left="720" w:hanging="360"/>
      </w:pPr>
    </w:lvl>
  </w:abstractNum>
  <w:abstractNum w:abstractNumId="47" w15:restartNumberingAfterBreak="0">
    <w:nsid w:val="02AD607F"/>
    <w:multiLevelType w:val="hybridMultilevel"/>
    <w:tmpl w:val="35427390"/>
    <w:name w:val="WW8Num184"/>
    <w:lvl w:ilvl="0" w:tplc="3640C200">
      <w:start w:val="1"/>
      <w:numFmt w:val="lowerLetter"/>
      <w:lvlText w:val="%1)"/>
      <w:lvlJc w:val="left"/>
      <w:pPr>
        <w:tabs>
          <w:tab w:val="num" w:pos="283"/>
        </w:tabs>
        <w:ind w:left="283" w:hanging="28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2C8941EF"/>
    <w:multiLevelType w:val="hybridMultilevel"/>
    <w:tmpl w:val="3F82D22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440714EE"/>
    <w:multiLevelType w:val="hybridMultilevel"/>
    <w:tmpl w:val="207200BE"/>
    <w:name w:val="WW8Num142"/>
    <w:lvl w:ilvl="0" w:tplc="0000000E">
      <w:start w:val="1"/>
      <w:numFmt w:val="lowerLetter"/>
      <w:lvlText w:val="%1)"/>
      <w:lvlJc w:val="left"/>
      <w:pPr>
        <w:tabs>
          <w:tab w:val="num" w:pos="283"/>
        </w:tabs>
        <w:ind w:left="283" w:hanging="283"/>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558805B2"/>
    <w:multiLevelType w:val="hybridMultilevel"/>
    <w:tmpl w:val="107EF2F6"/>
    <w:lvl w:ilvl="0" w:tplc="277E7A5C">
      <w:start w:val="1"/>
      <w:numFmt w:val="lowerLetter"/>
      <w:lvlText w:val="%1)"/>
      <w:lvlJc w:val="left"/>
      <w:pPr>
        <w:tabs>
          <w:tab w:val="num" w:pos="734"/>
        </w:tabs>
        <w:ind w:left="734" w:hanging="360"/>
      </w:pPr>
      <w:rPr>
        <w:rFonts w:hint="default"/>
      </w:rPr>
    </w:lvl>
    <w:lvl w:ilvl="1" w:tplc="0405000F">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58531E95"/>
    <w:multiLevelType w:val="hybridMultilevel"/>
    <w:tmpl w:val="C16020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A405F89"/>
    <w:multiLevelType w:val="hybridMultilevel"/>
    <w:tmpl w:val="9F18F076"/>
    <w:lvl w:ilvl="0" w:tplc="89060B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5C6787A"/>
    <w:multiLevelType w:val="hybridMultilevel"/>
    <w:tmpl w:val="66B81408"/>
    <w:name w:val="WW8Num4022"/>
    <w:lvl w:ilvl="0" w:tplc="F1E21E54">
      <w:start w:val="1"/>
      <w:numFmt w:val="lowerLetter"/>
      <w:lvlText w:val="%1)"/>
      <w:lvlJc w:val="left"/>
      <w:pPr>
        <w:tabs>
          <w:tab w:val="num" w:pos="0"/>
        </w:tabs>
        <w:ind w:left="0" w:firstLine="0"/>
      </w:pPr>
      <w:rPr>
        <w:rFonts w:ascii="Arial" w:eastAsia="Times New Roman" w:hAnsi="Arial" w:cs="Arial"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50"/>
  </w:num>
  <w:num w:numId="3">
    <w:abstractNumId w:val="48"/>
  </w:num>
  <w:num w:numId="4">
    <w:abstractNumId w:val="51"/>
  </w:num>
  <w:num w:numId="5">
    <w:abstractNumId w:val="5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92C"/>
    <w:rsid w:val="00004439"/>
    <w:rsid w:val="00012B6A"/>
    <w:rsid w:val="0007230A"/>
    <w:rsid w:val="000B46A9"/>
    <w:rsid w:val="000B75F5"/>
    <w:rsid w:val="000E3D2C"/>
    <w:rsid w:val="000E48D8"/>
    <w:rsid w:val="000F2D06"/>
    <w:rsid w:val="000F7213"/>
    <w:rsid w:val="00104335"/>
    <w:rsid w:val="00123769"/>
    <w:rsid w:val="00167B28"/>
    <w:rsid w:val="001A59BD"/>
    <w:rsid w:val="001A688C"/>
    <w:rsid w:val="001C358E"/>
    <w:rsid w:val="001E0A46"/>
    <w:rsid w:val="001E4CA2"/>
    <w:rsid w:val="001E50C9"/>
    <w:rsid w:val="001F77DB"/>
    <w:rsid w:val="00220DF2"/>
    <w:rsid w:val="00227870"/>
    <w:rsid w:val="002367E5"/>
    <w:rsid w:val="00260865"/>
    <w:rsid w:val="002609E2"/>
    <w:rsid w:val="002C31AF"/>
    <w:rsid w:val="002D03AA"/>
    <w:rsid w:val="002F3644"/>
    <w:rsid w:val="0031718B"/>
    <w:rsid w:val="00334874"/>
    <w:rsid w:val="0033738A"/>
    <w:rsid w:val="00342515"/>
    <w:rsid w:val="00367A7A"/>
    <w:rsid w:val="003728A7"/>
    <w:rsid w:val="003B46D3"/>
    <w:rsid w:val="003E24C5"/>
    <w:rsid w:val="00405620"/>
    <w:rsid w:val="004104B7"/>
    <w:rsid w:val="00410E1C"/>
    <w:rsid w:val="00416FA7"/>
    <w:rsid w:val="004224E6"/>
    <w:rsid w:val="004262EB"/>
    <w:rsid w:val="00465B11"/>
    <w:rsid w:val="004736AC"/>
    <w:rsid w:val="004B04F5"/>
    <w:rsid w:val="004C7AB5"/>
    <w:rsid w:val="004E136D"/>
    <w:rsid w:val="004E34A6"/>
    <w:rsid w:val="004E4DD3"/>
    <w:rsid w:val="00513CD2"/>
    <w:rsid w:val="00532F3F"/>
    <w:rsid w:val="00560F91"/>
    <w:rsid w:val="00571078"/>
    <w:rsid w:val="005C47AC"/>
    <w:rsid w:val="005C5C97"/>
    <w:rsid w:val="00625D31"/>
    <w:rsid w:val="006301ED"/>
    <w:rsid w:val="00630572"/>
    <w:rsid w:val="0064641F"/>
    <w:rsid w:val="00653071"/>
    <w:rsid w:val="00656906"/>
    <w:rsid w:val="0069278E"/>
    <w:rsid w:val="006D0B9F"/>
    <w:rsid w:val="006D5F6C"/>
    <w:rsid w:val="006F71A4"/>
    <w:rsid w:val="00704FA0"/>
    <w:rsid w:val="00715F8B"/>
    <w:rsid w:val="00720801"/>
    <w:rsid w:val="00721F26"/>
    <w:rsid w:val="00725B28"/>
    <w:rsid w:val="0073195B"/>
    <w:rsid w:val="00731A89"/>
    <w:rsid w:val="007329BB"/>
    <w:rsid w:val="00754E10"/>
    <w:rsid w:val="00761A2B"/>
    <w:rsid w:val="00777B7B"/>
    <w:rsid w:val="007C0EB1"/>
    <w:rsid w:val="007C5BEC"/>
    <w:rsid w:val="007D7D28"/>
    <w:rsid w:val="00803543"/>
    <w:rsid w:val="0080673B"/>
    <w:rsid w:val="0082087A"/>
    <w:rsid w:val="008A3542"/>
    <w:rsid w:val="008B22C2"/>
    <w:rsid w:val="00900C58"/>
    <w:rsid w:val="009073AA"/>
    <w:rsid w:val="009177DB"/>
    <w:rsid w:val="0092012D"/>
    <w:rsid w:val="009220F1"/>
    <w:rsid w:val="00932481"/>
    <w:rsid w:val="009603AE"/>
    <w:rsid w:val="009644FD"/>
    <w:rsid w:val="009736C9"/>
    <w:rsid w:val="00974E54"/>
    <w:rsid w:val="00977458"/>
    <w:rsid w:val="0099561F"/>
    <w:rsid w:val="009B2942"/>
    <w:rsid w:val="009C1BAD"/>
    <w:rsid w:val="009C5F6E"/>
    <w:rsid w:val="009C74C6"/>
    <w:rsid w:val="009F06B9"/>
    <w:rsid w:val="009F5EFC"/>
    <w:rsid w:val="00A043E0"/>
    <w:rsid w:val="00A5584F"/>
    <w:rsid w:val="00A62A4F"/>
    <w:rsid w:val="00A93566"/>
    <w:rsid w:val="00AB48E6"/>
    <w:rsid w:val="00AD6695"/>
    <w:rsid w:val="00B04493"/>
    <w:rsid w:val="00B24743"/>
    <w:rsid w:val="00B43C15"/>
    <w:rsid w:val="00B8071E"/>
    <w:rsid w:val="00B87658"/>
    <w:rsid w:val="00BC405E"/>
    <w:rsid w:val="00BE1EF8"/>
    <w:rsid w:val="00C01B6C"/>
    <w:rsid w:val="00C17B03"/>
    <w:rsid w:val="00C4142D"/>
    <w:rsid w:val="00C5192C"/>
    <w:rsid w:val="00C707EB"/>
    <w:rsid w:val="00C87F8A"/>
    <w:rsid w:val="00CA28CC"/>
    <w:rsid w:val="00CB050D"/>
    <w:rsid w:val="00CB30B9"/>
    <w:rsid w:val="00CB5D33"/>
    <w:rsid w:val="00CF3DE5"/>
    <w:rsid w:val="00CF7A0F"/>
    <w:rsid w:val="00D01BB3"/>
    <w:rsid w:val="00D4483B"/>
    <w:rsid w:val="00D46957"/>
    <w:rsid w:val="00D8315A"/>
    <w:rsid w:val="00D94B17"/>
    <w:rsid w:val="00DA553E"/>
    <w:rsid w:val="00DB0D7C"/>
    <w:rsid w:val="00DF705D"/>
    <w:rsid w:val="00E01B2F"/>
    <w:rsid w:val="00E12EEE"/>
    <w:rsid w:val="00E2135C"/>
    <w:rsid w:val="00E337E0"/>
    <w:rsid w:val="00E34866"/>
    <w:rsid w:val="00E361B9"/>
    <w:rsid w:val="00E376BF"/>
    <w:rsid w:val="00E562AF"/>
    <w:rsid w:val="00E759E2"/>
    <w:rsid w:val="00E77BE1"/>
    <w:rsid w:val="00E80359"/>
    <w:rsid w:val="00E942CD"/>
    <w:rsid w:val="00EC024C"/>
    <w:rsid w:val="00EE1F44"/>
    <w:rsid w:val="00EE5BBC"/>
    <w:rsid w:val="00EE61B1"/>
    <w:rsid w:val="00EF037D"/>
    <w:rsid w:val="00F009B3"/>
    <w:rsid w:val="00F00CF3"/>
    <w:rsid w:val="00F2609A"/>
    <w:rsid w:val="00F3091A"/>
    <w:rsid w:val="00F30ED3"/>
    <w:rsid w:val="00F31AB6"/>
    <w:rsid w:val="00F75C74"/>
    <w:rsid w:val="00F83E06"/>
    <w:rsid w:val="00F97F23"/>
    <w:rsid w:val="00FB24F8"/>
    <w:rsid w:val="00FB45DA"/>
    <w:rsid w:val="00FD009E"/>
    <w:rsid w:val="00FE3E95"/>
    <w:rsid w:val="00FF1E94"/>
    <w:rsid w:val="00FF56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08DF206-F50D-4E6A-AD12-1D011A29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192C"/>
    <w:pPr>
      <w:suppressAutoHyphens/>
    </w:pPr>
    <w:rPr>
      <w:rFonts w:ascii="Arial" w:hAnsi="Arial"/>
      <w:sz w:val="24"/>
      <w:lang w:eastAsia="ar-SA"/>
    </w:rPr>
  </w:style>
  <w:style w:type="paragraph" w:styleId="Nadpis1">
    <w:name w:val="heading 1"/>
    <w:basedOn w:val="Normln"/>
    <w:next w:val="Normln"/>
    <w:qFormat/>
    <w:rsid w:val="00F97F23"/>
    <w:pPr>
      <w:keepNext/>
      <w:numPr>
        <w:numId w:val="2"/>
      </w:numPr>
      <w:spacing w:before="240" w:after="120" w:line="360" w:lineRule="auto"/>
      <w:jc w:val="center"/>
      <w:outlineLvl w:val="0"/>
    </w:pPr>
    <w:rPr>
      <w:rFonts w:ascii="Minion Web" w:hAnsi="Minion Web"/>
      <w:b/>
    </w:rPr>
  </w:style>
  <w:style w:type="paragraph" w:styleId="Nadpis2">
    <w:name w:val="heading 2"/>
    <w:basedOn w:val="Normln"/>
    <w:next w:val="Normln"/>
    <w:qFormat/>
    <w:rsid w:val="00F97F23"/>
    <w:pPr>
      <w:keepNext/>
      <w:numPr>
        <w:ilvl w:val="1"/>
        <w:numId w:val="2"/>
      </w:numPr>
      <w:tabs>
        <w:tab w:val="left" w:pos="3686"/>
        <w:tab w:val="left" w:pos="4111"/>
        <w:tab w:val="left" w:pos="4536"/>
        <w:tab w:val="left" w:pos="4962"/>
        <w:tab w:val="left" w:pos="5387"/>
        <w:tab w:val="left" w:pos="5812"/>
        <w:tab w:val="left" w:pos="6237"/>
        <w:tab w:val="left" w:pos="6663"/>
        <w:tab w:val="left" w:pos="7088"/>
        <w:tab w:val="left" w:pos="7513"/>
      </w:tabs>
      <w:outlineLvl w:val="1"/>
    </w:pPr>
    <w:rPr>
      <w:b/>
      <w:sz w:val="22"/>
    </w:rPr>
  </w:style>
  <w:style w:type="paragraph" w:styleId="Nadpis3">
    <w:name w:val="heading 3"/>
    <w:basedOn w:val="Normln"/>
    <w:next w:val="Normln"/>
    <w:qFormat/>
    <w:rsid w:val="00F97F23"/>
    <w:pPr>
      <w:keepNext/>
      <w:numPr>
        <w:ilvl w:val="2"/>
        <w:numId w:val="2"/>
      </w:numPr>
      <w:spacing w:line="360" w:lineRule="auto"/>
      <w:outlineLvl w:val="2"/>
    </w:pPr>
    <w:rPr>
      <w:b/>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kladntext">
    <w:name w:val="Body Text"/>
    <w:basedOn w:val="Normln"/>
    <w:rsid w:val="00C5192C"/>
    <w:pPr>
      <w:spacing w:line="360" w:lineRule="auto"/>
      <w:jc w:val="both"/>
    </w:pPr>
  </w:style>
  <w:style w:type="paragraph" w:styleId="Nzev">
    <w:name w:val="Title"/>
    <w:basedOn w:val="Normln"/>
    <w:next w:val="Podtitul"/>
    <w:qFormat/>
    <w:rsid w:val="00C5192C"/>
    <w:pPr>
      <w:spacing w:line="360" w:lineRule="auto"/>
      <w:jc w:val="center"/>
    </w:pPr>
    <w:rPr>
      <w:b/>
      <w:sz w:val="36"/>
    </w:rPr>
  </w:style>
  <w:style w:type="paragraph" w:styleId="Podtitul">
    <w:name w:val="Subtitle"/>
    <w:basedOn w:val="Normln"/>
    <w:next w:val="Zkladntext"/>
    <w:qFormat/>
    <w:rsid w:val="00C5192C"/>
    <w:pPr>
      <w:keepNext/>
      <w:spacing w:before="240" w:after="120"/>
      <w:jc w:val="center"/>
    </w:pPr>
    <w:rPr>
      <w:rFonts w:eastAsia="MS Mincho" w:cs="MS Mincho"/>
      <w:i/>
      <w:iCs/>
      <w:sz w:val="28"/>
      <w:szCs w:val="28"/>
    </w:rPr>
  </w:style>
  <w:style w:type="paragraph" w:styleId="Zkladntextodsazen">
    <w:name w:val="Body Text Indent"/>
    <w:basedOn w:val="Normln"/>
    <w:rsid w:val="00F97F23"/>
    <w:pPr>
      <w:spacing w:after="120"/>
      <w:ind w:left="283"/>
    </w:pPr>
  </w:style>
  <w:style w:type="character" w:customStyle="1" w:styleId="WW-Absatz-Standardschriftart">
    <w:name w:val="WW-Absatz-Standardschriftart"/>
    <w:rsid w:val="00F97F23"/>
  </w:style>
  <w:style w:type="character" w:customStyle="1" w:styleId="WW-Standardnpsmoodstavce">
    <w:name w:val="WW-Standardní písmo odstavce"/>
    <w:rsid w:val="00F97F23"/>
  </w:style>
  <w:style w:type="character" w:customStyle="1" w:styleId="WW-Absatz-Standardschriftart1">
    <w:name w:val="WW-Absatz-Standardschriftart1"/>
    <w:rsid w:val="00F97F23"/>
  </w:style>
  <w:style w:type="character" w:customStyle="1" w:styleId="WW8Num8z0">
    <w:name w:val="WW8Num8z0"/>
    <w:rsid w:val="00F97F23"/>
    <w:rPr>
      <w:rFonts w:ascii="Wingdings" w:hAnsi="Wingdings"/>
    </w:rPr>
  </w:style>
  <w:style w:type="character" w:customStyle="1" w:styleId="WW8Num11z0">
    <w:name w:val="WW8Num11z0"/>
    <w:rsid w:val="00F97F23"/>
    <w:rPr>
      <w:rFonts w:ascii="Wingdings" w:hAnsi="Wingdings"/>
    </w:rPr>
  </w:style>
  <w:style w:type="character" w:customStyle="1" w:styleId="WW8Num13z0">
    <w:name w:val="WW8Num13z0"/>
    <w:rsid w:val="00F97F23"/>
    <w:rPr>
      <w:rFonts w:ascii="Wingdings" w:hAnsi="Wingdings"/>
    </w:rPr>
  </w:style>
  <w:style w:type="character" w:customStyle="1" w:styleId="WW8Num27z0">
    <w:name w:val="WW8Num27z0"/>
    <w:rsid w:val="00F97F23"/>
    <w:rPr>
      <w:rFonts w:ascii="Symbol" w:hAnsi="Symbol"/>
    </w:rPr>
  </w:style>
  <w:style w:type="character" w:customStyle="1" w:styleId="WW8Num35z0">
    <w:name w:val="WW8Num35z0"/>
    <w:rsid w:val="00F97F23"/>
    <w:rPr>
      <w:rFonts w:ascii="Symbol" w:hAnsi="Symbol"/>
    </w:rPr>
  </w:style>
  <w:style w:type="character" w:customStyle="1" w:styleId="WW8Num61z0">
    <w:name w:val="WW8Num61z0"/>
    <w:rsid w:val="00F97F23"/>
    <w:rPr>
      <w:rFonts w:ascii="Wingdings" w:hAnsi="Wingdings"/>
    </w:rPr>
  </w:style>
  <w:style w:type="character" w:customStyle="1" w:styleId="WW8Num66z0">
    <w:name w:val="WW8Num66z0"/>
    <w:rsid w:val="00F97F23"/>
    <w:rPr>
      <w:rFonts w:ascii="Symbol" w:hAnsi="Symbol"/>
    </w:rPr>
  </w:style>
  <w:style w:type="character" w:customStyle="1" w:styleId="WW8Num79z0">
    <w:name w:val="WW8Num79z0"/>
    <w:rsid w:val="00F97F23"/>
    <w:rPr>
      <w:rFonts w:ascii="Wingdings" w:hAnsi="Wingdings"/>
    </w:rPr>
  </w:style>
  <w:style w:type="character" w:customStyle="1" w:styleId="WW8Num93z0">
    <w:name w:val="WW8Num93z0"/>
    <w:rsid w:val="00F97F23"/>
    <w:rPr>
      <w:rFonts w:ascii="Symbol" w:hAnsi="Symbol"/>
    </w:rPr>
  </w:style>
  <w:style w:type="character" w:customStyle="1" w:styleId="WW8Num152z0">
    <w:name w:val="WW8Num152z0"/>
    <w:rsid w:val="00F97F23"/>
    <w:rPr>
      <w:rFonts w:ascii="Wingdings" w:hAnsi="Wingdings"/>
    </w:rPr>
  </w:style>
  <w:style w:type="character" w:customStyle="1" w:styleId="WW8Num165z0">
    <w:name w:val="WW8Num165z0"/>
    <w:rsid w:val="00F97F23"/>
    <w:rPr>
      <w:rFonts w:ascii="Symbol" w:hAnsi="Symbol"/>
    </w:rPr>
  </w:style>
  <w:style w:type="character" w:customStyle="1" w:styleId="WW8Num167z0">
    <w:name w:val="WW8Num167z0"/>
    <w:rsid w:val="00F97F23"/>
    <w:rPr>
      <w:rFonts w:ascii="Wingdings" w:hAnsi="Wingdings"/>
    </w:rPr>
  </w:style>
  <w:style w:type="character" w:customStyle="1" w:styleId="WW8Num174z0">
    <w:name w:val="WW8Num174z0"/>
    <w:rsid w:val="00F97F23"/>
    <w:rPr>
      <w:rFonts w:ascii="Wingdings" w:hAnsi="Wingdings"/>
    </w:rPr>
  </w:style>
  <w:style w:type="character" w:customStyle="1" w:styleId="WW-Standardnpsmoodstavce1">
    <w:name w:val="WW-Standardní písmo odstavce1"/>
    <w:rsid w:val="00F97F23"/>
  </w:style>
  <w:style w:type="character" w:styleId="slostrnky">
    <w:name w:val="page number"/>
    <w:basedOn w:val="WW-Standardnpsmoodstavce1"/>
    <w:rsid w:val="00F97F23"/>
  </w:style>
  <w:style w:type="character" w:customStyle="1" w:styleId="Symbolyproslovn">
    <w:name w:val="Symboly pro číslování"/>
    <w:rsid w:val="00F97F23"/>
  </w:style>
  <w:style w:type="character" w:customStyle="1" w:styleId="WW-Symbolyproslovn">
    <w:name w:val="WW-Symboly pro číslování"/>
    <w:rsid w:val="00F97F23"/>
  </w:style>
  <w:style w:type="character" w:customStyle="1" w:styleId="WW-Symbolyproslovn1">
    <w:name w:val="WW-Symboly pro číslování1"/>
    <w:rsid w:val="00F97F23"/>
  </w:style>
  <w:style w:type="paragraph" w:styleId="Seznam">
    <w:name w:val="List"/>
    <w:basedOn w:val="Zkladntext"/>
    <w:rsid w:val="00F97F23"/>
    <w:rPr>
      <w:rFonts w:cs="MS Mincho"/>
    </w:rPr>
  </w:style>
  <w:style w:type="paragraph" w:customStyle="1" w:styleId="Popisek">
    <w:name w:val="Popisek"/>
    <w:basedOn w:val="Normln"/>
    <w:rsid w:val="00F97F23"/>
    <w:pPr>
      <w:suppressLineNumbers/>
      <w:spacing w:before="120" w:after="120"/>
    </w:pPr>
    <w:rPr>
      <w:rFonts w:cs="MS Mincho"/>
      <w:i/>
      <w:iCs/>
      <w:sz w:val="20"/>
    </w:rPr>
  </w:style>
  <w:style w:type="paragraph" w:customStyle="1" w:styleId="Rejstk">
    <w:name w:val="Rejstřík"/>
    <w:basedOn w:val="Normln"/>
    <w:rsid w:val="00F97F23"/>
    <w:pPr>
      <w:suppressLineNumbers/>
    </w:pPr>
    <w:rPr>
      <w:rFonts w:cs="MS Mincho"/>
    </w:rPr>
  </w:style>
  <w:style w:type="paragraph" w:customStyle="1" w:styleId="Nadpis">
    <w:name w:val="Nadpis"/>
    <w:basedOn w:val="Normln"/>
    <w:next w:val="Zkladntext"/>
    <w:rsid w:val="00F97F23"/>
    <w:pPr>
      <w:keepNext/>
      <w:spacing w:before="240" w:after="120"/>
    </w:pPr>
    <w:rPr>
      <w:rFonts w:eastAsia="MS Mincho" w:cs="MS Mincho"/>
      <w:sz w:val="28"/>
      <w:szCs w:val="28"/>
    </w:rPr>
  </w:style>
  <w:style w:type="paragraph" w:customStyle="1" w:styleId="WW-Zkladntext2">
    <w:name w:val="WW-Základní text 2"/>
    <w:basedOn w:val="Normln"/>
    <w:rsid w:val="00F97F23"/>
    <w:pPr>
      <w:spacing w:line="360" w:lineRule="auto"/>
      <w:jc w:val="both"/>
    </w:pPr>
    <w:rPr>
      <w:b/>
    </w:rPr>
  </w:style>
  <w:style w:type="paragraph" w:customStyle="1" w:styleId="StylD">
    <w:name w:val="Styl D"/>
    <w:basedOn w:val="Normln"/>
    <w:rsid w:val="00F97F23"/>
    <w:pPr>
      <w:spacing w:line="360" w:lineRule="auto"/>
      <w:jc w:val="both"/>
    </w:pPr>
  </w:style>
  <w:style w:type="paragraph" w:styleId="Zhlav">
    <w:name w:val="header"/>
    <w:basedOn w:val="Normln"/>
    <w:rsid w:val="00F97F23"/>
    <w:pPr>
      <w:tabs>
        <w:tab w:val="center" w:pos="4536"/>
        <w:tab w:val="right" w:pos="9072"/>
      </w:tabs>
    </w:pPr>
  </w:style>
  <w:style w:type="paragraph" w:customStyle="1" w:styleId="WW-Zkladntext3">
    <w:name w:val="WW-Základní text 3"/>
    <w:basedOn w:val="Normln"/>
    <w:rsid w:val="00F97F23"/>
    <w:pPr>
      <w:tabs>
        <w:tab w:val="left" w:pos="1985"/>
        <w:tab w:val="left" w:pos="2410"/>
        <w:tab w:val="left" w:pos="2835"/>
        <w:tab w:val="left" w:pos="3261"/>
        <w:tab w:val="left" w:pos="3686"/>
        <w:tab w:val="left" w:pos="4111"/>
        <w:tab w:val="left" w:pos="4536"/>
        <w:tab w:val="left" w:pos="4962"/>
        <w:tab w:val="left" w:pos="5387"/>
        <w:tab w:val="left" w:pos="5812"/>
        <w:tab w:val="left" w:pos="6237"/>
        <w:tab w:val="left" w:pos="6663"/>
        <w:tab w:val="left" w:pos="7088"/>
        <w:tab w:val="left" w:pos="7513"/>
        <w:tab w:val="left" w:pos="7938"/>
      </w:tabs>
    </w:pPr>
    <w:rPr>
      <w:sz w:val="22"/>
    </w:rPr>
  </w:style>
  <w:style w:type="paragraph" w:customStyle="1" w:styleId="WW-Zkladntextodsazen2">
    <w:name w:val="WW-Základní text odsazený 2"/>
    <w:basedOn w:val="Normln"/>
    <w:rsid w:val="00F97F23"/>
    <w:pPr>
      <w:spacing w:before="120" w:line="360" w:lineRule="auto"/>
      <w:ind w:left="426" w:hanging="426"/>
      <w:jc w:val="both"/>
    </w:pPr>
  </w:style>
  <w:style w:type="paragraph" w:customStyle="1" w:styleId="WW-Zkladntextodsazen3">
    <w:name w:val="WW-Základní text odsazený 3"/>
    <w:basedOn w:val="Normln"/>
    <w:rsid w:val="00F97F23"/>
    <w:pPr>
      <w:spacing w:line="360" w:lineRule="auto"/>
      <w:ind w:left="426" w:hanging="142"/>
      <w:jc w:val="both"/>
    </w:pPr>
  </w:style>
  <w:style w:type="paragraph" w:styleId="Zpat">
    <w:name w:val="footer"/>
    <w:basedOn w:val="Normln"/>
    <w:link w:val="ZpatChar"/>
    <w:uiPriority w:val="99"/>
    <w:rsid w:val="00F97F23"/>
    <w:pPr>
      <w:tabs>
        <w:tab w:val="center" w:pos="4536"/>
        <w:tab w:val="right" w:pos="9072"/>
      </w:tabs>
    </w:pPr>
  </w:style>
  <w:style w:type="paragraph" w:customStyle="1" w:styleId="Normlnneods">
    <w:name w:val="Normální neods."/>
    <w:basedOn w:val="Normln"/>
    <w:rsid w:val="00F97F23"/>
    <w:pPr>
      <w:spacing w:before="120"/>
      <w:jc w:val="both"/>
    </w:pPr>
    <w:rPr>
      <w:rFonts w:ascii="Times New Roman" w:hAnsi="Times New Roman"/>
    </w:rPr>
  </w:style>
  <w:style w:type="paragraph" w:customStyle="1" w:styleId="Obsahtabulky">
    <w:name w:val="Obsah tabulky"/>
    <w:basedOn w:val="Zkladntext"/>
    <w:rsid w:val="00F97F23"/>
    <w:pPr>
      <w:suppressLineNumbers/>
    </w:pPr>
  </w:style>
  <w:style w:type="paragraph" w:customStyle="1" w:styleId="Nadpistabulky">
    <w:name w:val="Nadpis tabulky"/>
    <w:basedOn w:val="Obsahtabulky"/>
    <w:rsid w:val="00F97F23"/>
    <w:pPr>
      <w:jc w:val="center"/>
    </w:pPr>
    <w:rPr>
      <w:b/>
      <w:bCs/>
      <w:i/>
      <w:iCs/>
    </w:rPr>
  </w:style>
  <w:style w:type="paragraph" w:customStyle="1" w:styleId="Obsahrmce">
    <w:name w:val="Obsah rámce"/>
    <w:basedOn w:val="Zkladntext"/>
    <w:rsid w:val="00F97F23"/>
  </w:style>
  <w:style w:type="character" w:styleId="Hypertextovodkaz">
    <w:name w:val="Hyperlink"/>
    <w:rsid w:val="00F97F23"/>
    <w:rPr>
      <w:color w:val="0000FF"/>
      <w:u w:val="single"/>
    </w:rPr>
  </w:style>
  <w:style w:type="paragraph" w:styleId="Textpoznpodarou">
    <w:name w:val="footnote text"/>
    <w:basedOn w:val="Normln"/>
    <w:semiHidden/>
    <w:rsid w:val="00F97F23"/>
    <w:rPr>
      <w:sz w:val="20"/>
    </w:rPr>
  </w:style>
  <w:style w:type="character" w:styleId="Znakapoznpodarou">
    <w:name w:val="footnote reference"/>
    <w:semiHidden/>
    <w:rsid w:val="00F97F23"/>
    <w:rPr>
      <w:vertAlign w:val="superscript"/>
    </w:rPr>
  </w:style>
  <w:style w:type="character" w:styleId="Sledovanodkaz">
    <w:name w:val="FollowedHyperlink"/>
    <w:rsid w:val="00F97F23"/>
    <w:rPr>
      <w:color w:val="800080"/>
      <w:u w:val="single"/>
    </w:rPr>
  </w:style>
  <w:style w:type="paragraph" w:styleId="Textbubliny">
    <w:name w:val="Balloon Text"/>
    <w:basedOn w:val="Normln"/>
    <w:link w:val="TextbublinyChar"/>
    <w:rsid w:val="00F97F23"/>
    <w:rPr>
      <w:rFonts w:ascii="Lucida Grande" w:hAnsi="Lucida Grande"/>
      <w:sz w:val="18"/>
      <w:szCs w:val="18"/>
    </w:rPr>
  </w:style>
  <w:style w:type="character" w:customStyle="1" w:styleId="TextbublinyChar">
    <w:name w:val="Text bubliny Char"/>
    <w:link w:val="Textbubliny"/>
    <w:rsid w:val="00F97F23"/>
    <w:rPr>
      <w:rFonts w:ascii="Lucida Grande" w:hAnsi="Lucida Grande"/>
      <w:sz w:val="18"/>
      <w:szCs w:val="18"/>
      <w:lang w:val="cs-CZ" w:eastAsia="ar-SA" w:bidi="ar-SA"/>
    </w:rPr>
  </w:style>
  <w:style w:type="paragraph" w:styleId="Bezmezer">
    <w:name w:val="No Spacing"/>
    <w:uiPriority w:val="1"/>
    <w:qFormat/>
    <w:rsid w:val="00E01B2F"/>
    <w:rPr>
      <w:rFonts w:ascii="Calibri" w:eastAsia="Calibri" w:hAnsi="Calibri"/>
      <w:sz w:val="22"/>
      <w:szCs w:val="22"/>
      <w:lang w:eastAsia="en-US"/>
    </w:rPr>
  </w:style>
  <w:style w:type="character" w:customStyle="1" w:styleId="ZpatChar">
    <w:name w:val="Zápatí Char"/>
    <w:link w:val="Zpat"/>
    <w:uiPriority w:val="99"/>
    <w:rsid w:val="00FE3E95"/>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015509">
      <w:bodyDiv w:val="1"/>
      <w:marLeft w:val="0"/>
      <w:marRight w:val="0"/>
      <w:marTop w:val="0"/>
      <w:marBottom w:val="0"/>
      <w:divBdr>
        <w:top w:val="none" w:sz="0" w:space="0" w:color="auto"/>
        <w:left w:val="none" w:sz="0" w:space="0" w:color="auto"/>
        <w:bottom w:val="none" w:sz="0" w:space="0" w:color="auto"/>
        <w:right w:val="none" w:sz="0" w:space="0" w:color="auto"/>
      </w:divBdr>
    </w:div>
    <w:div w:id="1056320986">
      <w:bodyDiv w:val="1"/>
      <w:marLeft w:val="0"/>
      <w:marRight w:val="0"/>
      <w:marTop w:val="0"/>
      <w:marBottom w:val="0"/>
      <w:divBdr>
        <w:top w:val="none" w:sz="0" w:space="0" w:color="auto"/>
        <w:left w:val="none" w:sz="0" w:space="0" w:color="auto"/>
        <w:bottom w:val="none" w:sz="0" w:space="0" w:color="auto"/>
        <w:right w:val="none" w:sz="0" w:space="0" w:color="auto"/>
      </w:divBdr>
    </w:div>
    <w:div w:id="124958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7DA246A4.dotm</Template>
  <TotalTime>0</TotalTime>
  <Pages>11</Pages>
  <Words>4681</Words>
  <Characters>27620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LEGISLATIVNÍ PRAVIDLA VLÁDY</vt:lpstr>
    </vt:vector>
  </TitlesOfParts>
  <Company>UV ČR</Company>
  <LinksUpToDate>false</LinksUpToDate>
  <CharactersWithSpaces>32237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LEGISLATIVNÍ PRAVIDLA VLÁDY</dc:title>
  <dc:subject/>
  <dc:creator>Strculo</dc:creator>
  <cp:keywords/>
  <cp:lastModifiedBy>Tomková Věra</cp:lastModifiedBy>
  <cp:revision>2</cp:revision>
  <dcterms:created xsi:type="dcterms:W3CDTF">2016-12-06T14:04:00Z</dcterms:created>
  <dcterms:modified xsi:type="dcterms:W3CDTF">2016-12-06T14:04:00Z</dcterms:modified>
</cp:coreProperties>
</file>