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4D5" w:rsidRPr="00655B0B" w:rsidRDefault="008664D5" w:rsidP="00277711">
      <w:pPr>
        <w:jc w:val="center"/>
        <w:rPr>
          <w:rFonts w:eastAsia="Arial Bold"/>
          <w:b/>
          <w:sz w:val="32"/>
          <w:szCs w:val="32"/>
        </w:rPr>
      </w:pPr>
      <w:r w:rsidRPr="00655B0B">
        <w:rPr>
          <w:b/>
          <w:sz w:val="32"/>
          <w:szCs w:val="32"/>
        </w:rPr>
        <w:t xml:space="preserve">Zpráva o činnosti </w:t>
      </w:r>
      <w:r w:rsidR="00345CFF" w:rsidRPr="00655B0B">
        <w:rPr>
          <w:b/>
          <w:sz w:val="32"/>
          <w:szCs w:val="32"/>
        </w:rPr>
        <w:t>ko</w:t>
      </w:r>
      <w:r w:rsidRPr="00655B0B">
        <w:rPr>
          <w:b/>
          <w:sz w:val="32"/>
          <w:szCs w:val="32"/>
        </w:rPr>
        <w:t>ntrolní rady</w:t>
      </w:r>
      <w:r w:rsidR="00277711" w:rsidRPr="00655B0B">
        <w:rPr>
          <w:b/>
          <w:sz w:val="32"/>
          <w:szCs w:val="32"/>
        </w:rPr>
        <w:br/>
      </w:r>
      <w:r w:rsidRPr="00655B0B">
        <w:rPr>
          <w:b/>
          <w:sz w:val="32"/>
          <w:szCs w:val="32"/>
        </w:rPr>
        <w:t xml:space="preserve">Grantové agentury České republiky </w:t>
      </w:r>
      <w:r w:rsidR="00D47BEB">
        <w:rPr>
          <w:b/>
          <w:sz w:val="32"/>
          <w:szCs w:val="32"/>
        </w:rPr>
        <w:t>za období od října 2015</w:t>
      </w:r>
      <w:r w:rsidR="00FB03C7">
        <w:rPr>
          <w:b/>
          <w:sz w:val="32"/>
          <w:szCs w:val="32"/>
        </w:rPr>
        <w:t xml:space="preserve"> do září</w:t>
      </w:r>
      <w:r w:rsidR="00D47BEB">
        <w:rPr>
          <w:b/>
          <w:sz w:val="32"/>
          <w:szCs w:val="32"/>
        </w:rPr>
        <w:t xml:space="preserve"> 2016</w:t>
      </w:r>
    </w:p>
    <w:p w:rsidR="008664D5" w:rsidRPr="00655B0B" w:rsidRDefault="008664D5" w:rsidP="00277711"/>
    <w:p w:rsidR="00D47BEB" w:rsidRPr="00655B0B" w:rsidRDefault="00BD41B3" w:rsidP="00277711">
      <w:r>
        <w:tab/>
        <w:t>Z</w:t>
      </w:r>
      <w:r w:rsidR="008664D5" w:rsidRPr="00655B0B">
        <w:t xml:space="preserve">práva </w:t>
      </w:r>
      <w:r w:rsidR="00345CFF" w:rsidRPr="00655B0B">
        <w:t>kon</w:t>
      </w:r>
      <w:r w:rsidR="008664D5" w:rsidRPr="00655B0B">
        <w:t xml:space="preserve">trolní rady (dále jen KR) </w:t>
      </w:r>
      <w:r w:rsidR="009259BC" w:rsidRPr="00655B0B">
        <w:t xml:space="preserve">Grantové agentury České republiky (dále jen GA ČR) </w:t>
      </w:r>
      <w:r w:rsidR="00277711" w:rsidRPr="00655B0B">
        <w:t xml:space="preserve">předkládaná Poslanecké sněmovně Parlamentu České republiky (dále jen PS PČR) </w:t>
      </w:r>
      <w:r w:rsidR="002A6F92">
        <w:t>shrnuje</w:t>
      </w:r>
      <w:r w:rsidR="00D47BEB">
        <w:t xml:space="preserve"> činnost KR za uplynulých </w:t>
      </w:r>
      <w:r w:rsidR="00BF5592">
        <w:t>dvanáct</w:t>
      </w:r>
      <w:r w:rsidR="00D47BEB">
        <w:t xml:space="preserve"> měsíců</w:t>
      </w:r>
      <w:r w:rsidR="00AD688A">
        <w:t>,</w:t>
      </w:r>
      <w:r w:rsidR="00D47BEB">
        <w:t xml:space="preserve"> tedy za období říjen 2015 až </w:t>
      </w:r>
      <w:r w:rsidR="00BF5592">
        <w:t>září</w:t>
      </w:r>
      <w:r w:rsidR="00D47BEB">
        <w:t xml:space="preserve"> 2016</w:t>
      </w:r>
      <w:r w:rsidR="002A6F92">
        <w:t>. Úzce navazuje na dílčí zprávu o činnosti za období od října 2015 do března 2016, obsahuje i důležité skutečnosti obsažené v této dílčí zprávě.</w:t>
      </w:r>
    </w:p>
    <w:p w:rsidR="00EA0B4F" w:rsidRPr="00655B0B" w:rsidRDefault="00784439" w:rsidP="00277711">
      <w:pPr>
        <w:pStyle w:val="Nadpis1"/>
      </w:pPr>
      <w:r w:rsidRPr="00655B0B">
        <w:t>Působnost</w:t>
      </w:r>
      <w:r w:rsidR="00091621" w:rsidRPr="00655B0B">
        <w:t xml:space="preserve">, </w:t>
      </w:r>
      <w:r w:rsidR="00C943EC" w:rsidRPr="00655B0B">
        <w:t>složení</w:t>
      </w:r>
      <w:r w:rsidR="00091621" w:rsidRPr="00655B0B">
        <w:t xml:space="preserve"> a zasedání </w:t>
      </w:r>
      <w:r w:rsidR="00277711" w:rsidRPr="00655B0B">
        <w:t>KR</w:t>
      </w:r>
    </w:p>
    <w:p w:rsidR="00277711" w:rsidRPr="00655B0B" w:rsidRDefault="00277711" w:rsidP="00277711">
      <w:r w:rsidRPr="00655B0B">
        <w:tab/>
      </w:r>
      <w:r w:rsidR="009259BC" w:rsidRPr="00655B0B">
        <w:t>KR</w:t>
      </w:r>
      <w:r w:rsidRPr="00655B0B">
        <w:t xml:space="preserve"> je kontrolním orgánem</w:t>
      </w:r>
      <w:r w:rsidR="009259BC" w:rsidRPr="00655B0B">
        <w:t xml:space="preserve">, který byl ustanoven zákonem č. 110/2009 Sb., měnícím zákon č. 130/2002 Sb. o podpoře </w:t>
      </w:r>
      <w:r w:rsidR="00345CFF" w:rsidRPr="00655B0B">
        <w:t>výzkumu, experimentálního</w:t>
      </w:r>
      <w:r w:rsidR="009259BC" w:rsidRPr="00655B0B">
        <w:t xml:space="preserve"> vývoje </w:t>
      </w:r>
      <w:r w:rsidR="002C5236" w:rsidRPr="00655B0B">
        <w:t>a</w:t>
      </w:r>
      <w:r w:rsidR="000A5F6B">
        <w:t> </w:t>
      </w:r>
      <w:r w:rsidR="002C5236" w:rsidRPr="00655B0B">
        <w:t xml:space="preserve">inovací </w:t>
      </w:r>
      <w:r w:rsidR="009259BC" w:rsidRPr="00655B0B">
        <w:t>z veřejných prostředků</w:t>
      </w:r>
      <w:r w:rsidR="0022543B" w:rsidRPr="00655B0B">
        <w:t xml:space="preserve"> a o změně některých souvisejících zákonů</w:t>
      </w:r>
      <w:r w:rsidR="009259BC" w:rsidRPr="00655B0B">
        <w:t>, podle §</w:t>
      </w:r>
      <w:r w:rsidR="000A5F6B">
        <w:t> </w:t>
      </w:r>
      <w:r w:rsidR="009259BC" w:rsidRPr="00655B0B">
        <w:t xml:space="preserve">36, odst. 7 tohoto zákona. </w:t>
      </w:r>
      <w:r w:rsidRPr="00655B0B">
        <w:t>V rámci svého le</w:t>
      </w:r>
      <w:r w:rsidR="000E5968">
        <w:t>gislativního zadání KR GA ČR ve </w:t>
      </w:r>
      <w:r w:rsidRPr="00655B0B">
        <w:t xml:space="preserve">smyslu znění odst. 6, § 36 zákona č. 130/2002 Sb. </w:t>
      </w:r>
      <w:r w:rsidR="009259BC" w:rsidRPr="00655B0B">
        <w:t>kontroluje legitimitu a</w:t>
      </w:r>
      <w:r w:rsidR="00AD688A">
        <w:t> </w:t>
      </w:r>
      <w:r w:rsidR="009259BC" w:rsidRPr="00655B0B">
        <w:t>regulérnost rozdělování finančních prostředků GA ČR a hospodaření s majetkem státu, k němuž má GA ČR příslušnost hospodaření.</w:t>
      </w:r>
      <w:r w:rsidRPr="00655B0B">
        <w:t xml:space="preserve"> </w:t>
      </w:r>
      <w:r w:rsidR="009259BC" w:rsidRPr="00655B0B">
        <w:t xml:space="preserve">Dále </w:t>
      </w:r>
      <w:r w:rsidRPr="00655B0B">
        <w:t>projednává stížnosti na</w:t>
      </w:r>
      <w:r w:rsidR="000E5968">
        <w:t> </w:t>
      </w:r>
      <w:r w:rsidRPr="00655B0B">
        <w:t>postup poskytovatele při hodnocení návrhů grantových projektů</w:t>
      </w:r>
      <w:r w:rsidR="009259BC" w:rsidRPr="00655B0B">
        <w:t xml:space="preserve">. Mimo to je </w:t>
      </w:r>
      <w:r w:rsidR="00D45D35" w:rsidRPr="00655B0B">
        <w:t xml:space="preserve">KR </w:t>
      </w:r>
      <w:r w:rsidRPr="00655B0B">
        <w:t xml:space="preserve">orgánem, který může </w:t>
      </w:r>
      <w:r w:rsidR="009259BC" w:rsidRPr="00655B0B">
        <w:t xml:space="preserve">v důležitých případech </w:t>
      </w:r>
      <w:r w:rsidRPr="00655B0B">
        <w:t>předkládat stanoviska předsednictvu GA</w:t>
      </w:r>
      <w:r w:rsidR="00963672" w:rsidRPr="00655B0B">
        <w:t> </w:t>
      </w:r>
      <w:r w:rsidRPr="00655B0B">
        <w:t xml:space="preserve">ČR. Stanoviska, která jsou </w:t>
      </w:r>
      <w:r w:rsidR="009259BC" w:rsidRPr="00655B0B">
        <w:t xml:space="preserve">takto </w:t>
      </w:r>
      <w:r w:rsidRPr="00655B0B">
        <w:t xml:space="preserve">vydávána v rámci kompetence </w:t>
      </w:r>
      <w:r w:rsidR="00345CFF" w:rsidRPr="00655B0B">
        <w:t>k</w:t>
      </w:r>
      <w:r w:rsidRPr="00655B0B">
        <w:t>ontrolní rady, jsou pro předsednictvo GA ČR závazná</w:t>
      </w:r>
      <w:r w:rsidR="009259BC" w:rsidRPr="00655B0B">
        <w:t>.</w:t>
      </w:r>
    </w:p>
    <w:p w:rsidR="00D47BEB" w:rsidRPr="00655B0B" w:rsidRDefault="00C329AD" w:rsidP="00D47BEB">
      <w:r w:rsidRPr="00655B0B">
        <w:tab/>
        <w:t xml:space="preserve">V uplynulém období </w:t>
      </w:r>
      <w:r w:rsidR="00D47BEB">
        <w:t xml:space="preserve">KR pracovala v téměř </w:t>
      </w:r>
      <w:r w:rsidRPr="00655B0B">
        <w:t>plném personálním obsazení</w:t>
      </w:r>
      <w:r w:rsidR="00D47BEB">
        <w:t>. Z </w:t>
      </w:r>
      <w:r w:rsidRPr="00655B0B">
        <w:t xml:space="preserve"> 10 čle</w:t>
      </w:r>
      <w:r w:rsidR="00D47BEB">
        <w:t>nů, jak ukládá zák</w:t>
      </w:r>
      <w:r w:rsidR="002A6F92">
        <w:t xml:space="preserve">on, bylo PS PČR zvoleno 9 členů, z nichž jeden k 1. </w:t>
      </w:r>
      <w:r w:rsidR="00141B85">
        <w:t>z</w:t>
      </w:r>
      <w:r w:rsidR="002A6F92">
        <w:t>áří</w:t>
      </w:r>
      <w:r w:rsidR="00141B85">
        <w:t xml:space="preserve"> abdikoval. KR </w:t>
      </w:r>
      <w:r w:rsidR="00D47BEB">
        <w:t xml:space="preserve">pracovala </w:t>
      </w:r>
      <w:r w:rsidRPr="00655B0B">
        <w:t xml:space="preserve">v následujícím složení: </w:t>
      </w:r>
      <w:r w:rsidR="00D47BEB" w:rsidRPr="00655B0B">
        <w:t>prof. Ing. Rostislav Drochytka, CSc., prof. PhDr. Jana Geršlová, CSc.</w:t>
      </w:r>
      <w:r w:rsidR="00D47BEB">
        <w:t xml:space="preserve"> (místopředsedkyně)</w:t>
      </w:r>
      <w:r w:rsidR="00D47BEB" w:rsidRPr="00655B0B">
        <w:t xml:space="preserve">, prof. Mgr. Libor Jan, Ph.D., prof. Ing. Ladislav Jakl, CSc, </w:t>
      </w:r>
      <w:r w:rsidR="00603EC7">
        <w:t>doc. JUDr. Věra Kalvodová, Dr.,</w:t>
      </w:r>
      <w:r w:rsidR="00D47BEB" w:rsidRPr="00655B0B">
        <w:t xml:space="preserve"> prof. Ing. Petr Konvalinka, CSc., </w:t>
      </w:r>
      <w:r w:rsidR="00603EC7" w:rsidRPr="00655B0B">
        <w:t>prof. Ing. Stanislav Labík, CSc.</w:t>
      </w:r>
      <w:r w:rsidR="00603EC7">
        <w:t xml:space="preserve"> (předseda)</w:t>
      </w:r>
      <w:r w:rsidR="00141B85">
        <w:t xml:space="preserve"> – do 1. září 2016</w:t>
      </w:r>
      <w:r w:rsidR="00603EC7">
        <w:t xml:space="preserve">, </w:t>
      </w:r>
      <w:r w:rsidR="00D47BEB" w:rsidRPr="00655B0B">
        <w:t xml:space="preserve">prof. Ing. Mária Režňáková, CSc. </w:t>
      </w:r>
      <w:r w:rsidR="00141B85">
        <w:t>a Ing. Mirka Wildmannová, Ph.D. K úplnému počtu členů KR zbývá dovolit dva členy.</w:t>
      </w:r>
    </w:p>
    <w:p w:rsidR="00091621" w:rsidRPr="00655B0B" w:rsidRDefault="00C329AD" w:rsidP="00603EC7">
      <w:r w:rsidRPr="00655B0B">
        <w:tab/>
      </w:r>
      <w:r w:rsidR="00091621" w:rsidRPr="00655B0B">
        <w:t xml:space="preserve">Ve sledovaném časovém období uskutečnila KR </w:t>
      </w:r>
      <w:r w:rsidR="00350F37" w:rsidRPr="00655B0B">
        <w:t>celkem</w:t>
      </w:r>
      <w:r w:rsidR="00350F37" w:rsidRPr="00E909FB">
        <w:t xml:space="preserve"> </w:t>
      </w:r>
      <w:r w:rsidR="00141B85">
        <w:t>7</w:t>
      </w:r>
      <w:r w:rsidR="00906305">
        <w:t xml:space="preserve"> zasedání</w:t>
      </w:r>
      <w:r w:rsidR="00604A70">
        <w:t xml:space="preserve"> – </w:t>
      </w:r>
      <w:r w:rsidR="00D45D35" w:rsidRPr="00655B0B">
        <w:t>konkrétně v termínech</w:t>
      </w:r>
      <w:r w:rsidR="00091621" w:rsidRPr="00655B0B">
        <w:t xml:space="preserve"> </w:t>
      </w:r>
      <w:r w:rsidR="00E909FB" w:rsidRPr="00E909FB">
        <w:t>3. 11. 2015, 14. 1. 2016, 18. 2. 2016, 3. – 4. 3. 2016</w:t>
      </w:r>
      <w:r w:rsidR="00141B85">
        <w:t xml:space="preserve"> (</w:t>
      </w:r>
      <w:r w:rsidR="00906305">
        <w:t xml:space="preserve">zasedání proběhlo společné </w:t>
      </w:r>
      <w:r w:rsidR="00E909FB" w:rsidRPr="00E909FB">
        <w:t>s předsednictvem GA ĆR</w:t>
      </w:r>
      <w:r w:rsidR="00141B85">
        <w:t>), 7. 4. 2016, 2. 6. 2016 a 7. 9. 2016.</w:t>
      </w:r>
      <w:r w:rsidR="00091621" w:rsidRPr="00655B0B">
        <w:t xml:space="preserve">. </w:t>
      </w:r>
      <w:r w:rsidR="00350F37" w:rsidRPr="00655B0B">
        <w:t>Průměrná účast členů KR na z</w:t>
      </w:r>
      <w:r w:rsidR="00D45D35" w:rsidRPr="00655B0B">
        <w:t>asedání</w:t>
      </w:r>
      <w:r w:rsidR="00BD41B3">
        <w:t>ch</w:t>
      </w:r>
      <w:r w:rsidR="00D45D35" w:rsidRPr="00655B0B">
        <w:t xml:space="preserve"> byla </w:t>
      </w:r>
      <w:r w:rsidR="00D45D35" w:rsidRPr="00767A0C">
        <w:t xml:space="preserve">téměř </w:t>
      </w:r>
      <w:r w:rsidR="00767A0C" w:rsidRPr="00767A0C">
        <w:t>90</w:t>
      </w:r>
      <w:r w:rsidR="00D45D35" w:rsidRPr="00767A0C">
        <w:t xml:space="preserve"> </w:t>
      </w:r>
      <w:r w:rsidR="00D45D35" w:rsidRPr="00655B0B">
        <w:t>procent</w:t>
      </w:r>
      <w:r w:rsidR="00603EC7">
        <w:t>.</w:t>
      </w:r>
      <w:r w:rsidR="00955771" w:rsidRPr="00655B0B">
        <w:t xml:space="preserve"> </w:t>
      </w:r>
      <w:r w:rsidR="00091621" w:rsidRPr="00655B0B">
        <w:t xml:space="preserve">Jednání KR probíhala </w:t>
      </w:r>
      <w:r w:rsidR="00603EC7">
        <w:t xml:space="preserve">až na jedinou výjimku </w:t>
      </w:r>
      <w:r w:rsidR="00091621" w:rsidRPr="00655B0B">
        <w:t>v</w:t>
      </w:r>
      <w:r w:rsidR="00AD688A">
        <w:t> </w:t>
      </w:r>
      <w:r w:rsidR="00091621" w:rsidRPr="00655B0B">
        <w:t>prostorách sídla GA ČR na Evropské třídě v Praze 6.</w:t>
      </w:r>
    </w:p>
    <w:p w:rsidR="0060250F" w:rsidRPr="00655B0B" w:rsidRDefault="0060250F" w:rsidP="00350F37">
      <w:pPr>
        <w:ind w:firstLine="708"/>
        <w:rPr>
          <w:rFonts w:eastAsia="Arial"/>
        </w:rPr>
      </w:pPr>
      <w:r w:rsidRPr="00655B0B">
        <w:rPr>
          <w:rFonts w:eastAsia="Arial"/>
        </w:rPr>
        <w:lastRenderedPageBreak/>
        <w:t>Předseda GA ČR prof. RNDr. Ivan Netuka, DrSc., ř</w:t>
      </w:r>
      <w:r w:rsidR="00906305">
        <w:rPr>
          <w:rFonts w:eastAsia="Arial"/>
        </w:rPr>
        <w:t>editelka Kanceláře GA ČR Ing. Lada</w:t>
      </w:r>
      <w:r w:rsidRPr="00655B0B">
        <w:rPr>
          <w:rFonts w:eastAsia="Arial"/>
        </w:rPr>
        <w:t xml:space="preserve"> Knetlová  </w:t>
      </w:r>
      <w:r w:rsidR="00906305">
        <w:rPr>
          <w:rFonts w:eastAsia="Arial"/>
        </w:rPr>
        <w:t>a vedoucí úseku kontroly Ing. Martina</w:t>
      </w:r>
      <w:r w:rsidRPr="00655B0B">
        <w:rPr>
          <w:rFonts w:eastAsia="Arial"/>
        </w:rPr>
        <w:t xml:space="preserve"> Vondráčková se zúčastňovali pravidelně zasedání KR, na nichž podávali informace o aktuální činnosti GA ČR. </w:t>
      </w:r>
      <w:r w:rsidR="008029FF">
        <w:rPr>
          <w:rFonts w:eastAsia="Arial"/>
        </w:rPr>
        <w:t>Zároveň tak dostával předseda</w:t>
      </w:r>
      <w:r w:rsidR="008029FF" w:rsidRPr="00655B0B">
        <w:rPr>
          <w:rFonts w:eastAsia="Arial"/>
        </w:rPr>
        <w:t xml:space="preserve"> GA ČR </w:t>
      </w:r>
      <w:r w:rsidR="008029FF">
        <w:rPr>
          <w:rFonts w:eastAsia="Arial"/>
        </w:rPr>
        <w:t>od členů KR přímé informace o</w:t>
      </w:r>
      <w:r w:rsidR="008029FF" w:rsidRPr="00655B0B">
        <w:rPr>
          <w:rFonts w:eastAsia="Arial"/>
        </w:rPr>
        <w:t xml:space="preserve"> zjištěných </w:t>
      </w:r>
      <w:r w:rsidR="008029FF">
        <w:rPr>
          <w:rFonts w:eastAsia="Arial"/>
        </w:rPr>
        <w:t>problémech</w:t>
      </w:r>
      <w:r w:rsidR="008029FF" w:rsidRPr="00655B0B">
        <w:rPr>
          <w:rFonts w:eastAsia="Arial"/>
        </w:rPr>
        <w:t xml:space="preserve"> jak ve finanční, tak i procesní oblasti systému</w:t>
      </w:r>
      <w:r w:rsidR="008029FF">
        <w:rPr>
          <w:rFonts w:eastAsia="Arial"/>
        </w:rPr>
        <w:t xml:space="preserve"> grantové podpory základního výzkumu</w:t>
      </w:r>
      <w:r w:rsidR="008029FF" w:rsidRPr="00655B0B">
        <w:rPr>
          <w:rFonts w:eastAsia="Arial"/>
        </w:rPr>
        <w:t>.</w:t>
      </w:r>
      <w:r w:rsidR="008029FF">
        <w:rPr>
          <w:rFonts w:eastAsia="Arial"/>
        </w:rPr>
        <w:t xml:space="preserve"> </w:t>
      </w:r>
      <w:r w:rsidR="00FC372D">
        <w:rPr>
          <w:rFonts w:eastAsia="Arial"/>
        </w:rPr>
        <w:t xml:space="preserve">Pro zajištění dobré informovanosti mezi </w:t>
      </w:r>
      <w:r w:rsidR="00FC372D" w:rsidRPr="00655B0B">
        <w:rPr>
          <w:rFonts w:eastAsia="Arial"/>
        </w:rPr>
        <w:t xml:space="preserve">KR </w:t>
      </w:r>
      <w:r w:rsidR="00FC372D">
        <w:rPr>
          <w:rFonts w:eastAsia="Arial"/>
        </w:rPr>
        <w:t>a vedením GA ČR se p</w:t>
      </w:r>
      <w:r w:rsidR="00603EC7">
        <w:rPr>
          <w:rFonts w:eastAsia="Arial"/>
        </w:rPr>
        <w:t xml:space="preserve">ředseda KR </w:t>
      </w:r>
      <w:r w:rsidR="008029FF">
        <w:rPr>
          <w:rFonts w:eastAsia="Arial"/>
        </w:rPr>
        <w:t>také</w:t>
      </w:r>
      <w:r w:rsidR="00603EC7">
        <w:rPr>
          <w:rFonts w:eastAsia="Arial"/>
        </w:rPr>
        <w:t xml:space="preserve"> pravidelně zúčastňoval</w:t>
      </w:r>
      <w:r w:rsidRPr="00655B0B">
        <w:rPr>
          <w:rFonts w:eastAsia="Arial"/>
        </w:rPr>
        <w:t xml:space="preserve"> zasedání předsednictva GA ČR</w:t>
      </w:r>
      <w:r w:rsidR="00FC372D">
        <w:rPr>
          <w:rFonts w:eastAsia="Arial"/>
        </w:rPr>
        <w:t>.</w:t>
      </w:r>
      <w:r w:rsidR="00603EC7">
        <w:rPr>
          <w:rFonts w:eastAsia="Arial"/>
        </w:rPr>
        <w:t xml:space="preserve"> </w:t>
      </w:r>
    </w:p>
    <w:p w:rsidR="00784439" w:rsidRPr="00655B0B" w:rsidRDefault="00784439" w:rsidP="00784439">
      <w:pPr>
        <w:pStyle w:val="Nadpis1"/>
        <w:rPr>
          <w:rFonts w:eastAsia="Arial"/>
        </w:rPr>
      </w:pPr>
      <w:r w:rsidRPr="00655B0B">
        <w:t>Dohled nad činností a kontrola rozdělování finančních prostředků</w:t>
      </w:r>
    </w:p>
    <w:p w:rsidR="00784439" w:rsidRPr="00655B0B" w:rsidRDefault="00784439" w:rsidP="00784439">
      <w:pPr>
        <w:rPr>
          <w:rFonts w:eastAsia="Arial"/>
        </w:rPr>
      </w:pPr>
      <w:r w:rsidRPr="00655B0B">
        <w:tab/>
        <w:t>Ve sledovaném období poskytovala GA ČR účelovou podporu na řešení grantových projektů v rámci několika skupin grantových projektů:</w:t>
      </w:r>
    </w:p>
    <w:p w:rsidR="00784439" w:rsidRPr="00655B0B" w:rsidRDefault="00784439" w:rsidP="00784439">
      <w:pPr>
        <w:pStyle w:val="Odstavecseseznamem"/>
        <w:numPr>
          <w:ilvl w:val="0"/>
          <w:numId w:val="5"/>
        </w:numPr>
      </w:pPr>
      <w:r w:rsidRPr="00655B0B">
        <w:t>standardní grantové projekty (podpora projektů základního výzkum</w:t>
      </w:r>
      <w:r w:rsidR="00267651" w:rsidRPr="00655B0B">
        <w:t>u</w:t>
      </w:r>
      <w:r w:rsidR="008931BF" w:rsidRPr="00655B0B">
        <w:t xml:space="preserve"> bez dalších omezujících podmínek</w:t>
      </w:r>
      <w:r w:rsidR="00267651" w:rsidRPr="00655B0B">
        <w:t>)</w:t>
      </w:r>
      <w:r w:rsidR="00D128FF">
        <w:t>, které tvoří nejpočetnější skupinu podporovaných grantových projektů základního výzkumu</w:t>
      </w:r>
      <w:r w:rsidR="001D6592">
        <w:t>;</w:t>
      </w:r>
    </w:p>
    <w:p w:rsidR="001E3A5A" w:rsidRDefault="00784439" w:rsidP="00784439">
      <w:pPr>
        <w:pStyle w:val="Odstavecseseznamem"/>
        <w:numPr>
          <w:ilvl w:val="0"/>
          <w:numId w:val="5"/>
        </w:numPr>
      </w:pPr>
      <w:r w:rsidRPr="00655B0B">
        <w:t xml:space="preserve">juniorské </w:t>
      </w:r>
      <w:r w:rsidR="001D6592">
        <w:t xml:space="preserve">grantové </w:t>
      </w:r>
      <w:r w:rsidRPr="00655B0B">
        <w:t>projekty na podporu mladých a za</w:t>
      </w:r>
      <w:r w:rsidR="00267651" w:rsidRPr="00655B0B">
        <w:t>čínajících vědeckých pracovníků</w:t>
      </w:r>
      <w:r w:rsidR="001D6592">
        <w:t xml:space="preserve"> především k budování mezinárodně zkušených vědeckých týmů;</w:t>
      </w:r>
    </w:p>
    <w:p w:rsidR="008931BF" w:rsidRPr="00655B0B" w:rsidRDefault="008931BF" w:rsidP="00784439">
      <w:pPr>
        <w:pStyle w:val="Odstavecseseznamem"/>
        <w:numPr>
          <w:ilvl w:val="0"/>
          <w:numId w:val="5"/>
        </w:numPr>
      </w:pPr>
      <w:r w:rsidRPr="00655B0B">
        <w:t>postdoktorské projekty na podporu mladých a začínajících vědeckých pracovníků (</w:t>
      </w:r>
      <w:r w:rsidR="008029FF">
        <w:t>nové</w:t>
      </w:r>
      <w:r w:rsidRPr="00655B0B">
        <w:t xml:space="preserve"> soutěže se již nevyhlašují)</w:t>
      </w:r>
      <w:r w:rsidR="001D6592">
        <w:t>;</w:t>
      </w:r>
    </w:p>
    <w:p w:rsidR="008931BF" w:rsidRPr="00655B0B" w:rsidRDefault="00784439" w:rsidP="00784439">
      <w:pPr>
        <w:pStyle w:val="Odstavecseseznamem"/>
        <w:numPr>
          <w:ilvl w:val="0"/>
          <w:numId w:val="5"/>
        </w:numPr>
      </w:pPr>
      <w:r w:rsidRPr="00655B0B">
        <w:t xml:space="preserve">mezinárodní grantové projekty – </w:t>
      </w:r>
    </w:p>
    <w:p w:rsidR="00784439" w:rsidRPr="00655B0B" w:rsidRDefault="00784439" w:rsidP="00655B0B">
      <w:pPr>
        <w:pStyle w:val="Odstavecseseznamem"/>
        <w:numPr>
          <w:ilvl w:val="1"/>
          <w:numId w:val="5"/>
        </w:numPr>
      </w:pPr>
      <w:r w:rsidRPr="00655B0B">
        <w:t>podpora projektů základního výzkumu na základě bilaterálních dohod GA ČR se zahraničními grantovými institucemi, zejména s Deutsche Forschungsgemeinschaft (DFG), National Science Council of Taiwan</w:t>
      </w:r>
      <w:r w:rsidR="008931BF" w:rsidRPr="00655B0B">
        <w:t xml:space="preserve"> (MOST)</w:t>
      </w:r>
      <w:r w:rsidRPr="00655B0B">
        <w:t xml:space="preserve"> a National Research Foundation of Korea</w:t>
      </w:r>
      <w:r w:rsidR="008931BF" w:rsidRPr="00655B0B">
        <w:t xml:space="preserve"> (NRF)</w:t>
      </w:r>
    </w:p>
    <w:p w:rsidR="008931BF" w:rsidRPr="00655B0B" w:rsidRDefault="008931BF" w:rsidP="00655B0B">
      <w:pPr>
        <w:pStyle w:val="Odstavecseseznamem"/>
        <w:numPr>
          <w:ilvl w:val="1"/>
          <w:numId w:val="5"/>
        </w:numPr>
      </w:pPr>
      <w:r w:rsidRPr="00655B0B">
        <w:t xml:space="preserve">podpora projektů základního výzkumu hodnocených na principu </w:t>
      </w:r>
      <w:r w:rsidR="00906305">
        <w:t>„</w:t>
      </w:r>
      <w:r w:rsidR="00906305" w:rsidRPr="00B4594F">
        <w:rPr>
          <w:i/>
        </w:rPr>
        <w:t>Lead Agency</w:t>
      </w:r>
      <w:r w:rsidR="00906305">
        <w:t>“ (</w:t>
      </w:r>
      <w:r w:rsidRPr="00655B0B">
        <w:t>LA</w:t>
      </w:r>
      <w:r w:rsidR="00906305">
        <w:t>)</w:t>
      </w:r>
      <w:r w:rsidR="00B4594F">
        <w:t xml:space="preserve">, </w:t>
      </w:r>
      <w:r w:rsidRPr="00655B0B">
        <w:t>ve spolup</w:t>
      </w:r>
      <w:r w:rsidR="00BD41B3">
        <w:t>ráci s Fonds zur Förderung der w</w:t>
      </w:r>
      <w:r w:rsidRPr="00655B0B">
        <w:t>issenschaftlichen Forschung (FWF)</w:t>
      </w:r>
      <w:r w:rsidR="00493252" w:rsidRPr="00655B0B">
        <w:t>, Rakousko</w:t>
      </w:r>
      <w:r w:rsidR="001D6592">
        <w:t>;</w:t>
      </w:r>
    </w:p>
    <w:p w:rsidR="00784439" w:rsidRDefault="00784439" w:rsidP="00784439">
      <w:pPr>
        <w:pStyle w:val="Odstavecseseznamem"/>
        <w:numPr>
          <w:ilvl w:val="0"/>
          <w:numId w:val="5"/>
        </w:numPr>
      </w:pPr>
      <w:r w:rsidRPr="00655B0B">
        <w:t xml:space="preserve">projekty na podporu excelence v základním výzkumu – multidisciplinární projekty špičkového základního výzkumu pro několik vědeckých týmů, které nelze financovat v rámci standardních grantových projektů GA </w:t>
      </w:r>
      <w:r w:rsidR="00267651" w:rsidRPr="00655B0B">
        <w:t>ČR</w:t>
      </w:r>
      <w:r w:rsidR="00E739F2" w:rsidRPr="00655B0B">
        <w:t>.</w:t>
      </w:r>
    </w:p>
    <w:p w:rsidR="007E4B1F" w:rsidRDefault="007E4B1F" w:rsidP="007E4B1F">
      <w:r>
        <w:tab/>
        <w:t>Pro personální zajištění kontrolní činnosti KR v jednotlivých vědních oblastech</w:t>
      </w:r>
      <w:r w:rsidR="00BD41B3">
        <w:t xml:space="preserve"> si</w:t>
      </w:r>
      <w:r>
        <w:t xml:space="preserve"> č</w:t>
      </w:r>
      <w:r w:rsidR="00534ADC">
        <w:t>lenové KR rozdělili jednotli</w:t>
      </w:r>
      <w:r w:rsidR="00B4594F">
        <w:t>vé oborové komise a jejich</w:t>
      </w:r>
      <w:r w:rsidR="00534ADC">
        <w:t xml:space="preserve"> panely následovně:</w:t>
      </w:r>
    </w:p>
    <w:p w:rsidR="007E4B1F" w:rsidRDefault="007E4B1F" w:rsidP="00534ADC">
      <w:pPr>
        <w:spacing w:after="0"/>
        <w:ind w:left="708"/>
        <w:jc w:val="left"/>
      </w:pPr>
      <w:r>
        <w:t>-</w:t>
      </w:r>
      <w:r w:rsidR="00534ADC">
        <w:t xml:space="preserve"> </w:t>
      </w:r>
      <w:r>
        <w:t xml:space="preserve">úsek technických věd: </w:t>
      </w:r>
      <w:r>
        <w:tab/>
      </w:r>
      <w:r>
        <w:tab/>
      </w:r>
      <w:r>
        <w:tab/>
      </w:r>
      <w:r w:rsidR="00534ADC">
        <w:br/>
      </w:r>
      <w:r w:rsidR="00534ADC">
        <w:tab/>
      </w:r>
      <w:r w:rsidR="00534ADC">
        <w:tab/>
      </w:r>
      <w:r>
        <w:t>prof. Ing. Rostislav Drochytka, CSc.</w:t>
      </w:r>
      <w:r>
        <w:br/>
      </w:r>
      <w:r>
        <w:tab/>
      </w:r>
      <w:r>
        <w:tab/>
      </w:r>
      <w:r w:rsidR="00534ADC">
        <w:t>p</w:t>
      </w:r>
      <w:r>
        <w:t>rof. Ing. Petr Konvalinka, CSc.</w:t>
      </w:r>
    </w:p>
    <w:p w:rsidR="00BC0DC6" w:rsidRDefault="00BC0DC6" w:rsidP="00534ADC">
      <w:pPr>
        <w:spacing w:after="0"/>
        <w:ind w:left="708"/>
        <w:jc w:val="left"/>
      </w:pPr>
    </w:p>
    <w:p w:rsidR="007E4B1F" w:rsidRDefault="007E4B1F" w:rsidP="00534ADC">
      <w:pPr>
        <w:spacing w:after="0"/>
        <w:ind w:left="708"/>
        <w:jc w:val="left"/>
      </w:pPr>
      <w:r>
        <w:t>-</w:t>
      </w:r>
      <w:r w:rsidR="00534ADC">
        <w:t xml:space="preserve"> </w:t>
      </w:r>
      <w:r>
        <w:t>úsek věd o neživé přírodě:</w:t>
      </w:r>
      <w:r w:rsidR="00534ADC">
        <w:br/>
      </w:r>
      <w:r>
        <w:t xml:space="preserve"> </w:t>
      </w:r>
      <w:r>
        <w:tab/>
      </w:r>
      <w:r>
        <w:tab/>
        <w:t>prof. Ing. Stanislav Labík, CSc.</w:t>
      </w:r>
    </w:p>
    <w:p w:rsidR="00BC0DC6" w:rsidRDefault="00BC0DC6" w:rsidP="00534ADC">
      <w:pPr>
        <w:spacing w:after="0"/>
        <w:ind w:left="708"/>
        <w:jc w:val="left"/>
      </w:pPr>
    </w:p>
    <w:p w:rsidR="00534ADC" w:rsidRDefault="007E4B1F" w:rsidP="00534ADC">
      <w:pPr>
        <w:spacing w:after="0"/>
        <w:ind w:left="708"/>
        <w:jc w:val="left"/>
      </w:pPr>
      <w:r>
        <w:t>-</w:t>
      </w:r>
      <w:r w:rsidR="00534ADC">
        <w:t xml:space="preserve"> </w:t>
      </w:r>
      <w:r>
        <w:t>úsek lékařských a biologických věd:</w:t>
      </w:r>
    </w:p>
    <w:p w:rsidR="007E4B1F" w:rsidRDefault="00534ADC" w:rsidP="00534ADC">
      <w:pPr>
        <w:spacing w:after="0"/>
        <w:ind w:left="708"/>
        <w:jc w:val="left"/>
      </w:pPr>
      <w:r>
        <w:tab/>
      </w:r>
      <w:r>
        <w:tab/>
        <w:t>prof. PhDr. Jana Geršlová, CSc.</w:t>
      </w:r>
      <w:r>
        <w:br/>
      </w:r>
      <w:r>
        <w:tab/>
      </w:r>
      <w:r>
        <w:tab/>
      </w:r>
      <w:r w:rsidR="007E4B1F">
        <w:t>Ing. Mirka Wildmannová, Ph.D.</w:t>
      </w:r>
    </w:p>
    <w:p w:rsidR="00BC0DC6" w:rsidRDefault="00BC0DC6" w:rsidP="00534ADC">
      <w:pPr>
        <w:spacing w:after="0"/>
        <w:ind w:left="708"/>
        <w:jc w:val="left"/>
      </w:pPr>
    </w:p>
    <w:p w:rsidR="00534ADC" w:rsidRDefault="007E4B1F" w:rsidP="00534ADC">
      <w:pPr>
        <w:spacing w:after="0"/>
        <w:ind w:left="708"/>
        <w:jc w:val="left"/>
      </w:pPr>
      <w:r>
        <w:t>-</w:t>
      </w:r>
      <w:r w:rsidR="00534ADC">
        <w:t xml:space="preserve"> </w:t>
      </w:r>
      <w:r>
        <w:t xml:space="preserve">úsek společenských a humanitních věd: </w:t>
      </w:r>
    </w:p>
    <w:p w:rsidR="00534ADC" w:rsidRDefault="00534ADC" w:rsidP="00534ADC">
      <w:pPr>
        <w:spacing w:after="0"/>
        <w:ind w:left="708"/>
        <w:jc w:val="left"/>
      </w:pPr>
      <w:r>
        <w:tab/>
      </w:r>
      <w:r>
        <w:tab/>
        <w:t>prof. Ing. Ladislav Jakl, CSc.</w:t>
      </w:r>
    </w:p>
    <w:p w:rsidR="007E4B1F" w:rsidRDefault="00534ADC" w:rsidP="00534ADC">
      <w:pPr>
        <w:spacing w:after="0"/>
        <w:ind w:left="708"/>
        <w:jc w:val="left"/>
      </w:pPr>
      <w:r>
        <w:tab/>
      </w:r>
      <w:r>
        <w:tab/>
      </w:r>
      <w:r w:rsidR="007E4B1F">
        <w:t>prof. Ing. Mária Režňáková, CSc.</w:t>
      </w:r>
    </w:p>
    <w:p w:rsidR="00BC0DC6" w:rsidRDefault="00BC0DC6" w:rsidP="00534ADC">
      <w:pPr>
        <w:spacing w:after="0"/>
        <w:ind w:left="708"/>
        <w:jc w:val="left"/>
      </w:pPr>
    </w:p>
    <w:p w:rsidR="00534ADC" w:rsidRDefault="007E4B1F" w:rsidP="00534ADC">
      <w:pPr>
        <w:spacing w:after="0"/>
        <w:ind w:left="708"/>
        <w:jc w:val="left"/>
      </w:pPr>
      <w:r>
        <w:t>-</w:t>
      </w:r>
      <w:r w:rsidR="00534ADC">
        <w:t xml:space="preserve"> </w:t>
      </w:r>
      <w:r>
        <w:t xml:space="preserve">úsek zemědělských a biologicko-environmentálních věd: </w:t>
      </w:r>
    </w:p>
    <w:p w:rsidR="00534ADC" w:rsidRDefault="00534ADC" w:rsidP="00534ADC">
      <w:pPr>
        <w:spacing w:after="0"/>
        <w:ind w:left="708"/>
        <w:jc w:val="left"/>
      </w:pPr>
      <w:r>
        <w:tab/>
      </w:r>
      <w:r>
        <w:tab/>
        <w:t>prof. Mgr. Libor Jan, Ph.D.</w:t>
      </w:r>
    </w:p>
    <w:p w:rsidR="007E4B1F" w:rsidRPr="00655B0B" w:rsidRDefault="00534ADC" w:rsidP="00534ADC">
      <w:pPr>
        <w:spacing w:after="240"/>
        <w:ind w:left="709"/>
        <w:jc w:val="left"/>
      </w:pPr>
      <w:r>
        <w:tab/>
      </w:r>
      <w:r>
        <w:tab/>
      </w:r>
      <w:r w:rsidR="007E4B1F">
        <w:t xml:space="preserve">doc. JUDr. Věra Kalvodová, Dr. </w:t>
      </w:r>
    </w:p>
    <w:p w:rsidR="00F74E5B" w:rsidRDefault="00603EC7" w:rsidP="00784439">
      <w:pPr>
        <w:ind w:firstLine="709"/>
      </w:pPr>
      <w:r w:rsidRPr="00655B0B">
        <w:t xml:space="preserve">Kontrolní činnost KR je do značné míry určována harmonogramem vyhlášení a hodnocení veřejných soutěží ve výzkumu, vývoji a inovacích. </w:t>
      </w:r>
      <w:r w:rsidR="001D6592">
        <w:t>Veřejná soutěž</w:t>
      </w:r>
      <w:r w:rsidR="001B066D" w:rsidRPr="001B066D">
        <w:t xml:space="preserve"> </w:t>
      </w:r>
      <w:r w:rsidR="001B066D">
        <w:t xml:space="preserve">GA ČR </w:t>
      </w:r>
      <w:r w:rsidR="001D6592">
        <w:t>je</w:t>
      </w:r>
      <w:r w:rsidR="001B066D" w:rsidRPr="001B066D">
        <w:t xml:space="preserve"> pro následující rok </w:t>
      </w:r>
      <w:r w:rsidR="001B066D" w:rsidRPr="00B30EAA">
        <w:t xml:space="preserve">zpravidla </w:t>
      </w:r>
      <w:r w:rsidR="00B30EAA" w:rsidRPr="00B30EAA">
        <w:t>vyhlašována</w:t>
      </w:r>
      <w:r w:rsidR="001B066D" w:rsidRPr="00B30EAA">
        <w:t xml:space="preserve"> </w:t>
      </w:r>
      <w:r w:rsidR="001B066D" w:rsidRPr="001B066D">
        <w:t>s termínem uzávě</w:t>
      </w:r>
      <w:r w:rsidR="001B066D">
        <w:t>rky na přelomu března a dubna a</w:t>
      </w:r>
      <w:r w:rsidR="001B066D" w:rsidRPr="001B066D">
        <w:t xml:space="preserve"> </w:t>
      </w:r>
      <w:r w:rsidR="008029FF">
        <w:t>v</w:t>
      </w:r>
      <w:r w:rsidR="001B066D" w:rsidRPr="001B066D">
        <w:t xml:space="preserve"> následujících </w:t>
      </w:r>
      <w:r w:rsidR="001B066D">
        <w:t xml:space="preserve">dvou </w:t>
      </w:r>
      <w:r w:rsidR="001B066D" w:rsidRPr="001B066D">
        <w:t xml:space="preserve">měsících probíhá nejprve </w:t>
      </w:r>
      <w:r w:rsidR="001B066D">
        <w:t xml:space="preserve">formální </w:t>
      </w:r>
      <w:r w:rsidR="001B066D" w:rsidRPr="001B066D">
        <w:t>kontrola náležitostí předložených návrhů</w:t>
      </w:r>
      <w:r w:rsidR="00FC372D">
        <w:t xml:space="preserve"> projektů a </w:t>
      </w:r>
      <w:r w:rsidR="00F74E5B">
        <w:t>bezprostředně potom</w:t>
      </w:r>
      <w:r w:rsidR="001B066D" w:rsidRPr="001B066D">
        <w:t xml:space="preserve"> </w:t>
      </w:r>
      <w:r w:rsidR="00FC372D">
        <w:t xml:space="preserve">navazuje </w:t>
      </w:r>
      <w:r w:rsidR="001B066D" w:rsidRPr="001B066D">
        <w:t xml:space="preserve">první fáze hodnocení </w:t>
      </w:r>
      <w:r w:rsidR="00F74E5B">
        <w:t>návrhů projektů</w:t>
      </w:r>
      <w:r w:rsidR="00B4594F">
        <w:t>.</w:t>
      </w:r>
      <w:r w:rsidR="001B066D">
        <w:t xml:space="preserve"> </w:t>
      </w:r>
      <w:r w:rsidR="003D0FB6">
        <w:t>Na úrovni panelů probíhá výběr zpravodajů a zahraničních oponentů</w:t>
      </w:r>
      <w:r w:rsidR="00F74E5B">
        <w:t>.</w:t>
      </w:r>
      <w:r w:rsidR="003D0FB6">
        <w:t xml:space="preserve"> Důležitou součástí této fáze posuzování je zajištění dostatečného počtu nezávislých odborných posudků. Následuje důkladná diskuse na úrovni panelů a určení pořadí návrhů projektů. V dalším kroku následuje určení finálního pořadí návrhů projektů na úrovni jednotlivých oborových komisí, které pak doporučí návrhy projektů pro financování. Předsednictvo GAČR pak definitivně rozhoduje o financování grantových projektů.</w:t>
      </w:r>
    </w:p>
    <w:p w:rsidR="00902B54" w:rsidRDefault="001B066D" w:rsidP="00784439">
      <w:pPr>
        <w:ind w:firstLine="709"/>
      </w:pPr>
      <w:r w:rsidRPr="00204784">
        <w:t>V</w:t>
      </w:r>
      <w:r w:rsidR="00FB03C7" w:rsidRPr="00204784">
        <w:t> </w:t>
      </w:r>
      <w:r w:rsidR="00B30EAA">
        <w:t xml:space="preserve"> hodnoceném</w:t>
      </w:r>
      <w:r w:rsidR="00FB03C7" w:rsidRPr="00204784">
        <w:t xml:space="preserve"> období</w:t>
      </w:r>
      <w:r w:rsidRPr="00204784">
        <w:t xml:space="preserve"> </w:t>
      </w:r>
      <w:r w:rsidR="00D128FF" w:rsidRPr="00204784">
        <w:t xml:space="preserve">došlo ke všem </w:t>
      </w:r>
      <w:r w:rsidRPr="00204784">
        <w:t>činnostem odborných a řídících orgánů GA ČR.</w:t>
      </w:r>
      <w:r>
        <w:t xml:space="preserve"> Jednalo se zejména o následující zasedání odborných panelů, oborových komisí a </w:t>
      </w:r>
      <w:r w:rsidR="00902B54">
        <w:t xml:space="preserve">předsednictva </w:t>
      </w:r>
      <w:r w:rsidR="00902B54" w:rsidRPr="00655B0B">
        <w:t>GA ČR</w:t>
      </w:r>
      <w:r w:rsidR="00C923D9">
        <w:t>:</w:t>
      </w:r>
    </w:p>
    <w:p w:rsidR="00902B54" w:rsidRPr="00FB03C7" w:rsidRDefault="00902B54" w:rsidP="00233FD8">
      <w:pPr>
        <w:pStyle w:val="Odstavecseseznamem"/>
        <w:numPr>
          <w:ilvl w:val="0"/>
          <w:numId w:val="19"/>
        </w:numPr>
        <w:ind w:left="360"/>
        <w:rPr>
          <w:b/>
        </w:rPr>
      </w:pPr>
      <w:r w:rsidRPr="00FB03C7">
        <w:rPr>
          <w:b/>
        </w:rPr>
        <w:t>Druhá fáze h</w:t>
      </w:r>
      <w:r w:rsidR="00784439" w:rsidRPr="00FB03C7">
        <w:rPr>
          <w:b/>
        </w:rPr>
        <w:t>odnocení ž</w:t>
      </w:r>
      <w:r w:rsidR="00187C70" w:rsidRPr="00FB03C7">
        <w:rPr>
          <w:b/>
        </w:rPr>
        <w:t xml:space="preserve">ádostí o udělení grantů </w:t>
      </w:r>
      <w:r w:rsidRPr="00FB03C7">
        <w:rPr>
          <w:b/>
        </w:rPr>
        <w:t xml:space="preserve">GA ČR, která </w:t>
      </w:r>
      <w:r w:rsidR="00784439" w:rsidRPr="00FB03C7">
        <w:rPr>
          <w:b/>
        </w:rPr>
        <w:t>prob</w:t>
      </w:r>
      <w:r w:rsidRPr="00FB03C7">
        <w:rPr>
          <w:b/>
        </w:rPr>
        <w:t>íhala v měsících říjnu až listopadu 2015</w:t>
      </w:r>
    </w:p>
    <w:p w:rsidR="00BC0DC6" w:rsidRDefault="00233FD8" w:rsidP="006E7742">
      <w:r w:rsidRPr="00233FD8">
        <w:tab/>
        <w:t>Kontrolní rada může potvrdit, že celý proces výběru grantů a j</w:t>
      </w:r>
      <w:r w:rsidR="00F74E5B">
        <w:t xml:space="preserve">ejich hodnocení probíhalo </w:t>
      </w:r>
      <w:r w:rsidRPr="00233FD8">
        <w:t>standardním způsobem. Hlavní úlohu v tom mají odborné panely, které musí po zhodnocení všech návrhů projektů stanovit v</w:t>
      </w:r>
      <w:r w:rsidR="00B4594F">
        <w:t>e</w:t>
      </w:r>
      <w:r w:rsidRPr="00233FD8">
        <w:t xml:space="preserve"> druhé fázi hodnocení pořadí návrhů projektů v rámci každého panelu. Oborové komise </w:t>
      </w:r>
      <w:r w:rsidR="008029FF">
        <w:t xml:space="preserve">(OK) </w:t>
      </w:r>
      <w:r w:rsidR="00BD41B3">
        <w:t>pak stanovují</w:t>
      </w:r>
      <w:r w:rsidRPr="00233FD8">
        <w:t xml:space="preserve"> pořadí návrhů projektů v rámci dané vědní oblasti. </w:t>
      </w:r>
      <w:r w:rsidR="008029FF">
        <w:t>OK jsou p</w:t>
      </w:r>
      <w:r w:rsidR="00F74E5B">
        <w:t>řitom</w:t>
      </w:r>
      <w:r w:rsidRPr="00233FD8">
        <w:t xml:space="preserve"> ustaveny pro pět oblastí daných statutem GA ČR: OK1 – technické vědy, OK2 – vědy o neživé přírodě, OK3 – lékařské a biologické vědy, OK4 – společenské a humanitní vědy a OK5 – zemědělské a biologick</w:t>
      </w:r>
      <w:r w:rsidR="00F74E5B">
        <w:t>o-environmentální vědy</w:t>
      </w:r>
      <w:r w:rsidRPr="00233FD8">
        <w:t xml:space="preserve">. </w:t>
      </w:r>
      <w:r>
        <w:t xml:space="preserve">Definitivní výběr financovaných projektů je proveden </w:t>
      </w:r>
      <w:r w:rsidR="008029FF">
        <w:t>předsednictvem GA ČR</w:t>
      </w:r>
      <w:r>
        <w:t xml:space="preserve"> v součinnosti s předsedy a </w:t>
      </w:r>
      <w:r>
        <w:lastRenderedPageBreak/>
        <w:t>místopředsedy všech oborových komisí</w:t>
      </w:r>
      <w:r w:rsidR="008029FF">
        <w:t xml:space="preserve">. </w:t>
      </w:r>
      <w:r w:rsidR="00B4594F">
        <w:t>V</w:t>
      </w:r>
      <w:r w:rsidR="008029FF">
        <w:t> uplynulém období</w:t>
      </w:r>
      <w:r w:rsidR="006E7742">
        <w:t xml:space="preserve"> byla </w:t>
      </w:r>
      <w:r w:rsidR="00B4594F">
        <w:t xml:space="preserve">přitom </w:t>
      </w:r>
      <w:r w:rsidR="006E7742">
        <w:t>vždy respektována doporučení panelů a oborových komisí</w:t>
      </w:r>
      <w:r>
        <w:t>.</w:t>
      </w:r>
      <w:r w:rsidRPr="00233FD8">
        <w:t xml:space="preserve"> </w:t>
      </w:r>
      <w:r>
        <w:t>Výsled</w:t>
      </w:r>
      <w:r w:rsidR="006E7742">
        <w:t>ky</w:t>
      </w:r>
      <w:r>
        <w:t xml:space="preserve"> celého procesu</w:t>
      </w:r>
      <w:r w:rsidR="006E7742">
        <w:t xml:space="preserve"> hodnocení shrnují následující tabulky</w:t>
      </w:r>
      <w:r w:rsidR="00BF5592">
        <w:rPr>
          <w:rStyle w:val="Znakapoznpodarou"/>
        </w:rPr>
        <w:footnoteReference w:id="2"/>
      </w:r>
      <w:r w:rsidR="006E7742">
        <w:t>:</w:t>
      </w:r>
    </w:p>
    <w:p w:rsidR="00D06B95" w:rsidRDefault="00D06B95" w:rsidP="00D06B95">
      <w:pPr>
        <w:ind w:left="414"/>
        <w:jc w:val="center"/>
      </w:pPr>
      <w:r>
        <w:t>Standardní projekty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9"/>
        <w:gridCol w:w="1135"/>
        <w:gridCol w:w="1675"/>
        <w:gridCol w:w="1675"/>
        <w:gridCol w:w="1426"/>
      </w:tblGrid>
      <w:tr w:rsidR="00D06B95" w:rsidRPr="00866A7E" w:rsidTr="00AD688A">
        <w:trPr>
          <w:trHeight w:val="9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Počet všech návrhů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Počet posuzovaných návrhů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Počet financovaných projektů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Úspěšnost</w:t>
            </w:r>
            <w:r w:rsidRPr="00866A7E">
              <w:rPr>
                <w:rFonts w:eastAsia="Times New Roman"/>
                <w:color w:val="000000"/>
                <w:lang w:eastAsia="cs-CZ"/>
              </w:rPr>
              <w:br/>
              <w:t>[%]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357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354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28,0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28,5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274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27,9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704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701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27,2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28,2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B4594F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866A7E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1949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1937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539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27,8</w:t>
            </w:r>
          </w:p>
        </w:tc>
      </w:tr>
    </w:tbl>
    <w:p w:rsidR="00D06B95" w:rsidRDefault="00D06B95" w:rsidP="00D06B95">
      <w:pPr>
        <w:spacing w:before="120" w:after="120"/>
        <w:ind w:left="414"/>
        <w:jc w:val="center"/>
      </w:pPr>
      <w:r>
        <w:t>Juniorské projekty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9"/>
        <w:gridCol w:w="1135"/>
        <w:gridCol w:w="1675"/>
        <w:gridCol w:w="1675"/>
        <w:gridCol w:w="1426"/>
      </w:tblGrid>
      <w:tr w:rsidR="00D06B95" w:rsidRPr="00866A7E" w:rsidTr="00AD688A">
        <w:trPr>
          <w:trHeight w:val="9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Počet všech návrhů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Počet posuzovaných návrhů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Počet financovaných projektů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Úspěšnost</w:t>
            </w:r>
            <w:r w:rsidRPr="00866A7E">
              <w:rPr>
                <w:rFonts w:eastAsia="Times New Roman"/>
                <w:color w:val="000000"/>
                <w:lang w:eastAsia="cs-CZ"/>
              </w:rPr>
              <w:br/>
              <w:t>[%]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26,3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26,6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46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26,1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27,3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61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26,3</w:t>
            </w:r>
          </w:p>
        </w:tc>
      </w:tr>
      <w:tr w:rsidR="00D06B95" w:rsidRPr="00866A7E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B4594F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866A7E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26,5</w:t>
            </w:r>
          </w:p>
        </w:tc>
      </w:tr>
    </w:tbl>
    <w:p w:rsidR="00D06B95" w:rsidRDefault="00D06B95" w:rsidP="00D06B95">
      <w:pPr>
        <w:pStyle w:val="Default"/>
      </w:pPr>
    </w:p>
    <w:p w:rsidR="00D06B95" w:rsidRDefault="00D06B95" w:rsidP="00D06B95">
      <w:pPr>
        <w:ind w:left="414"/>
        <w:jc w:val="center"/>
      </w:pPr>
      <w:r>
        <w:t xml:space="preserve">Mezinárodní </w:t>
      </w:r>
      <w:r w:rsidR="00A87DF8">
        <w:t xml:space="preserve">(bilaterální) </w:t>
      </w:r>
      <w:r>
        <w:t>projekty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9"/>
        <w:gridCol w:w="1135"/>
        <w:gridCol w:w="1675"/>
        <w:gridCol w:w="1675"/>
        <w:gridCol w:w="1426"/>
      </w:tblGrid>
      <w:tr w:rsidR="00D06B95" w:rsidRPr="00866A7E" w:rsidTr="00AD688A">
        <w:trPr>
          <w:trHeight w:val="9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Počet všech návrhů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Počet posuzovaných návrhů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Počet financovaných projektů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Úspěšnost</w:t>
            </w:r>
            <w:r w:rsidRPr="00866A7E">
              <w:rPr>
                <w:rFonts w:eastAsia="Times New Roman"/>
                <w:color w:val="000000"/>
                <w:lang w:eastAsia="cs-CZ"/>
              </w:rPr>
              <w:br/>
              <w:t>[%]</w:t>
            </w:r>
          </w:p>
        </w:tc>
      </w:tr>
      <w:tr w:rsidR="00D06B95" w:rsidRPr="00866A7E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37,5</w:t>
            </w:r>
          </w:p>
        </w:tc>
      </w:tr>
      <w:tr w:rsidR="00D06B95" w:rsidRPr="00866A7E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46,7</w:t>
            </w:r>
          </w:p>
        </w:tc>
      </w:tr>
      <w:tr w:rsidR="00D06B95" w:rsidRPr="00866A7E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75,0</w:t>
            </w:r>
          </w:p>
        </w:tc>
      </w:tr>
      <w:tr w:rsidR="00D06B95" w:rsidRPr="00866A7E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 xml:space="preserve">společenské a humanitní </w:t>
            </w:r>
            <w:r w:rsidRPr="00866A7E">
              <w:rPr>
                <w:rFonts w:eastAsia="Times New Roman"/>
                <w:color w:val="000000"/>
                <w:lang w:eastAsia="cs-CZ"/>
              </w:rPr>
              <w:lastRenderedPageBreak/>
              <w:t>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lastRenderedPageBreak/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14,3</w:t>
            </w:r>
          </w:p>
        </w:tc>
      </w:tr>
      <w:tr w:rsidR="00D06B95" w:rsidRPr="00866A7E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20,0</w:t>
            </w:r>
          </w:p>
        </w:tc>
      </w:tr>
      <w:tr w:rsidR="00D06B95" w:rsidRPr="00866A7E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866A7E" w:rsidRDefault="00B4594F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866A7E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15</w:t>
            </w:r>
            <w:r>
              <w:rPr>
                <w:rStyle w:val="Znakapoznpodarou"/>
                <w:rFonts w:eastAsia="Times New Roman"/>
                <w:color w:val="000000"/>
                <w:lang w:eastAsia="cs-CZ"/>
              </w:rPr>
              <w:footnoteReference w:id="3"/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B95" w:rsidRPr="00866A7E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866A7E">
              <w:rPr>
                <w:rFonts w:eastAsia="Times New Roman"/>
                <w:color w:val="000000"/>
                <w:lang w:eastAsia="cs-CZ"/>
              </w:rPr>
              <w:t>38,5</w:t>
            </w:r>
          </w:p>
        </w:tc>
      </w:tr>
    </w:tbl>
    <w:p w:rsidR="00D06B95" w:rsidRDefault="00D06B95" w:rsidP="00D06B95">
      <w:pPr>
        <w:pStyle w:val="Default"/>
      </w:pPr>
    </w:p>
    <w:p w:rsidR="00D06B95" w:rsidRPr="00BF5592" w:rsidRDefault="00BC0DC6" w:rsidP="00D06B95">
      <w:r>
        <w:tab/>
      </w:r>
      <w:r w:rsidR="00D06B95" w:rsidRPr="00BF5592">
        <w:t xml:space="preserve">V rámci společné výzvy na podávání </w:t>
      </w:r>
      <w:r w:rsidR="00A87DF8" w:rsidRPr="00BF5592">
        <w:t>mezinárodních</w:t>
      </w:r>
      <w:r w:rsidR="00D06B95" w:rsidRPr="00BF5592">
        <w:t xml:space="preserve"> </w:t>
      </w:r>
      <w:r w:rsidR="00B4594F" w:rsidRPr="00BF5592">
        <w:t>(hodnocených na principu LA)</w:t>
      </w:r>
      <w:r w:rsidR="00A87DF8" w:rsidRPr="00BF5592">
        <w:t xml:space="preserve"> </w:t>
      </w:r>
      <w:r w:rsidR="00D06B95" w:rsidRPr="00BF5592">
        <w:t>rakousko-českých projektů základního výzkumu bylo podáno 68 návrhů projektů, které splňovaly podmínky pro hodnocení FWF, z nichž bylo financováno 9 projektů s počátkem řešení 2016.</w:t>
      </w:r>
    </w:p>
    <w:p w:rsidR="00BC0DC6" w:rsidRDefault="00BC0DC6" w:rsidP="00BC0DC6">
      <w:r>
        <w:tab/>
      </w:r>
      <w:r w:rsidR="00B1309B">
        <w:t>Z těchto dat j</w:t>
      </w:r>
      <w:r w:rsidR="006E7742">
        <w:t>e vidět, že proces hodnocení návrhů projektů vede</w:t>
      </w:r>
      <w:r>
        <w:t>, s výjimkou mezinárodních projektů,</w:t>
      </w:r>
      <w:r w:rsidR="006E7742">
        <w:t xml:space="preserve"> k přibližně stejné úspěšnosti grantových</w:t>
      </w:r>
      <w:r>
        <w:t xml:space="preserve"> návrhů</w:t>
      </w:r>
      <w:r w:rsidR="006E7742">
        <w:t>.</w:t>
      </w:r>
    </w:p>
    <w:p w:rsidR="0003042F" w:rsidRPr="00BF5592" w:rsidRDefault="00BC0DC6" w:rsidP="0003042F">
      <w:r>
        <w:tab/>
      </w:r>
      <w:r w:rsidR="002219D8">
        <w:t>Zvláštní pozornost byla věnována důvodům pro nepřijetí nebo vyřazení projektů ze soutěží.</w:t>
      </w:r>
      <w:r w:rsidR="0003042F">
        <w:t xml:space="preserve">  </w:t>
      </w:r>
      <w:r w:rsidR="0003042F" w:rsidRPr="00BF5592">
        <w:t xml:space="preserve">U standardních projektů bylo z celkových </w:t>
      </w:r>
      <w:r w:rsidR="0003042F" w:rsidRPr="00BF5592">
        <w:rPr>
          <w:rFonts w:eastAsia="Times New Roman"/>
          <w:lang w:eastAsia="cs-CZ"/>
        </w:rPr>
        <w:t xml:space="preserve">1949 návrhů vyřazeno </w:t>
      </w:r>
      <w:r w:rsidR="00BD41B3" w:rsidRPr="00BF5592">
        <w:t>12 návrhů projektů</w:t>
      </w:r>
      <w:r w:rsidR="00B4594F" w:rsidRPr="00BF5592">
        <w:t>,</w:t>
      </w:r>
      <w:r w:rsidR="0003042F" w:rsidRPr="00BF5592">
        <w:t xml:space="preserve"> tedy 0,6 %. Dů</w:t>
      </w:r>
      <w:r w:rsidR="00CD3454" w:rsidRPr="00BF5592">
        <w:t>vodem bylo</w:t>
      </w:r>
      <w:r w:rsidR="00B4594F" w:rsidRPr="00BF5592">
        <w:t>:</w:t>
      </w:r>
      <w:r w:rsidR="0003042F" w:rsidRPr="00BF5592">
        <w:t xml:space="preserve"> </w:t>
      </w:r>
    </w:p>
    <w:p w:rsidR="0003042F" w:rsidRPr="00BF5592" w:rsidRDefault="0003042F" w:rsidP="00810831">
      <w:pPr>
        <w:spacing w:after="0"/>
        <w:ind w:firstLine="708"/>
      </w:pPr>
      <w:r w:rsidRPr="00BF5592">
        <w:t>4</w:t>
      </w:r>
      <w:r w:rsidR="00CD3454" w:rsidRPr="00BF5592">
        <w:t>x</w:t>
      </w:r>
      <w:r w:rsidRPr="00BF5592">
        <w:t xml:space="preserve"> – navrhovatel nebo spolunavrhovatel podal více projektů</w:t>
      </w:r>
      <w:r w:rsidR="00810831" w:rsidRPr="00BF5592">
        <w:t>,</w:t>
      </w:r>
    </w:p>
    <w:p w:rsidR="0003042F" w:rsidRPr="00BF5592" w:rsidRDefault="0003042F" w:rsidP="00810831">
      <w:pPr>
        <w:spacing w:after="0"/>
        <w:ind w:left="708"/>
      </w:pPr>
      <w:r w:rsidRPr="00BF5592">
        <w:t>1</w:t>
      </w:r>
      <w:r w:rsidR="00CD3454" w:rsidRPr="00BF5592">
        <w:t>x</w:t>
      </w:r>
      <w:r w:rsidRPr="00BF5592">
        <w:t xml:space="preserve"> – chyběla plná moc k podání třetí osobou</w:t>
      </w:r>
      <w:r w:rsidR="00810831" w:rsidRPr="00BF5592">
        <w:t>,</w:t>
      </w:r>
    </w:p>
    <w:p w:rsidR="0003042F" w:rsidRPr="00BF5592" w:rsidRDefault="0003042F" w:rsidP="00810831">
      <w:pPr>
        <w:spacing w:after="0"/>
        <w:ind w:left="708"/>
      </w:pPr>
      <w:r w:rsidRPr="00BF5592">
        <w:t>2</w:t>
      </w:r>
      <w:r w:rsidR="00CD3454" w:rsidRPr="00BF5592">
        <w:t>x</w:t>
      </w:r>
      <w:r w:rsidRPr="00BF5592">
        <w:t xml:space="preserve"> – </w:t>
      </w:r>
      <w:r w:rsidR="00CD3454" w:rsidRPr="00BF5592">
        <w:t>text návrhu projektu</w:t>
      </w:r>
      <w:r w:rsidRPr="00BF5592">
        <w:t xml:space="preserve"> </w:t>
      </w:r>
      <w:r w:rsidR="00810831" w:rsidRPr="00BF5592">
        <w:t xml:space="preserve">byl </w:t>
      </w:r>
      <w:r w:rsidRPr="00BF5592">
        <w:t>v nepovoleném jazyce</w:t>
      </w:r>
      <w:r w:rsidR="00810831" w:rsidRPr="00BF5592">
        <w:t>,</w:t>
      </w:r>
    </w:p>
    <w:p w:rsidR="0003042F" w:rsidRPr="00BF5592" w:rsidRDefault="0003042F" w:rsidP="00810831">
      <w:pPr>
        <w:spacing w:after="0"/>
        <w:ind w:left="708"/>
      </w:pPr>
      <w:r w:rsidRPr="00BF5592">
        <w:t>5</w:t>
      </w:r>
      <w:r w:rsidR="00CD3454" w:rsidRPr="00BF5592">
        <w:t>x</w:t>
      </w:r>
      <w:r w:rsidRPr="00BF5592">
        <w:t xml:space="preserve"> – </w:t>
      </w:r>
      <w:r w:rsidR="00810831" w:rsidRPr="00BF5592">
        <w:t xml:space="preserve">došlo k </w:t>
      </w:r>
      <w:r w:rsidRPr="00BF5592">
        <w:t>odstoupení ze soutěže.</w:t>
      </w:r>
    </w:p>
    <w:p w:rsidR="0003042F" w:rsidRPr="00BF5592" w:rsidRDefault="0003042F" w:rsidP="0003042F">
      <w:pPr>
        <w:spacing w:after="0"/>
        <w:ind w:left="1416"/>
      </w:pPr>
    </w:p>
    <w:p w:rsidR="0003042F" w:rsidRPr="00BF5592" w:rsidRDefault="00810831" w:rsidP="0003042F">
      <w:r w:rsidRPr="00BF5592">
        <w:tab/>
      </w:r>
      <w:r w:rsidR="0003042F" w:rsidRPr="00BF5592">
        <w:t xml:space="preserve">U juniorských projektů bylo z celkových </w:t>
      </w:r>
      <w:r w:rsidR="0003042F" w:rsidRPr="00BF5592">
        <w:rPr>
          <w:rFonts w:eastAsia="Times New Roman"/>
          <w:lang w:eastAsia="cs-CZ"/>
        </w:rPr>
        <w:t xml:space="preserve">297 návrhů vyřazeno </w:t>
      </w:r>
      <w:r w:rsidR="0003042F" w:rsidRPr="00BF5592">
        <w:t>25 návrhů projektu</w:t>
      </w:r>
      <w:r w:rsidR="00B4594F" w:rsidRPr="00BF5592">
        <w:t>,</w:t>
      </w:r>
      <w:r w:rsidR="0003042F" w:rsidRPr="00BF5592">
        <w:t xml:space="preserve"> tedy 8,4</w:t>
      </w:r>
      <w:r w:rsidR="00B4594F" w:rsidRPr="00BF5592">
        <w:t xml:space="preserve"> </w:t>
      </w:r>
      <w:r w:rsidR="0003042F" w:rsidRPr="00BF5592">
        <w:t xml:space="preserve">%. </w:t>
      </w:r>
      <w:r w:rsidR="00CD3454" w:rsidRPr="00BF5592">
        <w:t>Důvodem bylo</w:t>
      </w:r>
      <w:r w:rsidR="00B4594F" w:rsidRPr="00BF5592">
        <w:t>:</w:t>
      </w:r>
    </w:p>
    <w:p w:rsidR="0003042F" w:rsidRPr="00BF5592" w:rsidRDefault="0003042F" w:rsidP="00BD41B3">
      <w:pPr>
        <w:spacing w:after="0"/>
        <w:ind w:left="1276" w:hanging="567"/>
      </w:pPr>
      <w:r w:rsidRPr="00BF5592">
        <w:t>24</w:t>
      </w:r>
      <w:r w:rsidR="00CD3454" w:rsidRPr="00BF5592">
        <w:t>x</w:t>
      </w:r>
      <w:r w:rsidRPr="00BF5592">
        <w:t xml:space="preserve"> </w:t>
      </w:r>
      <w:r w:rsidR="00CD3454" w:rsidRPr="00BF5592">
        <w:t xml:space="preserve">– </w:t>
      </w:r>
      <w:r w:rsidRPr="00BF5592">
        <w:t>ne</w:t>
      </w:r>
      <w:r w:rsidR="00BD41B3" w:rsidRPr="00BF5592">
        <w:t xml:space="preserve">splnilo povinnou stáž nebo </w:t>
      </w:r>
      <w:r w:rsidR="00B4594F" w:rsidRPr="00BF5592">
        <w:t xml:space="preserve">byla překročena </w:t>
      </w:r>
      <w:r w:rsidR="00BD41B3" w:rsidRPr="00BF5592">
        <w:t xml:space="preserve">maximální dobu </w:t>
      </w:r>
      <w:r w:rsidRPr="00BF5592">
        <w:t>od</w:t>
      </w:r>
      <w:r w:rsidR="00BD41B3" w:rsidRPr="00BF5592">
        <w:t> </w:t>
      </w:r>
      <w:r w:rsidRPr="00BF5592">
        <w:t xml:space="preserve"> obhajoby</w:t>
      </w:r>
      <w:r w:rsidR="00810831" w:rsidRPr="00BF5592">
        <w:t>,</w:t>
      </w:r>
    </w:p>
    <w:p w:rsidR="00CD3454" w:rsidRPr="00BF5592" w:rsidRDefault="00CD3454" w:rsidP="00810831">
      <w:pPr>
        <w:spacing w:after="0"/>
        <w:ind w:left="708"/>
      </w:pPr>
      <w:r w:rsidRPr="00BF5592">
        <w:t xml:space="preserve">  1x – text návrhu projektu </w:t>
      </w:r>
      <w:r w:rsidR="00810831" w:rsidRPr="00BF5592">
        <w:t xml:space="preserve">byl </w:t>
      </w:r>
      <w:r w:rsidRPr="00BF5592">
        <w:t>v nepovoleném jazyce.</w:t>
      </w:r>
    </w:p>
    <w:p w:rsidR="0003042F" w:rsidRPr="00BF5592" w:rsidRDefault="0003042F" w:rsidP="00CD3454">
      <w:pPr>
        <w:spacing w:after="0"/>
      </w:pPr>
    </w:p>
    <w:p w:rsidR="0003042F" w:rsidRPr="00BF5592" w:rsidRDefault="00810831" w:rsidP="0003042F">
      <w:r w:rsidRPr="00BF5592">
        <w:tab/>
      </w:r>
      <w:r w:rsidR="00CD3454" w:rsidRPr="00BF5592">
        <w:t>V mezinárodních soutěžích byl</w:t>
      </w:r>
      <w:r w:rsidRPr="00BF5592">
        <w:t>o</w:t>
      </w:r>
      <w:r w:rsidR="00CD3454" w:rsidRPr="00BF5592">
        <w:t xml:space="preserve"> z </w:t>
      </w:r>
      <w:r w:rsidRPr="00BF5592">
        <w:t>51</w:t>
      </w:r>
      <w:r w:rsidR="00CD3454" w:rsidRPr="00BF5592">
        <w:t xml:space="preserve"> návrhů vyřazeno </w:t>
      </w:r>
      <w:r w:rsidRPr="00BF5592">
        <w:t>12</w:t>
      </w:r>
      <w:r w:rsidR="00B4594F" w:rsidRPr="00BF5592">
        <w:t>,</w:t>
      </w:r>
      <w:r w:rsidRPr="00BF5592">
        <w:t xml:space="preserve"> tedy 23,5</w:t>
      </w:r>
      <w:r w:rsidR="00B4594F" w:rsidRPr="00BF5592">
        <w:t xml:space="preserve"> </w:t>
      </w:r>
      <w:r w:rsidRPr="00BF5592">
        <w:t>%. Přitom důvody pro vyřazení byly</w:t>
      </w:r>
      <w:r w:rsidR="00B4594F" w:rsidRPr="00BF5592">
        <w:t>:</w:t>
      </w:r>
    </w:p>
    <w:p w:rsidR="0003042F" w:rsidRPr="00BF5592" w:rsidRDefault="0003042F" w:rsidP="00810831">
      <w:pPr>
        <w:spacing w:after="0"/>
        <w:ind w:left="708"/>
      </w:pPr>
      <w:r w:rsidRPr="00BF5592">
        <w:t>7</w:t>
      </w:r>
      <w:r w:rsidR="00810831" w:rsidRPr="00BF5592">
        <w:t>x –</w:t>
      </w:r>
      <w:r w:rsidRPr="00BF5592">
        <w:t xml:space="preserve"> nebyl </w:t>
      </w:r>
      <w:r w:rsidR="00810831" w:rsidRPr="00BF5592">
        <w:t xml:space="preserve">návrh </w:t>
      </w:r>
      <w:r w:rsidRPr="00BF5592">
        <w:t xml:space="preserve">doporučen k financování </w:t>
      </w:r>
      <w:r w:rsidR="00810831" w:rsidRPr="00BF5592">
        <w:t>od</w:t>
      </w:r>
      <w:r w:rsidRPr="00BF5592">
        <w:t xml:space="preserve"> zahraničního poskytovatele</w:t>
      </w:r>
      <w:r w:rsidR="00810831" w:rsidRPr="00BF5592">
        <w:t>,</w:t>
      </w:r>
    </w:p>
    <w:p w:rsidR="00810831" w:rsidRPr="00BF5592" w:rsidRDefault="0003042F" w:rsidP="00810831">
      <w:pPr>
        <w:spacing w:after="0"/>
        <w:ind w:left="708"/>
      </w:pPr>
      <w:r w:rsidRPr="00BF5592">
        <w:t>5</w:t>
      </w:r>
      <w:r w:rsidR="00810831" w:rsidRPr="00BF5592">
        <w:t>x –</w:t>
      </w:r>
      <w:r w:rsidRPr="00BF5592">
        <w:t xml:space="preserve"> </w:t>
      </w:r>
      <w:r w:rsidR="00810831" w:rsidRPr="00BF5592">
        <w:t xml:space="preserve">došlo k </w:t>
      </w:r>
      <w:r w:rsidRPr="00BF5592">
        <w:t>odstoupení ze soutěže</w:t>
      </w:r>
      <w:r w:rsidR="00810831" w:rsidRPr="00BF5592">
        <w:t>.</w:t>
      </w:r>
    </w:p>
    <w:p w:rsidR="00810831" w:rsidRPr="003D0FB6" w:rsidRDefault="00810831" w:rsidP="00810831">
      <w:pPr>
        <w:spacing w:after="0"/>
        <w:ind w:left="708"/>
        <w:rPr>
          <w:color w:val="FF0000"/>
        </w:rPr>
      </w:pPr>
    </w:p>
    <w:p w:rsidR="00BC0DC6" w:rsidRPr="00810831" w:rsidRDefault="00810831" w:rsidP="00810831">
      <w:pPr>
        <w:tabs>
          <w:tab w:val="left" w:pos="6804"/>
        </w:tabs>
        <w:ind w:firstLine="708"/>
      </w:pPr>
      <w:r>
        <w:t>Z rozboru pak vyplývá, že navrhovatelé standardních projektů již jsou</w:t>
      </w:r>
      <w:r w:rsidR="00BD41B3">
        <w:t>,</w:t>
      </w:r>
      <w:r>
        <w:t xml:space="preserve"> až na výjimky</w:t>
      </w:r>
      <w:r w:rsidR="00BD41B3">
        <w:t>,</w:t>
      </w:r>
      <w:r>
        <w:t xml:space="preserve"> </w:t>
      </w:r>
      <w:r w:rsidR="005A68D7">
        <w:t>schopni</w:t>
      </w:r>
      <w:r w:rsidR="002219D8">
        <w:t xml:space="preserve"> </w:t>
      </w:r>
      <w:r>
        <w:t>podat návrh bez</w:t>
      </w:r>
      <w:r w:rsidR="005A68D7">
        <w:t xml:space="preserve"> formálních chyb. U juniorských návrhů</w:t>
      </w:r>
      <w:r w:rsidR="00B4594F">
        <w:t xml:space="preserve"> musí navrhovatelé věnovat větší</w:t>
      </w:r>
      <w:r w:rsidR="005A68D7">
        <w:t xml:space="preserve"> pozornost dodržení podmínek pro zařazení do soutěže</w:t>
      </w:r>
      <w:r w:rsidR="00B4594F">
        <w:t>,</w:t>
      </w:r>
      <w:r w:rsidR="005A68D7">
        <w:t xml:space="preserve"> zejména trvání zahraniční stáže. U mezinárodních soutěží pak často dochází k nesouladu mezi hodnocením na straně obou kooperuj</w:t>
      </w:r>
      <w:r w:rsidR="00BD41B3">
        <w:t xml:space="preserve">ících grantových agentur </w:t>
      </w:r>
      <w:r w:rsidR="00BD41B3">
        <w:lastRenderedPageBreak/>
        <w:t>nebo k</w:t>
      </w:r>
      <w:r w:rsidR="005A68D7">
        <w:t xml:space="preserve">e špatné koordinaci mezi českým a zahraničním navrhovatelem. U správně podaných návrhů je ale velmi vysoká pravděpodobnost úspěchu. </w:t>
      </w:r>
    </w:p>
    <w:p w:rsidR="005A68D7" w:rsidRPr="00655B0B" w:rsidRDefault="00C923D9" w:rsidP="00BF5592">
      <w:pPr>
        <w:tabs>
          <w:tab w:val="left" w:pos="6804"/>
        </w:tabs>
        <w:ind w:firstLine="708"/>
      </w:pPr>
      <w:r>
        <w:t>Celkově lze shrnout, že h</w:t>
      </w:r>
      <w:r w:rsidRPr="00655B0B">
        <w:t>odnocení žádostí o udělení grantu v GA ČR probíhalo podle jejich odborné kvality a přiměřenosti finančních požadavků.</w:t>
      </w:r>
    </w:p>
    <w:p w:rsidR="00902B54" w:rsidRPr="00FB03C7" w:rsidRDefault="00902B54" w:rsidP="00C923D9">
      <w:pPr>
        <w:pStyle w:val="Odstavecseseznamem"/>
        <w:numPr>
          <w:ilvl w:val="0"/>
          <w:numId w:val="19"/>
        </w:numPr>
        <w:ind w:left="426"/>
        <w:rPr>
          <w:b/>
        </w:rPr>
      </w:pPr>
      <w:r w:rsidRPr="00FB03C7">
        <w:rPr>
          <w:b/>
        </w:rPr>
        <w:t>Hodnocení průběžných zpráv řešených projekt</w:t>
      </w:r>
      <w:r w:rsidR="006E7742" w:rsidRPr="00FB03C7">
        <w:rPr>
          <w:b/>
        </w:rPr>
        <w:t>ů</w:t>
      </w:r>
      <w:r w:rsidR="00C923D9" w:rsidRPr="00FB03C7">
        <w:rPr>
          <w:b/>
        </w:rPr>
        <w:t>, které</w:t>
      </w:r>
      <w:r w:rsidRPr="00FB03C7">
        <w:rPr>
          <w:b/>
        </w:rPr>
        <w:t xml:space="preserve"> probíhalo převážně v únoru 2016</w:t>
      </w:r>
    </w:p>
    <w:p w:rsidR="006E7742" w:rsidRDefault="00C923D9" w:rsidP="009A641C">
      <w:pPr>
        <w:spacing w:after="60"/>
      </w:pPr>
      <w:r>
        <w:tab/>
      </w:r>
      <w:r w:rsidR="008029FF">
        <w:t xml:space="preserve">K </w:t>
      </w:r>
      <w:r w:rsidR="006E7742">
        <w:t xml:space="preserve">hodnocení </w:t>
      </w:r>
      <w:r w:rsidR="008029FF" w:rsidRPr="008029FF">
        <w:t xml:space="preserve">průběžných zpráv řešených projektů </w:t>
      </w:r>
      <w:r w:rsidR="006E7742">
        <w:t>dochází</w:t>
      </w:r>
      <w:r w:rsidR="008029FF">
        <w:t xml:space="preserve"> nejprve</w:t>
      </w:r>
      <w:r w:rsidR="006E7742">
        <w:t xml:space="preserve"> v odborných panelech, </w:t>
      </w:r>
      <w:r w:rsidR="008029FF">
        <w:t xml:space="preserve">následně v </w:t>
      </w:r>
      <w:r w:rsidR="006E7742">
        <w:t xml:space="preserve">oborových komisích a </w:t>
      </w:r>
      <w:r w:rsidR="00F74E5B">
        <w:t>závěrečné finální</w:t>
      </w:r>
      <w:r w:rsidR="006E7742">
        <w:t xml:space="preserve"> uzavření hodnocení </w:t>
      </w:r>
      <w:r w:rsidR="008029FF">
        <w:t xml:space="preserve">je provedeno </w:t>
      </w:r>
      <w:r w:rsidR="006E7742">
        <w:t>předsednictvem. Výsledky hodnocení průběžných zpráv řešených projektů shrnují následující tabulky:</w:t>
      </w:r>
    </w:p>
    <w:p w:rsidR="00D06B95" w:rsidRDefault="00D06B95" w:rsidP="009A641C">
      <w:pPr>
        <w:spacing w:after="60"/>
        <w:ind w:left="414"/>
        <w:jc w:val="center"/>
      </w:pPr>
      <w:r>
        <w:t>Standardní projekty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1160"/>
        <w:gridCol w:w="1600"/>
        <w:gridCol w:w="1580"/>
        <w:gridCol w:w="1440"/>
      </w:tblGrid>
      <w:tr w:rsidR="00D06B95" w:rsidRPr="00CE3626" w:rsidTr="00AD688A">
        <w:trPr>
          <w:trHeight w:val="6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 s výhradou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Zastaveno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</w:tr>
      <w:tr w:rsidR="00D06B95" w:rsidRPr="00045F30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045F30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045F30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045F30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45F30">
              <w:rPr>
                <w:rFonts w:eastAsia="Times New Roman"/>
                <w:color w:val="000000"/>
                <w:lang w:eastAsia="cs-CZ"/>
              </w:rPr>
              <w:t>194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045F30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45F30">
              <w:rPr>
                <w:rFonts w:eastAsia="Times New Roman"/>
                <w:color w:val="000000"/>
                <w:lang w:eastAsia="cs-CZ"/>
              </w:rPr>
              <w:t>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045F30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45F30">
              <w:rPr>
                <w:rFonts w:eastAsia="Times New Roman"/>
                <w:color w:val="000000"/>
                <w:lang w:eastAsia="cs-CZ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045F30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45F30">
              <w:rPr>
                <w:rFonts w:eastAsia="Times New Roman"/>
                <w:color w:val="000000"/>
                <w:lang w:eastAsia="cs-CZ"/>
              </w:rPr>
              <w:t>225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275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185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314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194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B4594F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CE3626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1063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1193</w:t>
            </w:r>
          </w:p>
        </w:tc>
      </w:tr>
    </w:tbl>
    <w:p w:rsidR="00D06B95" w:rsidRDefault="00D06B95" w:rsidP="009A641C">
      <w:pPr>
        <w:spacing w:before="60" w:after="60"/>
        <w:ind w:left="414"/>
        <w:jc w:val="center"/>
      </w:pPr>
      <w:r>
        <w:t>Postdoktorské projekty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1160"/>
        <w:gridCol w:w="1600"/>
        <w:gridCol w:w="1580"/>
        <w:gridCol w:w="1440"/>
      </w:tblGrid>
      <w:tr w:rsidR="00D06B95" w:rsidRPr="00CE3626" w:rsidTr="00AD688A">
        <w:trPr>
          <w:trHeight w:val="6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 s výhradou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Zastaveno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29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30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18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43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25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B4594F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CE3626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145</w:t>
            </w:r>
          </w:p>
        </w:tc>
      </w:tr>
    </w:tbl>
    <w:p w:rsidR="00D06B95" w:rsidRDefault="00D06B95" w:rsidP="009A641C">
      <w:pPr>
        <w:spacing w:before="60" w:after="60"/>
        <w:ind w:left="414"/>
        <w:jc w:val="center"/>
      </w:pPr>
      <w:r>
        <w:t>Juniorské projekty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1160"/>
        <w:gridCol w:w="1600"/>
        <w:gridCol w:w="1580"/>
        <w:gridCol w:w="1440"/>
      </w:tblGrid>
      <w:tr w:rsidR="00D06B95" w:rsidRPr="00CE3626" w:rsidTr="00AD688A">
        <w:trPr>
          <w:trHeight w:val="6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 s výhradou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Zastaveno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11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19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lastRenderedPageBreak/>
              <w:t>lékařské a biologické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14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5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8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B4594F" w:rsidP="009A641C">
            <w:pPr>
              <w:spacing w:after="12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CE3626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9A641C">
            <w:pPr>
              <w:spacing w:after="12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57</w:t>
            </w:r>
          </w:p>
        </w:tc>
      </w:tr>
    </w:tbl>
    <w:p w:rsidR="00D06B95" w:rsidRDefault="00D06B95" w:rsidP="009A641C">
      <w:pPr>
        <w:pStyle w:val="Default"/>
        <w:spacing w:after="120"/>
      </w:pPr>
    </w:p>
    <w:p w:rsidR="00D06B95" w:rsidRDefault="00D06B95" w:rsidP="009A641C">
      <w:pPr>
        <w:spacing w:after="120"/>
        <w:ind w:left="414"/>
        <w:jc w:val="center"/>
      </w:pPr>
      <w:r>
        <w:t xml:space="preserve">Mezinárodní </w:t>
      </w:r>
      <w:r w:rsidR="00535723">
        <w:t xml:space="preserve">(bilaterální) </w:t>
      </w:r>
      <w:r>
        <w:t>projekty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1160"/>
        <w:gridCol w:w="1600"/>
        <w:gridCol w:w="1580"/>
        <w:gridCol w:w="1440"/>
      </w:tblGrid>
      <w:tr w:rsidR="00D06B95" w:rsidRPr="00CE3626" w:rsidTr="00AD688A">
        <w:trPr>
          <w:trHeight w:val="6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 s výhradou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Zastaveno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</w:tr>
      <w:tr w:rsidR="00D06B95" w:rsidRPr="00CE3626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6</w:t>
            </w:r>
          </w:p>
        </w:tc>
      </w:tr>
      <w:tr w:rsidR="00D06B95" w:rsidRPr="00CE3626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11</w:t>
            </w:r>
          </w:p>
        </w:tc>
      </w:tr>
      <w:tr w:rsidR="00D06B95" w:rsidRPr="00CE3626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</w:t>
            </w:r>
          </w:p>
        </w:tc>
      </w:tr>
      <w:tr w:rsidR="00D06B95" w:rsidRPr="00CE3626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</w:tr>
      <w:tr w:rsidR="00D06B95" w:rsidRPr="00CE3626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</w:tr>
      <w:tr w:rsidR="00D06B95" w:rsidRPr="00CE3626" w:rsidTr="00BC0DC6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B4594F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CE3626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BC0DC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19</w:t>
            </w:r>
          </w:p>
        </w:tc>
      </w:tr>
    </w:tbl>
    <w:p w:rsidR="00D06B95" w:rsidRDefault="00D06B95" w:rsidP="00D06B95">
      <w:pPr>
        <w:pStyle w:val="Default"/>
      </w:pPr>
    </w:p>
    <w:p w:rsidR="00D06B95" w:rsidRDefault="00D06B95" w:rsidP="00D06B95">
      <w:pPr>
        <w:ind w:left="414"/>
        <w:jc w:val="center"/>
      </w:pPr>
      <w:r>
        <w:t xml:space="preserve"> Projekty </w:t>
      </w:r>
      <w:r w:rsidR="00801F2F">
        <w:t xml:space="preserve">na podporu </w:t>
      </w:r>
      <w:r>
        <w:t>excelence</w:t>
      </w:r>
      <w:r w:rsidR="00801F2F">
        <w:t xml:space="preserve"> v základním výzkumu</w:t>
      </w:r>
    </w:p>
    <w:tbl>
      <w:tblPr>
        <w:tblW w:w="9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1160"/>
        <w:gridCol w:w="1600"/>
        <w:gridCol w:w="1580"/>
        <w:gridCol w:w="1440"/>
      </w:tblGrid>
      <w:tr w:rsidR="00D06B95" w:rsidRPr="00CE3626" w:rsidTr="00AD688A">
        <w:trPr>
          <w:trHeight w:val="6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Splněno s výhradou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Zastaveno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6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9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7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9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6</w:t>
            </w:r>
          </w:p>
        </w:tc>
      </w:tr>
      <w:tr w:rsidR="00D06B95" w:rsidRPr="00CE3626" w:rsidTr="00AD688A">
        <w:trPr>
          <w:trHeight w:val="397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B4594F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CE3626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CE362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CE3626">
              <w:rPr>
                <w:rFonts w:eastAsia="Times New Roman"/>
                <w:color w:val="000000"/>
                <w:lang w:eastAsia="cs-CZ"/>
              </w:rPr>
              <w:t>37</w:t>
            </w:r>
          </w:p>
        </w:tc>
      </w:tr>
    </w:tbl>
    <w:p w:rsidR="00D06B95" w:rsidRDefault="00D06B95" w:rsidP="00317FAB">
      <w:pPr>
        <w:pStyle w:val="Default"/>
      </w:pPr>
    </w:p>
    <w:p w:rsidR="00D06B95" w:rsidRDefault="009A641C" w:rsidP="009A641C">
      <w:r>
        <w:tab/>
        <w:t>Průběh řešení grantových projektů byl ve velké většině projektů bez jakýchkoliv problémů jak po odborné, tak finanční stránce. U podstatně nižší části projektů (12,5</w:t>
      </w:r>
      <w:r w:rsidR="00B4594F">
        <w:t xml:space="preserve"> </w:t>
      </w:r>
      <w:r w:rsidRPr="00673C3B">
        <w:t>%</w:t>
      </w:r>
      <w:r>
        <w:t>) byly nalezeny určité problémy ve způsobu řešení projektů např. nedostatečná publikační aktivita, nepřesnosti v použití nebo doložení čerpání finančních prostředků či nedostatečné upřesnění plánu řešení projektu pro příští rok. Pouze u minima projektů (0,5</w:t>
      </w:r>
      <w:r w:rsidR="00B4594F">
        <w:t xml:space="preserve"> </w:t>
      </w:r>
      <w:r w:rsidRPr="00673C3B">
        <w:t>%</w:t>
      </w:r>
      <w:r>
        <w:t xml:space="preserve">) byla nalezena taková pochybení, že bylo ukončeno jejich financování a </w:t>
      </w:r>
      <w:r w:rsidR="00B30EAA">
        <w:t>projekty proto nebudou dále pokračovat.</w:t>
      </w:r>
    </w:p>
    <w:p w:rsidR="009A641C" w:rsidRDefault="009A641C">
      <w:pPr>
        <w:spacing w:line="276" w:lineRule="auto"/>
        <w:jc w:val="left"/>
        <w:rPr>
          <w:rFonts w:ascii="Calibri" w:hAnsi="Calibri" w:cs="Calibri"/>
          <w:color w:val="000000"/>
        </w:rPr>
      </w:pPr>
      <w:r>
        <w:br w:type="page"/>
      </w:r>
    </w:p>
    <w:p w:rsidR="00187C70" w:rsidRPr="00FB03C7" w:rsidRDefault="00902B54" w:rsidP="00C923D9">
      <w:pPr>
        <w:pStyle w:val="Odstavecseseznamem"/>
        <w:numPr>
          <w:ilvl w:val="0"/>
          <w:numId w:val="19"/>
        </w:numPr>
        <w:ind w:left="426"/>
        <w:rPr>
          <w:b/>
        </w:rPr>
      </w:pPr>
      <w:r w:rsidRPr="00FB03C7">
        <w:rPr>
          <w:b/>
        </w:rPr>
        <w:lastRenderedPageBreak/>
        <w:t>Hodnocení závěrečných zpráv ukončených projektů</w:t>
      </w:r>
      <w:r w:rsidR="00B1309B" w:rsidRPr="00FB03C7">
        <w:rPr>
          <w:b/>
        </w:rPr>
        <w:t>, které</w:t>
      </w:r>
      <w:r w:rsidRPr="00FB03C7">
        <w:rPr>
          <w:b/>
        </w:rPr>
        <w:t xml:space="preserve"> bylo náplní prací poradních orgánů v průběhu </w:t>
      </w:r>
      <w:r w:rsidR="00187C70" w:rsidRPr="00FB03C7">
        <w:rPr>
          <w:b/>
        </w:rPr>
        <w:t>března 2016.</w:t>
      </w:r>
    </w:p>
    <w:p w:rsidR="00B1309B" w:rsidRDefault="00F74E5B" w:rsidP="00B1309B">
      <w:r>
        <w:tab/>
      </w:r>
      <w:r w:rsidR="00B1309B">
        <w:t>V průběhu zasedání byly hodnoceny výsledky dosažené při řešení financovaných projektů s rokem ukončení 2015 a projektů, kdy bylo na žádost řešitele odloženo hodnocení zpravidla o jeden rok. V</w:t>
      </w:r>
      <w:r w:rsidR="0027390E">
        <w:t xml:space="preserve">ýsledkem hodnocení projektu </w:t>
      </w:r>
      <w:r w:rsidR="00B1309B">
        <w:t xml:space="preserve">může </w:t>
      </w:r>
      <w:r w:rsidR="00AE01B9">
        <w:t>být vynikající</w:t>
      </w:r>
      <w:r w:rsidR="00B1309B">
        <w:t xml:space="preserve">, </w:t>
      </w:r>
      <w:r w:rsidR="00B1309B" w:rsidRPr="00B1309B">
        <w:t>splněno</w:t>
      </w:r>
      <w:r w:rsidR="00B1309B">
        <w:t xml:space="preserve">, </w:t>
      </w:r>
      <w:r w:rsidR="00B1309B" w:rsidRPr="00B1309B">
        <w:t>splněno s</w:t>
      </w:r>
      <w:r w:rsidR="00B1309B">
        <w:t> </w:t>
      </w:r>
      <w:r w:rsidR="00B1309B" w:rsidRPr="00B1309B">
        <w:t>výhradou</w:t>
      </w:r>
      <w:r w:rsidR="00B1309B">
        <w:t xml:space="preserve">, </w:t>
      </w:r>
      <w:r w:rsidR="0027390E">
        <w:t>nesplněno</w:t>
      </w:r>
      <w:r w:rsidR="00B1309B">
        <w:t xml:space="preserve"> či</w:t>
      </w:r>
      <w:r w:rsidR="0027390E">
        <w:t xml:space="preserve"> odloženo. </w:t>
      </w:r>
      <w:r w:rsidR="00B1309B">
        <w:t>Výsledky hodnocení průběžných zpráv řešených projektů shrnují následující tabulky:</w:t>
      </w:r>
    </w:p>
    <w:p w:rsidR="00D06B95" w:rsidRDefault="00D06B95" w:rsidP="00D06B95">
      <w:pPr>
        <w:ind w:left="414"/>
        <w:jc w:val="center"/>
      </w:pPr>
      <w:r>
        <w:t>Standardní projekty</w:t>
      </w:r>
    </w:p>
    <w:tbl>
      <w:tblPr>
        <w:tblW w:w="9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020"/>
        <w:gridCol w:w="1020"/>
        <w:gridCol w:w="1020"/>
        <w:gridCol w:w="1020"/>
        <w:gridCol w:w="1020"/>
        <w:gridCol w:w="1020"/>
      </w:tblGrid>
      <w:tr w:rsidR="00D06B95" w:rsidRPr="003302A6" w:rsidTr="00AD688A">
        <w:trPr>
          <w:trHeight w:val="193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Vynikající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Splněno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Splněno s výhradou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Nesplněno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Odložené hodnocení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86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85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55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155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64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B4594F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3302A6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445</w:t>
            </w:r>
          </w:p>
        </w:tc>
      </w:tr>
    </w:tbl>
    <w:p w:rsidR="00D06B95" w:rsidRDefault="00D06B95" w:rsidP="00D06B95">
      <w:pPr>
        <w:pStyle w:val="Default"/>
      </w:pPr>
    </w:p>
    <w:p w:rsidR="00D06B95" w:rsidRDefault="00D06B95" w:rsidP="00D06B95">
      <w:pPr>
        <w:ind w:left="414"/>
        <w:jc w:val="center"/>
      </w:pPr>
      <w:r>
        <w:t>Postdoktorské projekty</w:t>
      </w:r>
    </w:p>
    <w:tbl>
      <w:tblPr>
        <w:tblW w:w="9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020"/>
        <w:gridCol w:w="1020"/>
        <w:gridCol w:w="1020"/>
        <w:gridCol w:w="1020"/>
        <w:gridCol w:w="1020"/>
        <w:gridCol w:w="1020"/>
      </w:tblGrid>
      <w:tr w:rsidR="00D06B95" w:rsidRPr="003302A6" w:rsidTr="00AD688A">
        <w:trPr>
          <w:trHeight w:val="193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Vynikající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Splněno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Splněno s výhradou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Nesplněno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Odložené hodnocení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29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30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10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55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24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B4594F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3302A6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148</w:t>
            </w:r>
          </w:p>
        </w:tc>
      </w:tr>
    </w:tbl>
    <w:p w:rsidR="00D06B95" w:rsidRDefault="00D06B95" w:rsidP="00D06B95">
      <w:pPr>
        <w:pStyle w:val="Default"/>
      </w:pPr>
    </w:p>
    <w:p w:rsidR="00D06B95" w:rsidRDefault="00D06B95" w:rsidP="00D06B95">
      <w:pPr>
        <w:ind w:left="414"/>
        <w:jc w:val="center"/>
      </w:pPr>
      <w:r>
        <w:lastRenderedPageBreak/>
        <w:t xml:space="preserve">Mezinárodní </w:t>
      </w:r>
      <w:r w:rsidR="00AE3CE5">
        <w:t xml:space="preserve">(bilaterální) </w:t>
      </w:r>
      <w:r>
        <w:t>projekty</w:t>
      </w:r>
    </w:p>
    <w:tbl>
      <w:tblPr>
        <w:tblW w:w="9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020"/>
        <w:gridCol w:w="1020"/>
        <w:gridCol w:w="1020"/>
        <w:gridCol w:w="1020"/>
        <w:gridCol w:w="1020"/>
        <w:gridCol w:w="1020"/>
      </w:tblGrid>
      <w:tr w:rsidR="00D06B95" w:rsidRPr="003302A6" w:rsidTr="00AD688A">
        <w:trPr>
          <w:trHeight w:val="193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Oblast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Vynikající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Splněno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Splněno s výhradou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Nesplněno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Odložené hodnocení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technické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5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vědy o neživé přírodě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4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lékařské a biologické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5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společenské a humanitní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zemědělské a biologicko-environmentální vědy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</w:t>
            </w:r>
          </w:p>
        </w:tc>
      </w:tr>
      <w:tr w:rsidR="00D06B95" w:rsidRPr="003302A6" w:rsidTr="00AD688A">
        <w:trPr>
          <w:trHeight w:val="39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B4594F" w:rsidP="00AD688A">
            <w:pPr>
              <w:spacing w:after="0" w:line="240" w:lineRule="auto"/>
              <w:jc w:val="left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c</w:t>
            </w:r>
            <w:r w:rsidR="00D06B95" w:rsidRPr="003302A6">
              <w:rPr>
                <w:rFonts w:eastAsia="Times New Roman"/>
                <w:color w:val="000000"/>
                <w:lang w:eastAsia="cs-CZ"/>
              </w:rPr>
              <w:t>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B95" w:rsidRPr="003302A6" w:rsidRDefault="00D06B95" w:rsidP="00AD688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02A6">
              <w:rPr>
                <w:rFonts w:eastAsia="Times New Roman"/>
                <w:color w:val="000000"/>
                <w:lang w:eastAsia="cs-CZ"/>
              </w:rPr>
              <w:t>15</w:t>
            </w:r>
          </w:p>
        </w:tc>
      </w:tr>
    </w:tbl>
    <w:p w:rsidR="00D06B95" w:rsidRDefault="00D06B95" w:rsidP="00D06B95">
      <w:pPr>
        <w:pStyle w:val="Default"/>
      </w:pPr>
    </w:p>
    <w:p w:rsidR="00A75CF1" w:rsidRDefault="006C777A" w:rsidP="006E7742">
      <w:pPr>
        <w:spacing w:after="160"/>
        <w:ind w:firstLine="709"/>
      </w:pPr>
      <w:r>
        <w:t xml:space="preserve">Po zkušenostech z uplynulých let rozhodlo předsednictvo GA ČR, že podíl </w:t>
      </w:r>
      <w:r w:rsidRPr="006C777A">
        <w:t xml:space="preserve">vynikajících projektů v jednotlivých panelech </w:t>
      </w:r>
      <w:r w:rsidR="00AD688A">
        <w:t>nemá</w:t>
      </w:r>
      <w:r w:rsidR="00AD688A" w:rsidRPr="006C777A">
        <w:t xml:space="preserve"> </w:t>
      </w:r>
      <w:r w:rsidRPr="006C777A">
        <w:t>překročit 20</w:t>
      </w:r>
      <w:r w:rsidR="00B4594F">
        <w:t xml:space="preserve"> </w:t>
      </w:r>
      <w:r w:rsidRPr="006C777A">
        <w:t>%. V</w:t>
      </w:r>
      <w:r w:rsidR="00AD688A">
        <w:t> </w:t>
      </w:r>
      <w:r w:rsidRPr="006C777A">
        <w:t xml:space="preserve">předchozích letech se totiž ukázalo, </w:t>
      </w:r>
      <w:r>
        <w:t>ž</w:t>
      </w:r>
      <w:r w:rsidRPr="006C777A">
        <w:t xml:space="preserve">e </w:t>
      </w:r>
      <w:r>
        <w:t>v oblastech lékařských a biologických</w:t>
      </w:r>
      <w:r w:rsidRPr="006C777A">
        <w:t xml:space="preserve"> věd</w:t>
      </w:r>
      <w:r>
        <w:t xml:space="preserve"> </w:t>
      </w:r>
      <w:r w:rsidR="00A75CF1">
        <w:t xml:space="preserve">(OK3) </w:t>
      </w:r>
      <w:r w:rsidR="00466E8F">
        <w:t>a zemědělských</w:t>
      </w:r>
      <w:r w:rsidR="00466E8F" w:rsidRPr="00466E8F">
        <w:t xml:space="preserve"> a biologicko-environmentální</w:t>
      </w:r>
      <w:r w:rsidR="00466E8F">
        <w:t>ch věd</w:t>
      </w:r>
      <w:r w:rsidR="003C005D">
        <w:t xml:space="preserve"> </w:t>
      </w:r>
      <w:r w:rsidR="00A75CF1">
        <w:t xml:space="preserve">(OK5) </w:t>
      </w:r>
      <w:r w:rsidR="003C005D">
        <w:t>doporučovaly</w:t>
      </w:r>
      <w:r w:rsidR="00466E8F">
        <w:t xml:space="preserve"> panely </w:t>
      </w:r>
      <w:r w:rsidR="003C005D">
        <w:t xml:space="preserve">zařadit mezi excelentní </w:t>
      </w:r>
      <w:r w:rsidR="00466E8F">
        <w:t>až 50</w:t>
      </w:r>
      <w:r w:rsidR="00B4594F">
        <w:t xml:space="preserve"> </w:t>
      </w:r>
      <w:r w:rsidR="00466E8F" w:rsidRPr="006C777A">
        <w:t>%</w:t>
      </w:r>
      <w:r w:rsidR="003C005D">
        <w:t xml:space="preserve"> ukončených projektů.</w:t>
      </w:r>
      <w:r>
        <w:t xml:space="preserve"> </w:t>
      </w:r>
    </w:p>
    <w:p w:rsidR="006E7742" w:rsidRPr="00655B0B" w:rsidRDefault="003C005D" w:rsidP="006E7742">
      <w:pPr>
        <w:spacing w:after="160"/>
        <w:ind w:firstLine="709"/>
      </w:pPr>
      <w:r>
        <w:t xml:space="preserve">Mimo to se stále </w:t>
      </w:r>
      <w:r w:rsidR="00B1309B" w:rsidRPr="006C777A">
        <w:t xml:space="preserve">ukazují poměrně významné rozdíly mezi jednotlivými </w:t>
      </w:r>
      <w:r w:rsidR="006C777A" w:rsidRPr="006C777A">
        <w:t>vědeckými oblastmi</w:t>
      </w:r>
      <w:r>
        <w:t xml:space="preserve"> z hlediska úspěšnosti projektů</w:t>
      </w:r>
      <w:r w:rsidR="006C777A" w:rsidRPr="006C777A">
        <w:t>.</w:t>
      </w:r>
      <w:r>
        <w:t xml:space="preserve"> Zejména projekty v oblasti společenských</w:t>
      </w:r>
      <w:r w:rsidRPr="003C005D">
        <w:t xml:space="preserve"> a humanitní</w:t>
      </w:r>
      <w:r>
        <w:t>ch věd</w:t>
      </w:r>
      <w:r w:rsidR="00A75CF1">
        <w:t xml:space="preserve"> (OK4)</w:t>
      </w:r>
      <w:r>
        <w:t xml:space="preserve"> jsou velmi často hodnoceny jako nesplněné nebo je </w:t>
      </w:r>
      <w:r w:rsidR="00A75CF1">
        <w:t>požádáno</w:t>
      </w:r>
      <w:r>
        <w:t xml:space="preserve"> o </w:t>
      </w:r>
      <w:r w:rsidR="00A9592B">
        <w:t xml:space="preserve">odložení </w:t>
      </w:r>
      <w:r>
        <w:t>jejich hodnocení</w:t>
      </w:r>
      <w:r w:rsidR="0027390E" w:rsidRPr="0027390E">
        <w:t xml:space="preserve"> Tato skutečnost je pra</w:t>
      </w:r>
      <w:r w:rsidR="0027390E">
        <w:t>v</w:t>
      </w:r>
      <w:r w:rsidR="0027390E" w:rsidRPr="0027390E">
        <w:t>děpodobně dána odlišnými publikačními zvyklostmi v dané oblasti, nicméně KR plánuje provést spolu s předsednictvem GA ČR analýzu tohoto stavu a v případě potřeby přijmout vhodná nápravná opatření.</w:t>
      </w:r>
      <w:r w:rsidR="0027390E">
        <w:t xml:space="preserve"> </w:t>
      </w:r>
      <w:r w:rsidR="00A75CF1">
        <w:t>P</w:t>
      </w:r>
      <w:r w:rsidR="006E7742" w:rsidRPr="006C777A">
        <w:t xml:space="preserve">řevážné většiny všech zasedání </w:t>
      </w:r>
      <w:r w:rsidR="00B4594F">
        <w:t>panelů a oborových komisí</w:t>
      </w:r>
      <w:r w:rsidR="00BD41B3">
        <w:t xml:space="preserve"> se zúčastňovali</w:t>
      </w:r>
      <w:r w:rsidR="006E7742" w:rsidRPr="00655B0B">
        <w:t xml:space="preserve"> pověření čl</w:t>
      </w:r>
      <w:r w:rsidR="00BD41B3">
        <w:t>enové předsednictva GA ČR a</w:t>
      </w:r>
      <w:r w:rsidR="006E7742" w:rsidRPr="00655B0B">
        <w:t xml:space="preserve"> jejich účast </w:t>
      </w:r>
      <w:r w:rsidR="00BD41B3">
        <w:t xml:space="preserve">tak </w:t>
      </w:r>
      <w:r w:rsidR="006E7742" w:rsidRPr="00655B0B">
        <w:t xml:space="preserve">nemalou měrou přispívá ke korektnímu průběhu soutěží. </w:t>
      </w:r>
    </w:p>
    <w:p w:rsidR="00932FA2" w:rsidRDefault="00932FA2" w:rsidP="001B416E">
      <w:pPr>
        <w:tabs>
          <w:tab w:val="left" w:pos="6804"/>
        </w:tabs>
        <w:ind w:firstLine="708"/>
      </w:pPr>
      <w:r w:rsidRPr="00655B0B">
        <w:t>Stejně jako v minulých letech vykonávali členov</w:t>
      </w:r>
      <w:r w:rsidR="000E5968">
        <w:t>é KR kontrolní činnost na </w:t>
      </w:r>
      <w:r w:rsidR="003C005D">
        <w:t xml:space="preserve">některých </w:t>
      </w:r>
      <w:r w:rsidRPr="00655B0B">
        <w:t>zasedání</w:t>
      </w:r>
      <w:r w:rsidR="003C005D">
        <w:t>ch</w:t>
      </w:r>
      <w:r w:rsidRPr="00655B0B">
        <w:t xml:space="preserve"> </w:t>
      </w:r>
      <w:r w:rsidR="00494F1B" w:rsidRPr="00655B0B">
        <w:t>hodnotic</w:t>
      </w:r>
      <w:r w:rsidRPr="00655B0B">
        <w:t>ích panelů a oboro</w:t>
      </w:r>
      <w:r w:rsidR="003C005D">
        <w:t>vých komisí. Cílem byla kontrola jednotného postupu při hodnocení a</w:t>
      </w:r>
      <w:r w:rsidRPr="00655B0B">
        <w:t xml:space="preserve"> </w:t>
      </w:r>
      <w:r w:rsidR="003C005D">
        <w:t>případné upozornění</w:t>
      </w:r>
      <w:r w:rsidRPr="00655B0B">
        <w:t xml:space="preserve"> </w:t>
      </w:r>
      <w:r w:rsidR="00A9592B">
        <w:t>členů</w:t>
      </w:r>
      <w:r w:rsidRPr="00655B0B">
        <w:t xml:space="preserve"> těch</w:t>
      </w:r>
      <w:r w:rsidR="00BD41B3">
        <w:t xml:space="preserve">to odborných orgánů na </w:t>
      </w:r>
      <w:r w:rsidRPr="00655B0B">
        <w:t xml:space="preserve">odchylky projektů </w:t>
      </w:r>
      <w:r w:rsidR="00F20AEE" w:rsidRPr="00655B0B">
        <w:t xml:space="preserve">od </w:t>
      </w:r>
      <w:r w:rsidRPr="00655B0B">
        <w:t>zadávací</w:t>
      </w:r>
      <w:r w:rsidR="00F20AEE" w:rsidRPr="00655B0B">
        <w:t>ch</w:t>
      </w:r>
      <w:r w:rsidRPr="00655B0B">
        <w:t xml:space="preserve"> dokumentac</w:t>
      </w:r>
      <w:r w:rsidR="00F20AEE" w:rsidRPr="00655B0B">
        <w:t>í</w:t>
      </w:r>
      <w:r w:rsidRPr="00655B0B">
        <w:t>, ale i</w:t>
      </w:r>
      <w:r w:rsidR="000A5F6B">
        <w:t> </w:t>
      </w:r>
      <w:r w:rsidRPr="00655B0B">
        <w:t xml:space="preserve">na chyby, omyly či nedostatky, které se </w:t>
      </w:r>
      <w:r w:rsidR="002C5236" w:rsidRPr="00655B0B">
        <w:t xml:space="preserve">v minulosti </w:t>
      </w:r>
      <w:r w:rsidRPr="00655B0B">
        <w:t xml:space="preserve">vyskytovaly při hodnocení </w:t>
      </w:r>
      <w:r w:rsidR="002C5236" w:rsidRPr="00655B0B">
        <w:t>navrhovaných i</w:t>
      </w:r>
      <w:r w:rsidR="00942E25">
        <w:t> </w:t>
      </w:r>
      <w:r w:rsidR="002C5236" w:rsidRPr="00655B0B">
        <w:t>řešených</w:t>
      </w:r>
      <w:r w:rsidRPr="00655B0B">
        <w:t xml:space="preserve"> projektů</w:t>
      </w:r>
      <w:r w:rsidR="00B4594F">
        <w:t>. Zvýšený důraz byl přitom kladen</w:t>
      </w:r>
      <w:r w:rsidR="008D3170">
        <w:t xml:space="preserve"> na zjišťování</w:t>
      </w:r>
      <w:r w:rsidR="00655B0B">
        <w:t xml:space="preserve"> nedostatků</w:t>
      </w:r>
      <w:r w:rsidRPr="00655B0B">
        <w:t xml:space="preserve"> </w:t>
      </w:r>
      <w:r w:rsidR="002C5236" w:rsidRPr="00655B0B">
        <w:t xml:space="preserve">při čerpání </w:t>
      </w:r>
      <w:r w:rsidRPr="00655B0B">
        <w:t xml:space="preserve">přidělených finančních prostředků. </w:t>
      </w:r>
    </w:p>
    <w:p w:rsidR="00666256" w:rsidRPr="00655B0B" w:rsidRDefault="00A75CF1" w:rsidP="00666256">
      <w:pPr>
        <w:spacing w:after="160"/>
        <w:ind w:firstLine="709"/>
      </w:pPr>
      <w:r>
        <w:t xml:space="preserve">Ve všech třech výše uvedených fázích hodnocení </w:t>
      </w:r>
      <w:r w:rsidR="00666256" w:rsidRPr="00655B0B">
        <w:t xml:space="preserve">bylo členy KR fyzicky </w:t>
      </w:r>
      <w:r>
        <w:t xml:space="preserve">celkem </w:t>
      </w:r>
      <w:r w:rsidR="003D0FB6">
        <w:t xml:space="preserve">provedeno 70 </w:t>
      </w:r>
      <w:r w:rsidR="00666256" w:rsidRPr="00655B0B">
        <w:t xml:space="preserve">kontrol na zasedání odborných panelů a oborových komisí. </w:t>
      </w:r>
      <w:r w:rsidR="00666256">
        <w:lastRenderedPageBreak/>
        <w:t>Nejdůležitější skutečnosti</w:t>
      </w:r>
      <w:r w:rsidR="00666256" w:rsidRPr="00655B0B">
        <w:t xml:space="preserve"> získané</w:t>
      </w:r>
      <w:r w:rsidR="00666256">
        <w:t xml:space="preserve"> z těchto kontrol pak byly </w:t>
      </w:r>
      <w:r w:rsidR="00666256" w:rsidRPr="00655B0B">
        <w:t xml:space="preserve">hodnoceny </w:t>
      </w:r>
      <w:r w:rsidR="00666256">
        <w:t xml:space="preserve">vždy </w:t>
      </w:r>
      <w:r w:rsidR="00666256" w:rsidRPr="00655B0B">
        <w:t xml:space="preserve">na následujícím zasedání KR a </w:t>
      </w:r>
      <w:r w:rsidR="00666256">
        <w:t>se shrnutím výsledků kontrolní činnosti</w:t>
      </w:r>
      <w:r w:rsidR="00666256" w:rsidRPr="00655B0B">
        <w:t xml:space="preserve"> bylo pravidelně seznamováno předsednictvo GA ČR.</w:t>
      </w:r>
    </w:p>
    <w:p w:rsidR="00BF18EF" w:rsidRPr="00FB03C7" w:rsidRDefault="00C923D9" w:rsidP="00C923D9">
      <w:pPr>
        <w:pStyle w:val="Odstavecseseznamem"/>
        <w:numPr>
          <w:ilvl w:val="0"/>
          <w:numId w:val="19"/>
        </w:numPr>
        <w:spacing w:after="160"/>
        <w:ind w:left="426"/>
        <w:rPr>
          <w:b/>
        </w:rPr>
      </w:pPr>
      <w:r w:rsidRPr="00FB03C7">
        <w:rPr>
          <w:b/>
        </w:rPr>
        <w:t>Hodnocení čerpání finančních prostředků poskytnutých příjemcům na řešení projektů</w:t>
      </w:r>
    </w:p>
    <w:p w:rsidR="001B416E" w:rsidRPr="00655B0B" w:rsidRDefault="009214D2" w:rsidP="00655B0B">
      <w:pPr>
        <w:spacing w:after="120"/>
        <w:ind w:firstLine="709"/>
      </w:pPr>
      <w:r w:rsidRPr="00655B0B">
        <w:t xml:space="preserve">V uplynulém období KR úzce spolupracovala s </w:t>
      </w:r>
      <w:r w:rsidR="00494F1B" w:rsidRPr="00655B0B">
        <w:t>úsekem kontroly Kanceláře</w:t>
      </w:r>
      <w:r w:rsidR="001B416E" w:rsidRPr="00655B0B">
        <w:t xml:space="preserve"> GA</w:t>
      </w:r>
      <w:r w:rsidR="000A5F6B">
        <w:t> </w:t>
      </w:r>
      <w:r w:rsidR="001B416E" w:rsidRPr="00655B0B">
        <w:t>ČR</w:t>
      </w:r>
      <w:r w:rsidRPr="00655B0B">
        <w:t xml:space="preserve"> při kontrolách čerpání finančních prost</w:t>
      </w:r>
      <w:r w:rsidR="000E5968">
        <w:t>ředků poskytnutých příjemcům na </w:t>
      </w:r>
      <w:r w:rsidRPr="00655B0B">
        <w:t>řešení projektů</w:t>
      </w:r>
      <w:r w:rsidR="001B416E" w:rsidRPr="00655B0B">
        <w:t xml:space="preserve">. </w:t>
      </w:r>
      <w:r w:rsidR="00C923D9">
        <w:t>Většina kontrol probíhala</w:t>
      </w:r>
      <w:r w:rsidR="001B416E" w:rsidRPr="00655B0B">
        <w:t xml:space="preserve"> </w:t>
      </w:r>
      <w:r w:rsidRPr="00655B0B">
        <w:t xml:space="preserve">podle </w:t>
      </w:r>
      <w:r w:rsidR="00C923D9">
        <w:t xml:space="preserve">předem schváleného plánu kontrol. Další část projektů pak </w:t>
      </w:r>
      <w:r w:rsidR="00784EF5">
        <w:t xml:space="preserve">byla kontrolována </w:t>
      </w:r>
      <w:r w:rsidR="000E5968">
        <w:t>na </w:t>
      </w:r>
      <w:r w:rsidR="001B416E" w:rsidRPr="00655B0B">
        <w:t>základě požadavků KR</w:t>
      </w:r>
      <w:r w:rsidRPr="00655B0B">
        <w:t>,</w:t>
      </w:r>
      <w:r w:rsidR="001B416E" w:rsidRPr="00655B0B">
        <w:t xml:space="preserve"> odborných panelů</w:t>
      </w:r>
      <w:r w:rsidR="00655B0B">
        <w:t xml:space="preserve"> </w:t>
      </w:r>
      <w:r w:rsidRPr="00655B0B">
        <w:t>a</w:t>
      </w:r>
      <w:r w:rsidR="00E739F2" w:rsidRPr="00655B0B">
        <w:t> </w:t>
      </w:r>
      <w:r w:rsidR="001B416E" w:rsidRPr="00655B0B">
        <w:t>oborových komisí</w:t>
      </w:r>
      <w:r w:rsidRPr="00655B0B">
        <w:t>.</w:t>
      </w:r>
      <w:r w:rsidR="001B416E" w:rsidRPr="00655B0B">
        <w:t xml:space="preserve"> Všechny kontroly proběhly </w:t>
      </w:r>
      <w:r w:rsidRPr="00655B0B">
        <w:t xml:space="preserve">formou veřejnosprávní kontroly </w:t>
      </w:r>
      <w:r w:rsidR="001B416E" w:rsidRPr="00655B0B">
        <w:t>na místě.</w:t>
      </w:r>
      <w:r w:rsidR="00C923D9">
        <w:t xml:space="preserve"> Za uplynulých </w:t>
      </w:r>
      <w:r w:rsidR="00E462C8">
        <w:t>dvanáct</w:t>
      </w:r>
      <w:r w:rsidR="00C923D9">
        <w:t xml:space="preserve"> měsíců</w:t>
      </w:r>
      <w:r w:rsidR="00AB4CB9" w:rsidRPr="00655B0B">
        <w:t xml:space="preserve"> byl</w:t>
      </w:r>
      <w:r w:rsidR="00C923D9">
        <w:t>y</w:t>
      </w:r>
      <w:r w:rsidR="00AB4CB9" w:rsidRPr="00655B0B">
        <w:t xml:space="preserve"> zkontrolován</w:t>
      </w:r>
      <w:r w:rsidR="006B4CAA">
        <w:t>o</w:t>
      </w:r>
      <w:r w:rsidR="00AB4CB9" w:rsidRPr="00655B0B">
        <w:t xml:space="preserve"> celkem </w:t>
      </w:r>
      <w:r w:rsidR="00B54964" w:rsidRPr="00B54964">
        <w:t>135</w:t>
      </w:r>
      <w:r w:rsidR="00FB03C7">
        <w:t xml:space="preserve"> </w:t>
      </w:r>
      <w:r w:rsidR="00AB4CB9" w:rsidRPr="00655B0B">
        <w:t>grantov</w:t>
      </w:r>
      <w:r w:rsidR="006B4CAA">
        <w:t>ých</w:t>
      </w:r>
      <w:r w:rsidR="00AB4CB9" w:rsidRPr="00655B0B">
        <w:t xml:space="preserve"> projekt</w:t>
      </w:r>
      <w:r w:rsidR="006B4CAA">
        <w:t>ů</w:t>
      </w:r>
      <w:r w:rsidR="00AB4CB9" w:rsidRPr="00655B0B">
        <w:t xml:space="preserve"> u následujících příjemců </w:t>
      </w:r>
      <w:r w:rsidR="00AB4CB9" w:rsidRPr="00E462C8">
        <w:t>(</w:t>
      </w:r>
      <w:r w:rsidR="00E462C8" w:rsidRPr="00E462C8">
        <w:t>20</w:t>
      </w:r>
      <w:r w:rsidR="0092027C" w:rsidRPr="00E462C8">
        <w:t xml:space="preserve"> institucí</w:t>
      </w:r>
      <w:r w:rsidR="00AB4CB9" w:rsidRPr="00655B0B">
        <w:t>):</w:t>
      </w:r>
    </w:p>
    <w:p w:rsidR="00660809" w:rsidRDefault="00660809" w:rsidP="00B54964">
      <w:pPr>
        <w:pStyle w:val="Odstavecseseznamem"/>
        <w:numPr>
          <w:ilvl w:val="0"/>
          <w:numId w:val="19"/>
        </w:numPr>
        <w:spacing w:after="120"/>
      </w:pPr>
      <w:r>
        <w:t>Vysoká škola chemicko-technologická v Praze</w:t>
      </w:r>
      <w:r>
        <w:tab/>
      </w:r>
      <w:r>
        <w:tab/>
      </w:r>
      <w:r>
        <w:tab/>
      </w:r>
      <w:r w:rsidR="0027390E">
        <w:tab/>
      </w:r>
      <w:r>
        <w:t>22 projektů</w:t>
      </w:r>
    </w:p>
    <w:p w:rsidR="00660809" w:rsidRDefault="00660809" w:rsidP="00B54964">
      <w:pPr>
        <w:pStyle w:val="Odstavecseseznamem"/>
        <w:numPr>
          <w:ilvl w:val="0"/>
          <w:numId w:val="19"/>
        </w:numPr>
        <w:spacing w:after="120"/>
      </w:pPr>
      <w:r w:rsidRPr="004C61F2">
        <w:t>Psychologický ústav AV ČR, v.v.i.</w:t>
      </w:r>
      <w:r>
        <w:tab/>
      </w:r>
      <w:r>
        <w:tab/>
      </w:r>
      <w:r>
        <w:tab/>
      </w:r>
      <w:r>
        <w:tab/>
      </w:r>
      <w:r>
        <w:tab/>
        <w:t>10 projektů</w:t>
      </w:r>
    </w:p>
    <w:p w:rsidR="00660809" w:rsidRDefault="00660809" w:rsidP="00B54964">
      <w:pPr>
        <w:pStyle w:val="Odstavecseseznamem"/>
        <w:numPr>
          <w:ilvl w:val="0"/>
          <w:numId w:val="19"/>
        </w:numPr>
        <w:spacing w:after="120"/>
      </w:pPr>
      <w:r w:rsidRPr="004C61F2">
        <w:t>Ústav biologie obratlovců AV ČR, v.v.i.</w:t>
      </w:r>
      <w:r>
        <w:tab/>
      </w:r>
      <w:r>
        <w:tab/>
      </w:r>
      <w:r>
        <w:tab/>
      </w:r>
      <w:r>
        <w:tab/>
      </w:r>
      <w:r>
        <w:tab/>
        <w:t>11 projektů</w:t>
      </w:r>
    </w:p>
    <w:p w:rsidR="00660809" w:rsidRDefault="00660809" w:rsidP="00B54964">
      <w:pPr>
        <w:pStyle w:val="Odstavecseseznamem"/>
        <w:numPr>
          <w:ilvl w:val="0"/>
          <w:numId w:val="19"/>
        </w:numPr>
        <w:spacing w:after="120"/>
      </w:pPr>
      <w:r w:rsidRPr="004C61F2">
        <w:t>Vysoké učení technické v</w:t>
      </w:r>
      <w:r>
        <w:t> </w:t>
      </w:r>
      <w:r w:rsidRPr="004C61F2">
        <w:t>Brně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 projekty</w:t>
      </w:r>
    </w:p>
    <w:p w:rsidR="00660809" w:rsidRDefault="00660809" w:rsidP="00B54964">
      <w:pPr>
        <w:pStyle w:val="Odstavecseseznamem"/>
        <w:numPr>
          <w:ilvl w:val="0"/>
          <w:numId w:val="19"/>
        </w:numPr>
        <w:spacing w:after="120"/>
      </w:pPr>
      <w:r w:rsidRPr="004C61F2">
        <w:t>Masarykova univerzita</w:t>
      </w:r>
      <w:r>
        <w:t xml:space="preserve"> v Brně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 projekt</w:t>
      </w:r>
    </w:p>
    <w:p w:rsidR="00660809" w:rsidRDefault="00660809" w:rsidP="00B54964">
      <w:pPr>
        <w:pStyle w:val="Odstavecseseznamem"/>
        <w:numPr>
          <w:ilvl w:val="0"/>
          <w:numId w:val="19"/>
        </w:numPr>
        <w:spacing w:after="120"/>
      </w:pPr>
      <w:r w:rsidRPr="004C61F2">
        <w:t>Výzkumný ústav veterinárního lékařství, v.v.i.</w:t>
      </w:r>
      <w:r>
        <w:tab/>
      </w:r>
      <w:r>
        <w:tab/>
      </w:r>
      <w:r>
        <w:tab/>
      </w:r>
      <w:r>
        <w:tab/>
        <w:t xml:space="preserve">  2 projekty</w:t>
      </w:r>
    </w:p>
    <w:p w:rsidR="00660809" w:rsidRDefault="00660809" w:rsidP="00B54964">
      <w:pPr>
        <w:pStyle w:val="Odstavecseseznamem"/>
        <w:numPr>
          <w:ilvl w:val="0"/>
          <w:numId w:val="19"/>
        </w:numPr>
        <w:spacing w:after="120"/>
      </w:pPr>
      <w:r w:rsidRPr="004C61F2">
        <w:t>Biofyzikální ústav AV ČR, v.v.i.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 projekt</w:t>
      </w:r>
    </w:p>
    <w:p w:rsidR="00660809" w:rsidRDefault="00660809" w:rsidP="00B54964">
      <w:pPr>
        <w:pStyle w:val="Odstavecseseznamem"/>
        <w:numPr>
          <w:ilvl w:val="0"/>
          <w:numId w:val="19"/>
        </w:numPr>
        <w:spacing w:after="120"/>
      </w:pPr>
      <w:r w:rsidRPr="004C61F2">
        <w:t>Mendelova univerzita v</w:t>
      </w:r>
      <w:r>
        <w:t> </w:t>
      </w:r>
      <w:r w:rsidRPr="004C61F2">
        <w:t>Brně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 projekt</w:t>
      </w:r>
    </w:p>
    <w:p w:rsidR="00660809" w:rsidRDefault="00660809" w:rsidP="00B54964">
      <w:pPr>
        <w:pStyle w:val="Odstavecseseznamem"/>
        <w:numPr>
          <w:ilvl w:val="0"/>
          <w:numId w:val="19"/>
        </w:numPr>
        <w:spacing w:after="120"/>
      </w:pPr>
      <w:r w:rsidRPr="004C61F2">
        <w:t>Česká geologická služba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 projektů</w:t>
      </w:r>
    </w:p>
    <w:p w:rsidR="009E0479" w:rsidRDefault="009E0479" w:rsidP="00B54964">
      <w:pPr>
        <w:pStyle w:val="Odstavecseseznamem"/>
        <w:numPr>
          <w:ilvl w:val="0"/>
          <w:numId w:val="19"/>
        </w:numPr>
        <w:spacing w:after="120"/>
      </w:pPr>
      <w:r>
        <w:t>Vysoká škola finanční a správní, z.ú.                                                 3 projekty</w:t>
      </w:r>
    </w:p>
    <w:p w:rsidR="009E0479" w:rsidRDefault="00B54964" w:rsidP="00B54964">
      <w:pPr>
        <w:pStyle w:val="Odstavecseseznamem"/>
        <w:numPr>
          <w:ilvl w:val="0"/>
          <w:numId w:val="19"/>
        </w:numPr>
        <w:spacing w:after="120"/>
      </w:pPr>
      <w:r>
        <w:t>Národní galerie v Praze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E0479">
        <w:t>10 projektů</w:t>
      </w:r>
    </w:p>
    <w:p w:rsidR="009E0479" w:rsidRDefault="009E0479" w:rsidP="00B54964">
      <w:pPr>
        <w:pStyle w:val="Odstavecseseznamem"/>
        <w:numPr>
          <w:ilvl w:val="0"/>
          <w:numId w:val="19"/>
        </w:numPr>
        <w:spacing w:after="120"/>
      </w:pPr>
      <w:r>
        <w:t>Um</w:t>
      </w:r>
      <w:r w:rsidR="00B54964">
        <w:t>ěleckoprůmyslové muzeum v Praze</w:t>
      </w:r>
      <w:r w:rsidR="00B54964">
        <w:tab/>
      </w:r>
      <w:r w:rsidR="00B54964">
        <w:tab/>
      </w:r>
      <w:r w:rsidR="00B54964">
        <w:tab/>
      </w:r>
      <w:r w:rsidR="00B54964">
        <w:tab/>
      </w:r>
      <w:r w:rsidR="00B54964">
        <w:tab/>
        <w:t xml:space="preserve">  </w:t>
      </w:r>
      <w:r>
        <w:t>1 projekt</w:t>
      </w:r>
    </w:p>
    <w:p w:rsidR="009E0479" w:rsidRDefault="009E0479" w:rsidP="00B54964">
      <w:pPr>
        <w:pStyle w:val="Odstavecseseznamem"/>
        <w:numPr>
          <w:ilvl w:val="0"/>
          <w:numId w:val="19"/>
        </w:numPr>
        <w:spacing w:after="120"/>
      </w:pPr>
      <w:r>
        <w:t>Technická univerzita v</w:t>
      </w:r>
      <w:r w:rsidR="00B54964">
        <w:t> </w:t>
      </w:r>
      <w:r>
        <w:t>Liberci</w:t>
      </w:r>
      <w:r w:rsidR="00B54964">
        <w:tab/>
      </w:r>
      <w:r w:rsidR="00B54964">
        <w:tab/>
      </w:r>
      <w:r w:rsidR="00B54964">
        <w:tab/>
      </w:r>
      <w:r w:rsidR="00B54964">
        <w:tab/>
      </w:r>
      <w:r w:rsidR="00B54964">
        <w:tab/>
      </w:r>
      <w:r w:rsidR="00B54964">
        <w:tab/>
        <w:t xml:space="preserve">  </w:t>
      </w:r>
      <w:r>
        <w:t>5 projektů</w:t>
      </w:r>
    </w:p>
    <w:p w:rsidR="009E0479" w:rsidRDefault="009E0479" w:rsidP="00B54964">
      <w:pPr>
        <w:pStyle w:val="Odstavecseseznamem"/>
        <w:numPr>
          <w:ilvl w:val="0"/>
          <w:numId w:val="19"/>
        </w:numPr>
        <w:spacing w:after="120"/>
      </w:pPr>
      <w:r>
        <w:t>České vysoké učení technické v Praze, Fakult</w:t>
      </w:r>
      <w:r w:rsidR="00B54964">
        <w:t>a stavební</w:t>
      </w:r>
      <w:r w:rsidR="00B54964">
        <w:tab/>
      </w:r>
      <w:r w:rsidR="00B54964">
        <w:tab/>
      </w:r>
      <w:r>
        <w:t>35 projektů</w:t>
      </w:r>
    </w:p>
    <w:p w:rsidR="009E0479" w:rsidRDefault="00776917" w:rsidP="00B54964">
      <w:pPr>
        <w:pStyle w:val="Odstavecseseznamem"/>
        <w:numPr>
          <w:ilvl w:val="0"/>
          <w:numId w:val="19"/>
        </w:numPr>
        <w:spacing w:after="120"/>
      </w:pPr>
      <w:r>
        <w:t>Jihočeská univerzita v Českých Bu</w:t>
      </w:r>
      <w:r w:rsidR="00B54964">
        <w:t>dějovicích, Teologická fakulta</w:t>
      </w:r>
      <w:r w:rsidR="00B54964">
        <w:tab/>
        <w:t xml:space="preserve">  </w:t>
      </w:r>
      <w:r>
        <w:t>3 projekty</w:t>
      </w:r>
    </w:p>
    <w:p w:rsidR="00776917" w:rsidRDefault="00776917" w:rsidP="00B54964">
      <w:pPr>
        <w:pStyle w:val="Odstavecseseznamem"/>
        <w:numPr>
          <w:ilvl w:val="0"/>
          <w:numId w:val="19"/>
        </w:numPr>
        <w:spacing w:after="120"/>
      </w:pPr>
      <w:r>
        <w:t>Vysoká škola evropských a regionálních studií</w:t>
      </w:r>
      <w:r w:rsidR="00B54964">
        <w:tab/>
      </w:r>
      <w:r w:rsidR="00B54964">
        <w:tab/>
      </w:r>
      <w:r w:rsidR="00B54964">
        <w:tab/>
      </w:r>
      <w:r w:rsidR="00B54964">
        <w:tab/>
        <w:t xml:space="preserve">  </w:t>
      </w:r>
      <w:r>
        <w:t>1 projekt</w:t>
      </w:r>
    </w:p>
    <w:p w:rsidR="00776917" w:rsidRDefault="00776917" w:rsidP="00B54964">
      <w:pPr>
        <w:pStyle w:val="Odstavecseseznamem"/>
        <w:numPr>
          <w:ilvl w:val="0"/>
          <w:numId w:val="19"/>
        </w:numPr>
        <w:spacing w:after="120"/>
      </w:pPr>
      <w:r>
        <w:t xml:space="preserve">Biologické centrum AV ČR, v.v.i..                                                    </w:t>
      </w:r>
      <w:r w:rsidR="00B54964">
        <w:t xml:space="preserve">  </w:t>
      </w:r>
      <w:r>
        <w:t xml:space="preserve"> 2 projekty</w:t>
      </w:r>
    </w:p>
    <w:p w:rsidR="00776917" w:rsidRPr="00655B0B" w:rsidRDefault="00776917" w:rsidP="00B54964">
      <w:pPr>
        <w:pStyle w:val="Odstavecseseznamem"/>
        <w:numPr>
          <w:ilvl w:val="0"/>
          <w:numId w:val="19"/>
        </w:numPr>
        <w:spacing w:after="120"/>
      </w:pPr>
      <w:r>
        <w:t>Univerzita Palackého v Olomouci, Lékařská fakulta</w:t>
      </w:r>
      <w:r w:rsidR="00B54964">
        <w:tab/>
      </w:r>
      <w:r w:rsidR="00B54964">
        <w:tab/>
      </w:r>
      <w:r w:rsidR="00B54964">
        <w:tab/>
      </w:r>
      <w:r>
        <w:t>10 projektů</w:t>
      </w:r>
    </w:p>
    <w:p w:rsidR="000E59CB" w:rsidRDefault="000E59CB" w:rsidP="00E86AF8">
      <w:pPr>
        <w:pStyle w:val="Nadpis1"/>
      </w:pPr>
    </w:p>
    <w:p w:rsidR="00E86AF8" w:rsidRPr="00655B0B" w:rsidRDefault="00A82DB6" w:rsidP="00E86AF8">
      <w:pPr>
        <w:pStyle w:val="Nadpis1"/>
      </w:pPr>
      <w:r>
        <w:t>Poznatky z působení</w:t>
      </w:r>
      <w:r w:rsidR="00E86AF8" w:rsidRPr="00655B0B">
        <w:t xml:space="preserve"> KR</w:t>
      </w:r>
      <w:r>
        <w:t xml:space="preserve"> v průběhu kontrolní činnosti a spolupráce s předsednictvem GA ČR</w:t>
      </w:r>
    </w:p>
    <w:p w:rsidR="00E86AF8" w:rsidRPr="00655B0B" w:rsidRDefault="00855F40" w:rsidP="00F52C6B">
      <w:pPr>
        <w:ind w:firstLine="709"/>
        <w:rPr>
          <w:rFonts w:eastAsia="Arial"/>
        </w:rPr>
      </w:pPr>
      <w:r>
        <w:t>O</w:t>
      </w:r>
      <w:r w:rsidR="00E86AF8" w:rsidRPr="00655B0B">
        <w:t xml:space="preserve"> kontrolní činnosti </w:t>
      </w:r>
      <w:r>
        <w:t>a spolupráci</w:t>
      </w:r>
      <w:r w:rsidR="00A82DB6">
        <w:t xml:space="preserve"> s předsednictvem GA ČR </w:t>
      </w:r>
      <w:r>
        <w:t>je možné konstatovat</w:t>
      </w:r>
      <w:r w:rsidR="003E4B99">
        <w:t>:</w:t>
      </w:r>
    </w:p>
    <w:p w:rsidR="00772E21" w:rsidRDefault="00784EF5" w:rsidP="00772E21">
      <w:pPr>
        <w:pStyle w:val="Odstavecseseznamem"/>
        <w:numPr>
          <w:ilvl w:val="0"/>
          <w:numId w:val="13"/>
        </w:numPr>
        <w:spacing w:before="240" w:after="0"/>
        <w:ind w:left="714" w:hanging="357"/>
      </w:pPr>
      <w:r>
        <w:t>Významným způsobem se zlepšila</w:t>
      </w:r>
      <w:r w:rsidR="00772E21">
        <w:t xml:space="preserve"> komunikace mezi GAČR </w:t>
      </w:r>
      <w:r>
        <w:t>a</w:t>
      </w:r>
      <w:r w:rsidR="00942E25">
        <w:t> </w:t>
      </w:r>
      <w:r>
        <w:t>odbornou veřejností. Příkladem může být setkání organizované Radou Vysokých škol s názvem „</w:t>
      </w:r>
      <w:r w:rsidRPr="006B4CAA">
        <w:rPr>
          <w:i/>
        </w:rPr>
        <w:t>Role GA ČR ve financování základního výzkumu II</w:t>
      </w:r>
      <w:r>
        <w:t xml:space="preserve">“, které proběhlo </w:t>
      </w:r>
      <w:r w:rsidRPr="00784EF5">
        <w:t>11. 2. 2016</w:t>
      </w:r>
      <w:r>
        <w:t>, za účasti předsednictva, členů vědecké rady a</w:t>
      </w:r>
      <w:r w:rsidR="00942E25">
        <w:t> </w:t>
      </w:r>
      <w:r>
        <w:t>kontrolní rady GA ČR v Modré posluchárně Karolina</w:t>
      </w:r>
      <w:r w:rsidR="00A75CF1">
        <w:t xml:space="preserve"> UK Praha</w:t>
      </w:r>
      <w:r w:rsidR="008D3170">
        <w:t xml:space="preserve">. Jsme přesvědčeni, že vyšší důraz na otevřenost a probíhající diskuse mezi GA ČR na straně jedné a Akademií věd ČR, vysokými školami a ostatními příjemci grantových prostředků </w:t>
      </w:r>
      <w:r w:rsidR="00A75CF1">
        <w:t xml:space="preserve">na straně druhé podstatným způsobem </w:t>
      </w:r>
      <w:r w:rsidR="008D3170">
        <w:t>snižuje rozpory při udělování a hodnocení grantů. Je pochopitelné, že vzhledem k tomu, že téměř tři čtvrtiny navrhovatelů grant</w:t>
      </w:r>
      <w:r w:rsidR="00BD41B3">
        <w:t>ových projektů nejsou uspokojeny</w:t>
      </w:r>
      <w:r w:rsidR="008D3170">
        <w:t>, bude k určitým rozporům mezi neúspěšnými navrhovateli a GA ČR docházet vždy. Nicméně</w:t>
      </w:r>
      <w:r w:rsidR="006B2BB5">
        <w:t>,</w:t>
      </w:r>
      <w:r w:rsidR="008D3170">
        <w:t xml:space="preserve"> jak vyplynulo z vystoupení zástupců Akademické rady AV ČR, Konference rektorů a </w:t>
      </w:r>
      <w:r w:rsidR="006B2BB5">
        <w:t>Rady vysokých škol, která zazně</w:t>
      </w:r>
      <w:r w:rsidR="00BD41B3">
        <w:t>la při diskuzi na tomto setkání</w:t>
      </w:r>
      <w:r w:rsidR="006B2BB5">
        <w:t>, je GA ČR považována za respektov</w:t>
      </w:r>
      <w:r w:rsidR="006B4CAA">
        <w:t>aného poskytovatele s vysokou mí</w:t>
      </w:r>
      <w:r w:rsidR="006B2BB5">
        <w:t>rou objektivnosti při rozdělování finančních prostředků.</w:t>
      </w:r>
      <w:r w:rsidR="0009058A">
        <w:t xml:space="preserve"> Komunikaci GAČR směrem k odborné veřejnosti posiluje jako další příklad každoroční vyhlášení velmi prestižního ocenění – Ceny předsedy GAČR za daný rok. Cena předsedy GAČR byla udělena 27. 9. 2016 a slavnostního předávání se zúčas</w:t>
      </w:r>
      <w:r w:rsidR="00E462C8">
        <w:t>t</w:t>
      </w:r>
      <w:r w:rsidR="0009058A">
        <w:t>nili vedoucí představitelé ústavů Akademie věd, vedení vysokých škol, zástupci veřejného i politického života. Potvrdilo se mimo jiné, že GAČR je dnes opravdu uznávanou institucí, která se těší vysokému respektu odborníků.</w:t>
      </w:r>
      <w:r w:rsidR="00F82DF5">
        <w:t xml:space="preserve"> Otevřený dialog s odbornou veřejností probíhá i prostřednictvím webových stránek </w:t>
      </w:r>
      <w:hyperlink r:id="rId8" w:history="1">
        <w:r w:rsidR="00F82DF5" w:rsidRPr="002A365B">
          <w:rPr>
            <w:rStyle w:val="Hypertextovodkaz"/>
          </w:rPr>
          <w:t>www.gacr.cz</w:t>
        </w:r>
      </w:hyperlink>
      <w:r w:rsidR="00F82DF5">
        <w:t xml:space="preserve"> a sociálních sítí, pro vědce i administrativní pracovníky provozuje GAČR asistenční službu helpdesk, na kterou jsou směřovány dotazy – nejčastější z nich se pak objevují na webových stránkách GAČR.</w:t>
      </w:r>
    </w:p>
    <w:p w:rsidR="00666256" w:rsidRDefault="00666256" w:rsidP="00666256">
      <w:pPr>
        <w:spacing w:before="240" w:after="0"/>
      </w:pPr>
    </w:p>
    <w:p w:rsidR="002D63D6" w:rsidRDefault="002D63D6" w:rsidP="00C26C24">
      <w:pPr>
        <w:pStyle w:val="Odstavecseseznamem"/>
        <w:numPr>
          <w:ilvl w:val="0"/>
          <w:numId w:val="13"/>
        </w:numPr>
        <w:spacing w:after="240"/>
        <w:ind w:left="714" w:hanging="357"/>
      </w:pPr>
      <w:r>
        <w:t xml:space="preserve">Pro zlepšení komunikace </w:t>
      </w:r>
      <w:r w:rsidR="006B2BB5">
        <w:t xml:space="preserve">uvnitř GA ČR významnou měrou přispělo i společné zasedání KR a předsednictva GA ČR, které se uskutečnilo na začátku března 2016. Na společném zasedání </w:t>
      </w:r>
      <w:r w:rsidR="006B4CAA">
        <w:t>KR informovala</w:t>
      </w:r>
      <w:r w:rsidR="006B2BB5">
        <w:t xml:space="preserve"> členy předsednictva </w:t>
      </w:r>
      <w:r w:rsidR="003668C6">
        <w:t xml:space="preserve">GA ČR </w:t>
      </w:r>
      <w:r w:rsidR="006B2BB5">
        <w:t>o</w:t>
      </w:r>
      <w:r w:rsidR="003668C6">
        <w:t> </w:t>
      </w:r>
      <w:r w:rsidR="00C26C24">
        <w:t xml:space="preserve">našem pohledu na systém výběru </w:t>
      </w:r>
      <w:r w:rsidR="00A75CF1">
        <w:t>návrhů projektů,</w:t>
      </w:r>
      <w:r w:rsidR="00C26C24">
        <w:t xml:space="preserve"> hodnocení grantových projektů</w:t>
      </w:r>
      <w:r w:rsidR="00A75CF1">
        <w:t>,</w:t>
      </w:r>
      <w:r w:rsidR="00C26C24">
        <w:t xml:space="preserve"> ale i </w:t>
      </w:r>
      <w:r w:rsidR="006B2BB5">
        <w:t>problémech a hrozbách, k</w:t>
      </w:r>
      <w:r w:rsidR="00C26C24">
        <w:t>teré nás mohou čekat v budoucnosti.</w:t>
      </w:r>
    </w:p>
    <w:p w:rsidR="00C26C24" w:rsidRDefault="00C26C24" w:rsidP="00E462C8">
      <w:pPr>
        <w:pStyle w:val="Odstavecseseznamem"/>
        <w:numPr>
          <w:ilvl w:val="0"/>
          <w:numId w:val="25"/>
        </w:numPr>
        <w:spacing w:before="120"/>
        <w:contextualSpacing w:val="0"/>
      </w:pPr>
      <w:r>
        <w:lastRenderedPageBreak/>
        <w:t xml:space="preserve">KR upozornila, že vzhledem k tomu, že </w:t>
      </w:r>
      <w:r w:rsidR="006B4CAA" w:rsidRPr="00673C3B">
        <w:t>European Research Council</w:t>
      </w:r>
      <w:r w:rsidR="006B4CAA">
        <w:t xml:space="preserve"> (</w:t>
      </w:r>
      <w:r>
        <w:t>ERC</w:t>
      </w:r>
      <w:r w:rsidR="006B4CAA">
        <w:t>)</w:t>
      </w:r>
      <w:r>
        <w:t xml:space="preserve"> požaduje, aby žadatel o</w:t>
      </w:r>
      <w:r w:rsidR="00942E25">
        <w:t> </w:t>
      </w:r>
      <w:r>
        <w:t>„</w:t>
      </w:r>
      <w:r w:rsidR="006B4CAA">
        <w:rPr>
          <w:i/>
        </w:rPr>
        <w:t>Starting Grant</w:t>
      </w:r>
      <w:r>
        <w:t>“ měl vysoký publikační záznam, ale publikace, které má se svým školi</w:t>
      </w:r>
      <w:r w:rsidR="0009060C">
        <w:t>telem</w:t>
      </w:r>
      <w:r w:rsidR="006B4CAA">
        <w:t>,</w:t>
      </w:r>
      <w:r w:rsidR="0009060C">
        <w:t xml:space="preserve"> se vyškrtávají, je třeba,</w:t>
      </w:r>
      <w:r>
        <w:t xml:space="preserve"> aby mladí vědečtí pracovníci založili svou skupinu a řešili i </w:t>
      </w:r>
      <w:r w:rsidR="003668C6">
        <w:t>nová</w:t>
      </w:r>
      <w:r>
        <w:t xml:space="preserve"> témata. Proběhla diskuse o praxi na jednotlivých pracovištích. </w:t>
      </w:r>
      <w:r w:rsidR="003668C6">
        <w:t>Byly také diskutovány možnosti úprav vyhlášení soutěže na</w:t>
      </w:r>
      <w:r>
        <w:t xml:space="preserve"> juniorské projekty, </w:t>
      </w:r>
      <w:r w:rsidR="00CE5CE2">
        <w:t>která mají</w:t>
      </w:r>
      <w:r>
        <w:t xml:space="preserve"> napomoci k vytvoření nových </w:t>
      </w:r>
      <w:r w:rsidR="003668C6">
        <w:t>pracovních skupin s vysokou měrou inovativnosti</w:t>
      </w:r>
      <w:r>
        <w:t>.</w:t>
      </w:r>
    </w:p>
    <w:p w:rsidR="00C26C24" w:rsidRDefault="0027390E" w:rsidP="00E462C8">
      <w:pPr>
        <w:pStyle w:val="Odstavecseseznamem"/>
        <w:numPr>
          <w:ilvl w:val="0"/>
          <w:numId w:val="25"/>
        </w:numPr>
        <w:spacing w:before="120"/>
        <w:contextualSpacing w:val="0"/>
      </w:pPr>
      <w:r w:rsidRPr="0027390E">
        <w:t>Další diskuse se týkala systému rozdělování finančních prostředků mezi hodnocenými projekty z jedno</w:t>
      </w:r>
      <w:r w:rsidR="00BC0DC6">
        <w:t>tlivých oborových</w:t>
      </w:r>
      <w:r w:rsidRPr="0027390E">
        <w:t xml:space="preserve"> komisí. Předseda GA ČR uvedl, že př</w:t>
      </w:r>
      <w:r w:rsidR="00BC0DC6">
        <w:t xml:space="preserve">edsednictvo rozhoduje o udělení </w:t>
      </w:r>
      <w:r w:rsidRPr="0027390E">
        <w:t>grantů za přítomnosti předsedů oborových komisi. Žádn</w:t>
      </w:r>
      <w:r w:rsidR="00C74004">
        <w:t>ý aritmetický vzorec pro dělení</w:t>
      </w:r>
      <w:r w:rsidRPr="0027390E">
        <w:t xml:space="preserve"> </w:t>
      </w:r>
      <w:r w:rsidR="00C74004">
        <w:t xml:space="preserve">financí </w:t>
      </w:r>
      <w:r w:rsidRPr="0027390E">
        <w:t>není stanoven, nejsou totiž k dispozici objektivní krit</w:t>
      </w:r>
      <w:r w:rsidR="00BC0DC6">
        <w:t>éria pro porovnávání</w:t>
      </w:r>
      <w:r>
        <w:t xml:space="preserve"> kvality ná</w:t>
      </w:r>
      <w:r w:rsidRPr="0027390E">
        <w:t>vrhů v diametrálně odlišnýc</w:t>
      </w:r>
      <w:r w:rsidR="00BC0DC6">
        <w:t>h disciplínách.  V</w:t>
      </w:r>
      <w:r w:rsidR="00C74004">
        <w:t xml:space="preserve">e výsledku se </w:t>
      </w:r>
      <w:r w:rsidR="00BC0DC6">
        <w:t>úspěšnost v </w:t>
      </w:r>
      <w:r w:rsidRPr="0027390E">
        <w:t xml:space="preserve">jednotlivých oborech příliš neliší.  </w:t>
      </w:r>
    </w:p>
    <w:p w:rsidR="00C26C24" w:rsidRDefault="00C26C24" w:rsidP="00E462C8">
      <w:pPr>
        <w:pStyle w:val="Odstavecseseznamem"/>
        <w:numPr>
          <w:ilvl w:val="0"/>
          <w:numId w:val="25"/>
        </w:numPr>
        <w:spacing w:before="120"/>
        <w:contextualSpacing w:val="0"/>
      </w:pPr>
      <w:r>
        <w:t>Byla t</w:t>
      </w:r>
      <w:r w:rsidR="000F1354">
        <w:t xml:space="preserve">aké </w:t>
      </w:r>
      <w:r w:rsidR="003668C6">
        <w:t>probírána</w:t>
      </w:r>
      <w:r w:rsidR="000F1354">
        <w:t xml:space="preserve"> </w:t>
      </w:r>
      <w:r w:rsidR="003668C6">
        <w:t>metodika</w:t>
      </w:r>
      <w:r w:rsidR="000F1354">
        <w:t xml:space="preserve"> výběru členů panelů</w:t>
      </w:r>
      <w:r>
        <w:t xml:space="preserve">.  Ze strany GA ČR je snaha o výběr členů panelu co nejkvalitnějších, ale </w:t>
      </w:r>
      <w:r w:rsidR="003668C6">
        <w:t xml:space="preserve">zůstává skutečností, že </w:t>
      </w:r>
      <w:r w:rsidR="006B4CAA">
        <w:t>Česká republika</w:t>
      </w:r>
      <w:r>
        <w:t xml:space="preserve"> je omezena počtem těchto odborníků </w:t>
      </w:r>
      <w:r w:rsidR="003668C6">
        <w:t>a špičkových pracovišť</w:t>
      </w:r>
      <w:r w:rsidR="00971E25">
        <w:t xml:space="preserve"> v </w:t>
      </w:r>
      <w:r>
        <w:t>jednotlivých oborech. V současné době je vypsána dodatečná výzva k</w:t>
      </w:r>
      <w:r w:rsidR="00971E25">
        <w:t> </w:t>
      </w:r>
      <w:r>
        <w:t>nominacím na kandidáty do některých panelů.</w:t>
      </w:r>
    </w:p>
    <w:p w:rsidR="002D63D6" w:rsidRDefault="00C26C24" w:rsidP="00E462C8">
      <w:pPr>
        <w:pStyle w:val="Odstavecseseznamem"/>
        <w:numPr>
          <w:ilvl w:val="0"/>
          <w:numId w:val="25"/>
        </w:numPr>
        <w:spacing w:before="120"/>
        <w:contextualSpacing w:val="0"/>
      </w:pPr>
      <w:r>
        <w:t xml:space="preserve">Posledním bodem byla diskuse o posudcích zahraničních oponentů.  Kontrolní rada </w:t>
      </w:r>
      <w:r w:rsidR="00BD41B3">
        <w:t xml:space="preserve">se </w:t>
      </w:r>
      <w:r>
        <w:t xml:space="preserve">při řešení stížností v některých případech </w:t>
      </w:r>
      <w:r w:rsidR="00AD716B">
        <w:t xml:space="preserve">setkává </w:t>
      </w:r>
      <w:r>
        <w:t>s</w:t>
      </w:r>
      <w:r w:rsidR="003668C6">
        <w:t> </w:t>
      </w:r>
      <w:r w:rsidR="00AD716B">
        <w:t>nekvalitními posudky. T</w:t>
      </w:r>
      <w:r>
        <w:t xml:space="preserve">yto posudky jsou evidentně </w:t>
      </w:r>
      <w:r w:rsidR="00971E25">
        <w:t>málo podrobné nebo zjevně</w:t>
      </w:r>
      <w:r>
        <w:t xml:space="preserve"> neobjektivní. </w:t>
      </w:r>
      <w:r w:rsidR="00971E25">
        <w:t xml:space="preserve">V </w:t>
      </w:r>
      <w:r w:rsidR="00AD716B">
        <w:t xml:space="preserve">případě </w:t>
      </w:r>
      <w:r w:rsidR="00E67395">
        <w:t>nekval</w:t>
      </w:r>
      <w:r w:rsidR="00AD716B">
        <w:t>itního</w:t>
      </w:r>
      <w:r>
        <w:t xml:space="preserve"> posudku</w:t>
      </w:r>
      <w:r w:rsidR="007B5822">
        <w:t xml:space="preserve"> musí členové hodnoti</w:t>
      </w:r>
      <w:r w:rsidR="00971E25">
        <w:t xml:space="preserve">cích panelů </w:t>
      </w:r>
      <w:r>
        <w:t xml:space="preserve">v protokolu hodnocení </w:t>
      </w:r>
      <w:r w:rsidR="008D1A27">
        <w:t xml:space="preserve">explicitně </w:t>
      </w:r>
      <w:r>
        <w:t xml:space="preserve">napsat, že tento posudek nebrali do úvahy a rozhodovali na základě </w:t>
      </w:r>
      <w:r w:rsidR="008D1A27">
        <w:t xml:space="preserve">dalších posudků, </w:t>
      </w:r>
      <w:r w:rsidR="00971E25">
        <w:t xml:space="preserve">proběhlé diskuse a konečného </w:t>
      </w:r>
      <w:r w:rsidR="008D1A27">
        <w:t xml:space="preserve">hodnocení </w:t>
      </w:r>
      <w:r>
        <w:t>panelu.</w:t>
      </w:r>
      <w:r w:rsidR="008125D8">
        <w:t xml:space="preserve"> Zároveň KR doporučuje, aby byl </w:t>
      </w:r>
      <w:r w:rsidR="00E75690">
        <w:t xml:space="preserve">dále upravován </w:t>
      </w:r>
      <w:r w:rsidR="008125D8">
        <w:t>systém, který by nekvalitní zahraniční oponenty</w:t>
      </w:r>
      <w:r w:rsidR="007D136B">
        <w:t xml:space="preserve"> postupně eliminoval.</w:t>
      </w:r>
    </w:p>
    <w:p w:rsidR="00776917" w:rsidRDefault="00776917" w:rsidP="00776917">
      <w:pPr>
        <w:pStyle w:val="Odstavecseseznamem"/>
      </w:pPr>
    </w:p>
    <w:p w:rsidR="00D128FF" w:rsidRDefault="00776917" w:rsidP="00D128FF">
      <w:pPr>
        <w:pStyle w:val="Odstavecseseznamem"/>
        <w:numPr>
          <w:ilvl w:val="0"/>
          <w:numId w:val="13"/>
        </w:numPr>
        <w:spacing w:after="240"/>
        <w:ind w:left="714" w:hanging="357"/>
      </w:pPr>
      <w:r>
        <w:t xml:space="preserve">Komunikaci mezi KR a Předsednictvem svědčí i vzájemná přítomnost na </w:t>
      </w:r>
      <w:r w:rsidR="00D128FF">
        <w:t xml:space="preserve">svých pravidelných </w:t>
      </w:r>
      <w:r>
        <w:t xml:space="preserve">zasedáních, ať už, jak bylo zmíněno, </w:t>
      </w:r>
      <w:r w:rsidR="00D128FF">
        <w:t>předsedy nebo místopředsedkyně GAČR na zasedáních KR, či přítomnost předsedy KR na zasedáních Předsednictva GAČR. Tato praxe znamená velmi důležitý dialog, který přispívá k zachování tradičně dobrých vztahů navzájem i celkové poslání jak GAČR, tak i úlohy KR v její kontrolní činnosti.</w:t>
      </w:r>
    </w:p>
    <w:p w:rsidR="00E462C8" w:rsidRDefault="00E462C8" w:rsidP="00E462C8">
      <w:pPr>
        <w:pStyle w:val="Odstavecseseznamem"/>
        <w:spacing w:after="240"/>
        <w:ind w:left="714"/>
      </w:pPr>
    </w:p>
    <w:p w:rsidR="00784EF5" w:rsidRDefault="00C26C24" w:rsidP="003E4B99">
      <w:pPr>
        <w:pStyle w:val="Odstavecseseznamem"/>
        <w:numPr>
          <w:ilvl w:val="0"/>
          <w:numId w:val="13"/>
        </w:numPr>
      </w:pPr>
      <w:r>
        <w:lastRenderedPageBreak/>
        <w:t xml:space="preserve">Určité třecí plochy existují také v oblasti </w:t>
      </w:r>
      <w:r w:rsidR="00AE01B9">
        <w:t xml:space="preserve">řešení konfliktu zájmů při posuzovaní návrhů projektů a hodnocení zpráv o řešení. Při zasedání odborných orgánů </w:t>
      </w:r>
      <w:r w:rsidR="00971E25">
        <w:t>je</w:t>
      </w:r>
      <w:r w:rsidR="00AE01B9">
        <w:t xml:space="preserve"> totiž důsledně vyžadováno, aby se členové panelu, kteří mají zaměstnanecký poměr ve stejné instituci jako navrhovatel/spolunavrhovatel nebo řešitel/spoluřešitel</w:t>
      </w:r>
      <w:r w:rsidR="00E75690">
        <w:t>,</w:t>
      </w:r>
      <w:r w:rsidR="00AE01B9">
        <w:t xml:space="preserve"> neúčastnili příslušného jednání. Přitom za stejnou instituci se v případě vysokých škol chápe fakulta a pro AV ČR jednotlivý ústav.  </w:t>
      </w:r>
      <w:r w:rsidR="008D1A27">
        <w:t>V </w:t>
      </w:r>
      <w:r w:rsidR="00AE01B9">
        <w:t>některých vědních oblastech</w:t>
      </w:r>
      <w:r w:rsidR="003A5ADD">
        <w:t xml:space="preserve"> však</w:t>
      </w:r>
      <w:r w:rsidR="008D1A27">
        <w:t xml:space="preserve"> </w:t>
      </w:r>
      <w:r w:rsidR="006B4CAA">
        <w:t>v České republice</w:t>
      </w:r>
      <w:r w:rsidR="008125D8">
        <w:t xml:space="preserve"> </w:t>
      </w:r>
      <w:r w:rsidR="003A5ADD">
        <w:t>existuje</w:t>
      </w:r>
      <w:r w:rsidR="008125D8">
        <w:t xml:space="preserve"> pouze několik </w:t>
      </w:r>
      <w:r w:rsidR="003A5ADD">
        <w:t xml:space="preserve">málo </w:t>
      </w:r>
      <w:r w:rsidR="008125D8">
        <w:t>špičkových pracovišť</w:t>
      </w:r>
      <w:r w:rsidR="008D1A27">
        <w:t xml:space="preserve"> a z těchto pracovišť pak pochází několik členů panelu</w:t>
      </w:r>
      <w:r w:rsidR="003A5ADD">
        <w:t xml:space="preserve">. </w:t>
      </w:r>
      <w:r w:rsidR="00AD716B">
        <w:t xml:space="preserve">Aby došlo k vyloučení možného konfliktu zájmů, </w:t>
      </w:r>
      <w:r w:rsidR="006B4CAA">
        <w:t>je pak</w:t>
      </w:r>
      <w:r w:rsidR="00CE5CE2">
        <w:t xml:space="preserve"> </w:t>
      </w:r>
      <w:r w:rsidR="008125D8">
        <w:t>velká</w:t>
      </w:r>
      <w:r w:rsidR="00AE01B9">
        <w:t xml:space="preserve"> část </w:t>
      </w:r>
      <w:r w:rsidR="008125D8">
        <w:t xml:space="preserve">členů </w:t>
      </w:r>
      <w:r w:rsidR="00AE01B9">
        <w:t>panelu mimo jednací místnost</w:t>
      </w:r>
      <w:r w:rsidR="00AD716B">
        <w:t>,</w:t>
      </w:r>
      <w:r w:rsidR="008D1A27">
        <w:t xml:space="preserve"> na což si někteří členové panelu stěžují</w:t>
      </w:r>
      <w:r w:rsidR="00AE01B9">
        <w:t>.</w:t>
      </w:r>
      <w:r w:rsidR="003E4B99">
        <w:t xml:space="preserve"> </w:t>
      </w:r>
      <w:r w:rsidR="00666256">
        <w:t xml:space="preserve">Nicméně i v těchto případech KR </w:t>
      </w:r>
      <w:r w:rsidR="0009060C">
        <w:t xml:space="preserve">společně s předsednictvem GA ČR vyžaduje, aby </w:t>
      </w:r>
      <w:r w:rsidR="00BD41B3">
        <w:t xml:space="preserve">byla </w:t>
      </w:r>
      <w:r w:rsidR="0009060C">
        <w:t>důsledně dodržována pravidla k zamezení konfliktu zájmů</w:t>
      </w:r>
      <w:r w:rsidR="00666256">
        <w:t xml:space="preserve"> a</w:t>
      </w:r>
      <w:r w:rsidR="00E75690">
        <w:t> </w:t>
      </w:r>
      <w:r w:rsidR="00666256">
        <w:t>nemohlo tak docházet k nežádoucímu ovlivnění objektivnosti soutěže a</w:t>
      </w:r>
      <w:r w:rsidR="00E75690">
        <w:t> </w:t>
      </w:r>
      <w:r w:rsidR="00666256">
        <w:t>hodnocení projektů</w:t>
      </w:r>
      <w:r w:rsidR="0009060C">
        <w:t>.</w:t>
      </w:r>
    </w:p>
    <w:p w:rsidR="00666256" w:rsidRDefault="00666256" w:rsidP="00666256">
      <w:pPr>
        <w:pStyle w:val="Odstavecseseznamem"/>
        <w:ind w:left="714"/>
      </w:pPr>
    </w:p>
    <w:p w:rsidR="00824548" w:rsidRDefault="0009060C" w:rsidP="00824548">
      <w:pPr>
        <w:pStyle w:val="Odstavecseseznamem"/>
        <w:numPr>
          <w:ilvl w:val="0"/>
          <w:numId w:val="13"/>
        </w:numPr>
        <w:ind w:left="714" w:hanging="357"/>
      </w:pPr>
      <w:r>
        <w:t>Pokračuje důsledné využití software</w:t>
      </w:r>
      <w:r w:rsidR="00E86AF8" w:rsidRPr="00655B0B">
        <w:t xml:space="preserve"> SciVal</w:t>
      </w:r>
      <w:r>
        <w:t xml:space="preserve"> pro </w:t>
      </w:r>
      <w:r w:rsidRPr="00655B0B">
        <w:t>výběr zahraničních oponentů návrhů projektů</w:t>
      </w:r>
      <w:r>
        <w:t xml:space="preserve">. </w:t>
      </w:r>
      <w:r w:rsidR="003A5ADD">
        <w:t>B</w:t>
      </w:r>
      <w:r>
        <w:t xml:space="preserve">ylo </w:t>
      </w:r>
      <w:r w:rsidR="003A5ADD">
        <w:t>tak opětovně</w:t>
      </w:r>
      <w:r>
        <w:t xml:space="preserve"> dosaženo toho, že pro téměř všechny projekty byly získány alespoň dva nezávislé zahraniční posudky. Ukazuje se</w:t>
      </w:r>
      <w:r w:rsidR="003A5ADD">
        <w:t xml:space="preserve"> přitom</w:t>
      </w:r>
      <w:r>
        <w:t>, že právě kvalitní zahraniční posudky vedou ke zvýšení</w:t>
      </w:r>
      <w:r w:rsidR="00E86AF8" w:rsidRPr="00655B0B">
        <w:t xml:space="preserve"> transparentnost</w:t>
      </w:r>
      <w:r>
        <w:t xml:space="preserve">i celého výběru. </w:t>
      </w:r>
      <w:r w:rsidR="00E67395">
        <w:t>Jistým p</w:t>
      </w:r>
      <w:r>
        <w:t>roblémem</w:t>
      </w:r>
      <w:r w:rsidR="00E67395">
        <w:t xml:space="preserve"> </w:t>
      </w:r>
      <w:r w:rsidR="00824548">
        <w:t xml:space="preserve">ale </w:t>
      </w:r>
      <w:r w:rsidR="00E67395">
        <w:t xml:space="preserve">zůstávají </w:t>
      </w:r>
      <w:r w:rsidR="00824548">
        <w:t xml:space="preserve">nekvalitní </w:t>
      </w:r>
      <w:r w:rsidR="00BD41B3">
        <w:t>posudky a byl navržen postup pro</w:t>
      </w:r>
      <w:r w:rsidR="00824548">
        <w:t xml:space="preserve"> jejich </w:t>
      </w:r>
      <w:r w:rsidR="008125D8">
        <w:t>p</w:t>
      </w:r>
      <w:r w:rsidR="007D136B">
        <w:t>ostupné</w:t>
      </w:r>
      <w:r w:rsidR="008125D8">
        <w:t xml:space="preserve"> </w:t>
      </w:r>
      <w:r w:rsidR="007D136B">
        <w:t>omezení</w:t>
      </w:r>
      <w:r w:rsidR="00824548">
        <w:t>, který byl stručně nastíněn v bodě 2.</w:t>
      </w:r>
    </w:p>
    <w:p w:rsidR="00666256" w:rsidRDefault="00666256" w:rsidP="00666256">
      <w:pPr>
        <w:pStyle w:val="Odstavecseseznamem"/>
      </w:pPr>
    </w:p>
    <w:p w:rsidR="00824548" w:rsidRDefault="003A5ADD" w:rsidP="00E67395">
      <w:pPr>
        <w:pStyle w:val="Odstavecseseznamem"/>
        <w:numPr>
          <w:ilvl w:val="0"/>
          <w:numId w:val="13"/>
        </w:numPr>
      </w:pPr>
      <w:r>
        <w:t>V</w:t>
      </w:r>
      <w:r w:rsidR="00824548">
        <w:t xml:space="preserve"> minulých letech </w:t>
      </w:r>
      <w:r>
        <w:t xml:space="preserve">bylo </w:t>
      </w:r>
      <w:r w:rsidR="00BD41B3">
        <w:t xml:space="preserve">zavedeno </w:t>
      </w:r>
      <w:r w:rsidR="00824548">
        <w:t xml:space="preserve">přísnější hodnocení návrhů projektů členů panelu dalšími </w:t>
      </w:r>
      <w:r w:rsidR="00ED434B">
        <w:t>nezávislými</w:t>
      </w:r>
      <w:r w:rsidR="00824548">
        <w:t xml:space="preserve"> zahraničními posuzovateli. Jejic</w:t>
      </w:r>
      <w:r w:rsidR="00AD716B">
        <w:t>h úkolem</w:t>
      </w:r>
      <w:r w:rsidR="00824548">
        <w:t xml:space="preserve"> je </w:t>
      </w:r>
      <w:r w:rsidR="00AD716B">
        <w:t>porovnání hodnocení</w:t>
      </w:r>
      <w:r w:rsidR="00824548">
        <w:t xml:space="preserve"> příslušného návrhu projektu v kontextu ostatních návrhů daného panelu. </w:t>
      </w:r>
      <w:r>
        <w:t>Cílem je zvýšit objektivitu hodnocení a omezit možnost neoprávněného zvýhodnění členů panelu</w:t>
      </w:r>
      <w:r w:rsidR="00824548">
        <w:t xml:space="preserve"> při </w:t>
      </w:r>
      <w:r>
        <w:t>výběr</w:t>
      </w:r>
      <w:r w:rsidR="00ED434B">
        <w:t xml:space="preserve">u úspěšných projektů. </w:t>
      </w:r>
      <w:r w:rsidR="007B5822">
        <w:t>L</w:t>
      </w:r>
      <w:r w:rsidR="00824548">
        <w:t xml:space="preserve">ze konstatovat, že </w:t>
      </w:r>
      <w:r w:rsidR="005D65D5">
        <w:t xml:space="preserve">celý systém hodnocení probíhá </w:t>
      </w:r>
      <w:r w:rsidR="007B5822">
        <w:t>velmi</w:t>
      </w:r>
      <w:r w:rsidR="005D65D5">
        <w:t xml:space="preserve"> objektivně, neboť </w:t>
      </w:r>
      <w:r>
        <w:t>v </w:t>
      </w:r>
      <w:r w:rsidR="007B5822">
        <w:t>uplynulém období byly</w:t>
      </w:r>
      <w:r w:rsidRPr="00BC0DC6">
        <w:t xml:space="preserve"> </w:t>
      </w:r>
      <w:r w:rsidR="005D65D5" w:rsidRPr="00BC0DC6">
        <w:t xml:space="preserve">z </w:t>
      </w:r>
      <w:r w:rsidR="00E75690" w:rsidRPr="00BC0DC6">
        <w:t xml:space="preserve">50 </w:t>
      </w:r>
      <w:r w:rsidR="005D65D5" w:rsidRPr="00BC0DC6">
        <w:t>projektů členů panelu</w:t>
      </w:r>
      <w:r w:rsidR="007B5822">
        <w:t>,</w:t>
      </w:r>
      <w:r w:rsidR="005D65D5" w:rsidRPr="00BC0DC6">
        <w:t xml:space="preserve"> navržených k financování, pouze </w:t>
      </w:r>
      <w:r w:rsidR="00E75690" w:rsidRPr="00BC0DC6">
        <w:t xml:space="preserve">4 </w:t>
      </w:r>
      <w:r w:rsidR="006B4CAA">
        <w:t xml:space="preserve">projekty byly </w:t>
      </w:r>
      <w:r w:rsidR="005D65D5" w:rsidRPr="00BC0DC6">
        <w:t xml:space="preserve">následně </w:t>
      </w:r>
      <w:r w:rsidR="007B5822">
        <w:t>z financování vyřazeny</w:t>
      </w:r>
      <w:r w:rsidR="005D65D5">
        <w:t>.</w:t>
      </w:r>
    </w:p>
    <w:p w:rsidR="00666256" w:rsidRDefault="00666256" w:rsidP="00666256">
      <w:pPr>
        <w:pStyle w:val="Odstavecseseznamem"/>
      </w:pPr>
    </w:p>
    <w:p w:rsidR="001E3A5A" w:rsidRDefault="00824548" w:rsidP="00E67395">
      <w:pPr>
        <w:pStyle w:val="Odstavecseseznamem"/>
        <w:numPr>
          <w:ilvl w:val="0"/>
          <w:numId w:val="13"/>
        </w:numPr>
      </w:pPr>
      <w:r>
        <w:t>I nadále se věnuje zvýšená pozornost</w:t>
      </w:r>
      <w:r w:rsidR="005D65D5">
        <w:t xml:space="preserve"> </w:t>
      </w:r>
      <w:r w:rsidR="00CD75CF" w:rsidRPr="00655B0B">
        <w:t>hodnocení ekonomické přiměřenosti návrhů projektů</w:t>
      </w:r>
      <w:r w:rsidR="00ED434B">
        <w:t>.</w:t>
      </w:r>
      <w:r w:rsidR="005D65D5">
        <w:t xml:space="preserve"> Panel je vždy upozorněn, jestliže se jedná </w:t>
      </w:r>
      <w:r w:rsidR="00ED434B">
        <w:t>o</w:t>
      </w:r>
      <w:r w:rsidR="005D65D5">
        <w:t xml:space="preserve"> finančně </w:t>
      </w:r>
      <w:r w:rsidR="00ED434B">
        <w:t xml:space="preserve">velmi </w:t>
      </w:r>
      <w:r w:rsidR="005D65D5">
        <w:t>náročný projekt. Cílem ale není a nemůže být vyřazení kvalitních větších</w:t>
      </w:r>
      <w:r w:rsidR="006B4CAA">
        <w:t>,</w:t>
      </w:r>
      <w:r w:rsidR="005D65D5">
        <w:t xml:space="preserve"> a</w:t>
      </w:r>
      <w:r w:rsidR="00E75690">
        <w:t> </w:t>
      </w:r>
      <w:r w:rsidR="005D65D5">
        <w:t>tudíž i finančně náročnějších projektů, ale vy</w:t>
      </w:r>
      <w:r w:rsidR="00AD716B">
        <w:t>loučení</w:t>
      </w:r>
      <w:r w:rsidR="005D65D5">
        <w:t xml:space="preserve"> projektů, kde </w:t>
      </w:r>
      <w:r w:rsidR="00AD716B">
        <w:t>navrhova</w:t>
      </w:r>
      <w:r w:rsidR="005D65D5">
        <w:t>n</w:t>
      </w:r>
      <w:r w:rsidR="00666256">
        <w:t>é výsledky projektu jsou ve výrazném nesouladu</w:t>
      </w:r>
      <w:r w:rsidR="005D65D5">
        <w:t xml:space="preserve"> s požadovanými finančními prostředky.</w:t>
      </w:r>
    </w:p>
    <w:p w:rsidR="001E3A5A" w:rsidRDefault="001E3A5A" w:rsidP="001E3A5A">
      <w:pPr>
        <w:pStyle w:val="Odstavecseseznamem"/>
      </w:pPr>
    </w:p>
    <w:p w:rsidR="006065A6" w:rsidRDefault="00A82DB6" w:rsidP="00E67395">
      <w:pPr>
        <w:pStyle w:val="Odstavecseseznamem"/>
        <w:numPr>
          <w:ilvl w:val="0"/>
          <w:numId w:val="13"/>
        </w:numPr>
      </w:pPr>
      <w:r>
        <w:lastRenderedPageBreak/>
        <w:t xml:space="preserve">Podrobně byly diskutovány zkušenosti se zavedením </w:t>
      </w:r>
      <w:r w:rsidR="00ED434B">
        <w:t>nové</w:t>
      </w:r>
      <w:r>
        <w:t xml:space="preserve"> soutěže – juniorských grantů. Soutěž je určena pro mladší vědecké pracovníky </w:t>
      </w:r>
      <w:r w:rsidR="007B5822">
        <w:t>se zkušeností s vědeckou prací na</w:t>
      </w:r>
      <w:r>
        <w:t xml:space="preserve"> renomovaných zahraničních pracovištích. Cílem zavedení této </w:t>
      </w:r>
      <w:r w:rsidR="001E3A5A">
        <w:t>skupiny grantových projektů byla</w:t>
      </w:r>
      <w:r>
        <w:t xml:space="preserve"> </w:t>
      </w:r>
      <w:r w:rsidR="001E3A5A">
        <w:t xml:space="preserve">podpora špičkových mladých vědců, kteří by následně mohli žádat o </w:t>
      </w:r>
      <w:r w:rsidR="001E3A5A" w:rsidRPr="00655B0B">
        <w:t>„</w:t>
      </w:r>
      <w:r w:rsidR="006B4CAA" w:rsidRPr="00673C3B">
        <w:rPr>
          <w:i/>
        </w:rPr>
        <w:t>S</w:t>
      </w:r>
      <w:r w:rsidR="001E3A5A" w:rsidRPr="00673C3B">
        <w:rPr>
          <w:i/>
        </w:rPr>
        <w:t xml:space="preserve">tarting </w:t>
      </w:r>
      <w:r w:rsidR="006B4CAA" w:rsidRPr="00673C3B">
        <w:rPr>
          <w:i/>
        </w:rPr>
        <w:t>G</w:t>
      </w:r>
      <w:r w:rsidR="00ED434B" w:rsidRPr="00673C3B">
        <w:rPr>
          <w:i/>
        </w:rPr>
        <w:t>rant</w:t>
      </w:r>
      <w:r w:rsidR="006B4CAA">
        <w:t>“ ERC.</w:t>
      </w:r>
      <w:r w:rsidR="001E3A5A">
        <w:t>V této oblasti je úspěšnost žadatelů z České republiky dlouhodobě hluboko pod průměrem EU. Tato soutěž byla zpočátku velmi kritizována, zejména ze strany představitelů humanitních a</w:t>
      </w:r>
      <w:r w:rsidR="004A5EC5">
        <w:t> </w:t>
      </w:r>
      <w:r w:rsidR="001E3A5A">
        <w:t xml:space="preserve">společenských disciplín s tím, že se pro </w:t>
      </w:r>
      <w:r w:rsidR="00AD716B">
        <w:t>jejich</w:t>
      </w:r>
      <w:r w:rsidR="001E3A5A">
        <w:t xml:space="preserve"> vědecké oblasti nehodí. Ale již</w:t>
      </w:r>
      <w:r w:rsidR="00AD716B">
        <w:t xml:space="preserve"> loni, tedy</w:t>
      </w:r>
      <w:r w:rsidR="001E3A5A">
        <w:t xml:space="preserve"> v</w:t>
      </w:r>
      <w:r w:rsidR="00ED434B">
        <w:t>e</w:t>
      </w:r>
      <w:r w:rsidR="001E3A5A">
        <w:t> druhém roce po zavedení</w:t>
      </w:r>
      <w:r w:rsidR="00363521">
        <w:t>,</w:t>
      </w:r>
      <w:r w:rsidR="001E3A5A">
        <w:t xml:space="preserve"> došlo i zde k významnému zvýšení podaných návrhů a získaných grantů.</w:t>
      </w:r>
    </w:p>
    <w:p w:rsidR="006065A6" w:rsidRDefault="006065A6" w:rsidP="006065A6">
      <w:pPr>
        <w:pStyle w:val="Odstavecseseznamem"/>
        <w:ind w:left="714"/>
      </w:pPr>
    </w:p>
    <w:p w:rsidR="00E86AF8" w:rsidRDefault="00B54964" w:rsidP="006065A6">
      <w:pPr>
        <w:pStyle w:val="Odstavecseseznamem"/>
        <w:numPr>
          <w:ilvl w:val="0"/>
          <w:numId w:val="13"/>
        </w:numPr>
      </w:pPr>
      <w:r>
        <w:t xml:space="preserve">Na začátku roku 2016 </w:t>
      </w:r>
      <w:r w:rsidR="00A82DB6">
        <w:t xml:space="preserve">KR projednávala </w:t>
      </w:r>
      <w:r w:rsidR="006065A6">
        <w:t xml:space="preserve">také </w:t>
      </w:r>
      <w:r w:rsidR="00A82DB6">
        <w:t xml:space="preserve">záměr předsednictva </w:t>
      </w:r>
      <w:r w:rsidR="006065A6">
        <w:t xml:space="preserve">připojit se k </w:t>
      </w:r>
      <w:r w:rsidR="006065A6" w:rsidRPr="006065A6">
        <w:t xml:space="preserve">přípravě nové skupiny grantových projektů </w:t>
      </w:r>
      <w:r w:rsidR="00604A70">
        <w:t>„</w:t>
      </w:r>
      <w:r w:rsidR="006065A6" w:rsidRPr="00604A70">
        <w:rPr>
          <w:i/>
        </w:rPr>
        <w:t>Podpora mezinárodní spolupráce pro získávání ERC grantů</w:t>
      </w:r>
      <w:r w:rsidR="00604A70">
        <w:t>“</w:t>
      </w:r>
      <w:r w:rsidR="006065A6" w:rsidRPr="006065A6">
        <w:t xml:space="preserve"> na základě iniciativy </w:t>
      </w:r>
      <w:r w:rsidR="006065A6">
        <w:t>„</w:t>
      </w:r>
      <w:r w:rsidR="006065A6" w:rsidRPr="00604A70">
        <w:rPr>
          <w:i/>
        </w:rPr>
        <w:t>ERC Fellowship to visit ERC grantee</w:t>
      </w:r>
      <w:r w:rsidR="006065A6">
        <w:t>“</w:t>
      </w:r>
      <w:r w:rsidR="006065A6" w:rsidRPr="006065A6">
        <w:t xml:space="preserve"> z 1</w:t>
      </w:r>
      <w:r w:rsidR="00BC0DC6">
        <w:t>9. ledna</w:t>
      </w:r>
      <w:r w:rsidR="006065A6" w:rsidRPr="006065A6">
        <w:t xml:space="preserve"> 2016.</w:t>
      </w:r>
      <w:r w:rsidR="006065A6">
        <w:t xml:space="preserve"> KR vyjádřila svoji plnou podporu </w:t>
      </w:r>
      <w:r w:rsidR="00ED434B">
        <w:t xml:space="preserve">záměru </w:t>
      </w:r>
      <w:r w:rsidR="006065A6">
        <w:t>s tím, že tato soutěž by mohla vhodným způsobem doplnit skupinu juniorských grantů.</w:t>
      </w:r>
      <w:r w:rsidR="00FB03C7">
        <w:t xml:space="preserve"> </w:t>
      </w:r>
      <w:r>
        <w:t>European Research Council Executive Agency (ERCEA) zařadil</w:t>
      </w:r>
      <w:r w:rsidR="000E59CB">
        <w:t>a (dle sdělení ERCEA ze dne 2. z</w:t>
      </w:r>
      <w:r>
        <w:t>áří 2016) do seznamu agentur uvedených v 2016 ERC Call for expression of interest to host visiting resesrchers.</w:t>
      </w:r>
      <w:r w:rsidR="000E59CB">
        <w:t xml:space="preserve"> Dne 5. z</w:t>
      </w:r>
      <w:r w:rsidR="002C51F7">
        <w:t>áří 2016 GA ČR vyhlásila výzvu k podávání návrhů projektů v rámci skupiny grantových projektů: Podpora mezinárodní spolupráce pro získávání ERC grantů v základním výzkumu („Podpora ERC žadatelů“).</w:t>
      </w:r>
    </w:p>
    <w:p w:rsidR="001D6592" w:rsidRDefault="001D6592" w:rsidP="001D6592">
      <w:pPr>
        <w:pStyle w:val="Odstavecseseznamem"/>
      </w:pPr>
    </w:p>
    <w:p w:rsidR="001D6592" w:rsidRDefault="001D6592" w:rsidP="006065A6">
      <w:pPr>
        <w:pStyle w:val="Odstavecseseznamem"/>
        <w:numPr>
          <w:ilvl w:val="0"/>
          <w:numId w:val="13"/>
        </w:numPr>
      </w:pPr>
      <w:r>
        <w:t xml:space="preserve">Pro další kvalitní práci KR bude nutné doplnění členů KR do plného počtu, tedy o dva členy. Vzhledem k rozdělení odborných kompetencí dosavadních členů by bylo vhodné doplnění odborníků z oblasti věd o neživé přírodě, případně oblasti biologických věd (v dosavadním složení dominují odborníci ze společensko-humanitních věd).  </w:t>
      </w:r>
    </w:p>
    <w:p w:rsidR="00241F02" w:rsidRPr="001C74D8" w:rsidRDefault="00C956A1" w:rsidP="00241F02">
      <w:pPr>
        <w:pStyle w:val="Nadpis1"/>
        <w:rPr>
          <w:rFonts w:eastAsia="Arial"/>
        </w:rPr>
      </w:pPr>
      <w:r w:rsidRPr="001C74D8">
        <w:t>Vyřiz</w:t>
      </w:r>
      <w:r w:rsidR="00241F02" w:rsidRPr="001C74D8">
        <w:t xml:space="preserve">ování stížností podaných do KR </w:t>
      </w:r>
    </w:p>
    <w:p w:rsidR="00241F02" w:rsidRPr="001C74D8" w:rsidRDefault="00241F02" w:rsidP="00241F02">
      <w:pPr>
        <w:rPr>
          <w:rFonts w:eastAsia="Arial"/>
        </w:rPr>
      </w:pPr>
      <w:r w:rsidRPr="001C74D8">
        <w:rPr>
          <w:rFonts w:eastAsia="Arial"/>
        </w:rPr>
        <w:tab/>
        <w:t>V</w:t>
      </w:r>
      <w:r w:rsidRPr="001C74D8">
        <w:t xml:space="preserve">ýznamným úkolem v činnosti KR je </w:t>
      </w:r>
      <w:r w:rsidR="009C2AE2">
        <w:t>také</w:t>
      </w:r>
      <w:r w:rsidR="001C74D8">
        <w:t xml:space="preserve"> </w:t>
      </w:r>
      <w:r w:rsidRPr="001C74D8">
        <w:t>projednávání a vyřizování podnětů navrhovatelů projektů</w:t>
      </w:r>
      <w:r w:rsidR="009C2AE2">
        <w:t>,</w:t>
      </w:r>
      <w:r w:rsidRPr="001C74D8">
        <w:t xml:space="preserve"> </w:t>
      </w:r>
      <w:r w:rsidR="001C74D8">
        <w:t xml:space="preserve">námitek a </w:t>
      </w:r>
      <w:r w:rsidRPr="001C74D8">
        <w:t xml:space="preserve">stížností na porušení podmínek veřejné soutěže při hodnocení </w:t>
      </w:r>
      <w:r w:rsidR="00C854E5" w:rsidRPr="001C74D8">
        <w:t>návrhů projektů</w:t>
      </w:r>
      <w:r w:rsidR="006C04BE" w:rsidRPr="001C74D8">
        <w:t xml:space="preserve">, </w:t>
      </w:r>
      <w:r w:rsidRPr="001C74D8">
        <w:t xml:space="preserve">hodnocení </w:t>
      </w:r>
      <w:r w:rsidR="001C74D8" w:rsidRPr="001C74D8">
        <w:t xml:space="preserve">řešení projektů </w:t>
      </w:r>
      <w:r w:rsidR="001C74D8">
        <w:t xml:space="preserve">a </w:t>
      </w:r>
      <w:r w:rsidRPr="001C74D8">
        <w:t>dosažených výsledků. V tomto procesu se KR soustřeďuje především na to, zda byla ve všech rovinách posuzovacího procesu dodržována ustanovení zadávací dokumentace</w:t>
      </w:r>
      <w:r w:rsidR="00963672" w:rsidRPr="001C74D8">
        <w:t xml:space="preserve"> veřejné soutěže</w:t>
      </w:r>
      <w:r w:rsidRPr="001C74D8">
        <w:t>, zda panely a oborové komis</w:t>
      </w:r>
      <w:r w:rsidR="00963672" w:rsidRPr="001C74D8">
        <w:t>e</w:t>
      </w:r>
      <w:r w:rsidRPr="001C74D8">
        <w:t xml:space="preserve"> postupovaly transparentně a zda byl celý proces hodnocení v souladu s podmínkami veřejné sou</w:t>
      </w:r>
      <w:r w:rsidR="006C04BE" w:rsidRPr="001C74D8">
        <w:t>těže.</w:t>
      </w:r>
      <w:r w:rsidRPr="001C74D8">
        <w:t xml:space="preserve"> </w:t>
      </w:r>
      <w:r w:rsidR="00363521">
        <w:t>KR si je</w:t>
      </w:r>
      <w:r w:rsidR="001C74D8" w:rsidRPr="001C74D8">
        <w:t xml:space="preserve"> </w:t>
      </w:r>
      <w:r w:rsidR="001C74D8">
        <w:t>zároveň</w:t>
      </w:r>
      <w:r w:rsidR="00363521">
        <w:t xml:space="preserve"> vědoma, že</w:t>
      </w:r>
      <w:r w:rsidR="001C74D8">
        <w:t xml:space="preserve"> </w:t>
      </w:r>
      <w:r w:rsidR="001C74D8" w:rsidRPr="001C74D8">
        <w:t>nemůže</w:t>
      </w:r>
      <w:r w:rsidR="00604A70">
        <w:t xml:space="preserve"> a ani nechce</w:t>
      </w:r>
      <w:r w:rsidR="001C74D8" w:rsidRPr="001C74D8">
        <w:t xml:space="preserve"> nahrazovat odbornou činnost panelů a oborových </w:t>
      </w:r>
      <w:r w:rsidR="001C74D8" w:rsidRPr="001C74D8">
        <w:lastRenderedPageBreak/>
        <w:t xml:space="preserve">komisí, kde zasedají významní odborníci příslušného oboru, ani </w:t>
      </w:r>
      <w:r w:rsidR="00604A70">
        <w:t xml:space="preserve">činnost </w:t>
      </w:r>
      <w:r w:rsidR="001C74D8" w:rsidRPr="001C74D8">
        <w:t>zahraničních expertů.</w:t>
      </w:r>
    </w:p>
    <w:p w:rsidR="00241F02" w:rsidRPr="00E462C8" w:rsidRDefault="00241F02" w:rsidP="00241F02">
      <w:r w:rsidRPr="001C74D8">
        <w:rPr>
          <w:rFonts w:eastAsia="Arial"/>
        </w:rPr>
        <w:tab/>
        <w:t xml:space="preserve">V </w:t>
      </w:r>
      <w:r w:rsidR="001C74D8">
        <w:t>časovém rozmezí od října 2015</w:t>
      </w:r>
      <w:r w:rsidR="00F82DF5">
        <w:t xml:space="preserve"> do září</w:t>
      </w:r>
      <w:r w:rsidR="001C74D8">
        <w:t xml:space="preserve"> 2016</w:t>
      </w:r>
      <w:r w:rsidRPr="001C74D8">
        <w:t xml:space="preserve"> </w:t>
      </w:r>
      <w:r w:rsidR="009C2AE2">
        <w:t>bylo doručeno</w:t>
      </w:r>
      <w:r w:rsidR="00963672" w:rsidRPr="001C74D8">
        <w:t xml:space="preserve"> </w:t>
      </w:r>
      <w:r w:rsidRPr="001C74D8">
        <w:t xml:space="preserve">celkem </w:t>
      </w:r>
      <w:r w:rsidR="00F82DF5">
        <w:t xml:space="preserve">36 </w:t>
      </w:r>
      <w:r w:rsidRPr="001C74D8">
        <w:t>stížnost</w:t>
      </w:r>
      <w:r w:rsidR="00DF1DE9">
        <w:t>í</w:t>
      </w:r>
      <w:r w:rsidR="000E5968" w:rsidRPr="001C74D8">
        <w:t xml:space="preserve"> na </w:t>
      </w:r>
      <w:r w:rsidRPr="001C74D8">
        <w:t xml:space="preserve">neudělení </w:t>
      </w:r>
      <w:r w:rsidR="00963672" w:rsidRPr="001C74D8">
        <w:t>podpory navrhovaným</w:t>
      </w:r>
      <w:r w:rsidRPr="001C74D8">
        <w:t xml:space="preserve"> projektům, resp. stížnost</w:t>
      </w:r>
      <w:r w:rsidR="00604A70">
        <w:t>í</w:t>
      </w:r>
      <w:r w:rsidRPr="001C74D8">
        <w:t xml:space="preserve"> na nesouhlas s</w:t>
      </w:r>
      <w:r w:rsidR="009C2345" w:rsidRPr="001C74D8">
        <w:t> </w:t>
      </w:r>
      <w:r w:rsidRPr="001C74D8">
        <w:t>výsledkem oponentního řízení projektu i následným rozhodnutím předsednictva.</w:t>
      </w:r>
      <w:r w:rsidR="001C74D8">
        <w:t xml:space="preserve"> </w:t>
      </w:r>
      <w:r w:rsidR="00C74004">
        <w:t xml:space="preserve">Při porovnání s celkovým počtem podaných projektů tak pouze </w:t>
      </w:r>
      <w:r w:rsidR="00C74004" w:rsidRPr="00E462C8">
        <w:t>u 1,3</w:t>
      </w:r>
      <w:r w:rsidR="00604A70" w:rsidRPr="00E462C8">
        <w:t xml:space="preserve"> </w:t>
      </w:r>
      <w:r w:rsidR="00C74004" w:rsidRPr="00E462C8">
        <w:t xml:space="preserve">% </w:t>
      </w:r>
      <w:r w:rsidR="00C74004">
        <w:t xml:space="preserve">došlo </w:t>
      </w:r>
      <w:r w:rsidR="00C74004" w:rsidRPr="00E462C8">
        <w:t xml:space="preserve">k protestům proti neudělení podpory. </w:t>
      </w:r>
      <w:r w:rsidR="00E462C8" w:rsidRPr="00E462C8">
        <w:t>Poté</w:t>
      </w:r>
      <w:r w:rsidR="00604A70" w:rsidRPr="00E462C8">
        <w:t xml:space="preserve"> KR obdržela</w:t>
      </w:r>
      <w:r w:rsidR="001C74D8" w:rsidRPr="00E462C8">
        <w:t xml:space="preserve"> stížnost</w:t>
      </w:r>
      <w:r w:rsidR="00DF1DE9" w:rsidRPr="00E462C8">
        <w:t>i</w:t>
      </w:r>
      <w:r w:rsidR="001C74D8" w:rsidRPr="00E462C8">
        <w:t xml:space="preserve"> na přezkoumání výsledku protokolu o</w:t>
      </w:r>
      <w:r w:rsidR="00DF1DE9" w:rsidRPr="00E462C8">
        <w:t> </w:t>
      </w:r>
      <w:r w:rsidR="001C74D8" w:rsidRPr="00E462C8">
        <w:t xml:space="preserve">hodnocení dílčí </w:t>
      </w:r>
      <w:r w:rsidR="00E462C8">
        <w:t xml:space="preserve">nebo </w:t>
      </w:r>
      <w:r w:rsidR="00E462C8" w:rsidRPr="00E462C8">
        <w:t xml:space="preserve">závěrečné </w:t>
      </w:r>
      <w:r w:rsidR="001C74D8" w:rsidRPr="00E462C8">
        <w:t xml:space="preserve">zprávy </w:t>
      </w:r>
      <w:r w:rsidR="00961BAB" w:rsidRPr="00E462C8">
        <w:t>o řešení projektu</w:t>
      </w:r>
      <w:r w:rsidR="00E462C8">
        <w:t>, dále nevyhovění žádosti o změnu v čerpání finančních prostředků či genderová hlediska při rozhodování.</w:t>
      </w:r>
      <w:r w:rsidR="00961BAB" w:rsidRPr="00E462C8">
        <w:t xml:space="preserve"> </w:t>
      </w:r>
      <w:r w:rsidR="001A0728" w:rsidRPr="00E462C8">
        <w:t xml:space="preserve">Všechny žádosti byly k datu podání </w:t>
      </w:r>
      <w:r w:rsidR="00E462C8">
        <w:t xml:space="preserve">této </w:t>
      </w:r>
      <w:r w:rsidR="001A0728" w:rsidRPr="00E462C8">
        <w:t xml:space="preserve">zprávy ze strany KR </w:t>
      </w:r>
      <w:r w:rsidR="006F5DA0" w:rsidRPr="00E462C8">
        <w:t>vyřízeny</w:t>
      </w:r>
      <w:r w:rsidRPr="00E462C8">
        <w:t>.</w:t>
      </w:r>
    </w:p>
    <w:p w:rsidR="00BE565B" w:rsidRPr="001A0728" w:rsidRDefault="006C04BE" w:rsidP="00241F02">
      <w:r w:rsidRPr="001C74D8">
        <w:tab/>
        <w:t>O</w:t>
      </w:r>
      <w:r w:rsidR="00091621" w:rsidRPr="001C74D8">
        <w:t xml:space="preserve">proti předchozímu období, kdy </w:t>
      </w:r>
      <w:r w:rsidR="008E121C" w:rsidRPr="001C74D8">
        <w:t xml:space="preserve">KR </w:t>
      </w:r>
      <w:r w:rsidR="00961BAB">
        <w:t xml:space="preserve">za celý rok </w:t>
      </w:r>
      <w:r w:rsidR="008E121C" w:rsidRPr="001C74D8">
        <w:t>vyřizovala</w:t>
      </w:r>
      <w:r w:rsidR="00091621" w:rsidRPr="001C74D8">
        <w:t xml:space="preserve"> celkem </w:t>
      </w:r>
      <w:r w:rsidR="001A0728">
        <w:t xml:space="preserve">23 </w:t>
      </w:r>
      <w:r w:rsidR="00091621" w:rsidRPr="001C74D8">
        <w:t>stížností,</w:t>
      </w:r>
      <w:r w:rsidRPr="001C74D8">
        <w:t xml:space="preserve"> </w:t>
      </w:r>
      <w:r w:rsidR="008E121C" w:rsidRPr="001C74D8">
        <w:t xml:space="preserve">došlo </w:t>
      </w:r>
      <w:r w:rsidRPr="001C74D8">
        <w:t>k </w:t>
      </w:r>
      <w:r w:rsidR="00091621" w:rsidRPr="001C74D8">
        <w:t>vý</w:t>
      </w:r>
      <w:r w:rsidR="00961BAB">
        <w:t>raznému nárůst</w:t>
      </w:r>
      <w:r w:rsidR="00091621" w:rsidRPr="001C74D8">
        <w:t>u počtu podaných stížností</w:t>
      </w:r>
      <w:r w:rsidR="00E462C8">
        <w:t xml:space="preserve"> na 36</w:t>
      </w:r>
      <w:r w:rsidR="00091621" w:rsidRPr="001C74D8">
        <w:t xml:space="preserve">. </w:t>
      </w:r>
      <w:r w:rsidR="00961BAB">
        <w:t>Tato skutečnost je v ostrém protikladu k  poklesu počtu stížností</w:t>
      </w:r>
      <w:r w:rsidR="00363521">
        <w:t>, ke kterému došlo v předchozím roce. Teh</w:t>
      </w:r>
      <w:r w:rsidR="00961BAB">
        <w:t xml:space="preserve">dy jsme vyslovili domněnku, </w:t>
      </w:r>
      <w:r w:rsidR="00091621" w:rsidRPr="001C74D8">
        <w:t xml:space="preserve">že k tomu </w:t>
      </w:r>
      <w:r w:rsidR="00091621" w:rsidRPr="000F140E">
        <w:t>došlo vlivem zvýšené úspěšnosti v grantových soutěžích</w:t>
      </w:r>
      <w:r w:rsidR="00961BAB" w:rsidRPr="000F140E">
        <w:t>. V uplynulých dvou letech totiž úspěšnost v grantových soutěžích byla přibližně stejná a pohybovala se</w:t>
      </w:r>
      <w:r w:rsidR="00091621" w:rsidRPr="000F140E">
        <w:t xml:space="preserve"> </w:t>
      </w:r>
      <w:r w:rsidR="00961BAB" w:rsidRPr="000F140E">
        <w:t>kolem 28 %. Z analýzy obsahu stížností usuzujeme, že za příčinami nárůstu částečně stojí určitá nezkušenos</w:t>
      </w:r>
      <w:r w:rsidR="000F140E" w:rsidRPr="000F140E">
        <w:t>t některých nových členů panelů, kteří nevěnovali dostatečnou pozornost zpracování hodnot</w:t>
      </w:r>
      <w:r w:rsidR="00DF1DE9">
        <w:t>i</w:t>
      </w:r>
      <w:r w:rsidR="000F140E" w:rsidRPr="000F140E">
        <w:t>cích posudků. KR</w:t>
      </w:r>
      <w:r w:rsidR="000F140E">
        <w:t xml:space="preserve"> proto uložila předsednictvu GA ČR, aby věnovalo větší pozornost zpracování posudků a poučila členy hodnot</w:t>
      </w:r>
      <w:r w:rsidR="00DF1DE9">
        <w:t>i</w:t>
      </w:r>
      <w:r w:rsidR="000F140E">
        <w:t xml:space="preserve">cích panelů o nutnosti věnovat této činnosti více pozornosti. </w:t>
      </w:r>
      <w:r w:rsidR="001A0728">
        <w:t xml:space="preserve">Tento posun by se měl odrazit v dalším kole jednání panelů i oborových komisí. </w:t>
      </w:r>
      <w:r w:rsidR="000F140E">
        <w:t>Další příčin</w:t>
      </w:r>
      <w:r w:rsidR="00BE565B">
        <w:t>u na</w:t>
      </w:r>
      <w:r w:rsidR="000F140E">
        <w:t xml:space="preserve">vyšování </w:t>
      </w:r>
      <w:r w:rsidR="00363521">
        <w:t>počtu stížností pak vidíme ve skutečnosti</w:t>
      </w:r>
      <w:r w:rsidR="000F140E">
        <w:t>, že s </w:t>
      </w:r>
      <w:r w:rsidR="000F140E" w:rsidRPr="001A0728">
        <w:t xml:space="preserve">nárůstem počtu </w:t>
      </w:r>
      <w:r w:rsidR="00BE565B" w:rsidRPr="001A0728">
        <w:t>výzkumných</w:t>
      </w:r>
      <w:r w:rsidR="000F140E" w:rsidRPr="001A0728">
        <w:t xml:space="preserve"> </w:t>
      </w:r>
      <w:r w:rsidR="00BE565B" w:rsidRPr="001A0728">
        <w:t>center</w:t>
      </w:r>
      <w:r w:rsidR="000F140E" w:rsidRPr="001A0728">
        <w:t>, na jejichž vzni</w:t>
      </w:r>
      <w:r w:rsidR="00BE565B" w:rsidRPr="001A0728">
        <w:t>k štědře přispěla Evropská unie,</w:t>
      </w:r>
      <w:r w:rsidR="00363521" w:rsidRPr="001A0728">
        <w:t xml:space="preserve"> narůstá tlak na to, aby si</w:t>
      </w:r>
      <w:r w:rsidR="00BE565B" w:rsidRPr="001A0728">
        <w:t xml:space="preserve"> </w:t>
      </w:r>
      <w:r w:rsidR="00363521" w:rsidRPr="001A0728">
        <w:t>centra</w:t>
      </w:r>
      <w:r w:rsidR="00BE565B" w:rsidRPr="001A0728">
        <w:t xml:space="preserve"> na provoz </w:t>
      </w:r>
      <w:r w:rsidR="000F140E" w:rsidRPr="001A0728">
        <w:t>alespoň částečně</w:t>
      </w:r>
      <w:r w:rsidR="00BE565B" w:rsidRPr="001A0728">
        <w:t xml:space="preserve"> </w:t>
      </w:r>
      <w:r w:rsidR="00363521" w:rsidRPr="001A0728">
        <w:t>vydělala</w:t>
      </w:r>
      <w:r w:rsidR="000F140E" w:rsidRPr="001A0728">
        <w:t xml:space="preserve"> </w:t>
      </w:r>
      <w:r w:rsidR="00363521" w:rsidRPr="001A0728">
        <w:t>sama</w:t>
      </w:r>
      <w:r w:rsidR="000F140E" w:rsidRPr="001A0728">
        <w:t>.</w:t>
      </w:r>
      <w:r w:rsidR="00BE565B" w:rsidRPr="001A0728">
        <w:t xml:space="preserve"> Pracoviště pak </w:t>
      </w:r>
      <w:r w:rsidR="00363521" w:rsidRPr="001A0728">
        <w:t>ve větší míře než doposud</w:t>
      </w:r>
      <w:r w:rsidR="00BE565B" w:rsidRPr="001A0728">
        <w:t xml:space="preserve"> očekávají od svých vědeckých pracovníků, že uspějí v grantových soutěžích.</w:t>
      </w:r>
    </w:p>
    <w:p w:rsidR="0042715B" w:rsidRPr="001A0728" w:rsidRDefault="00241F02" w:rsidP="000E59CB">
      <w:pPr>
        <w:spacing w:after="0"/>
      </w:pPr>
      <w:r w:rsidRPr="001A0728">
        <w:rPr>
          <w:rFonts w:eastAsia="Arial"/>
        </w:rPr>
        <w:tab/>
        <w:t>D</w:t>
      </w:r>
      <w:r w:rsidRPr="001A0728">
        <w:t>ále uvádíme přehled stížností, kterými se zabývala KR ve sledovaném období. Uvedeno je registrační číslo přihlášky projektu, obecný důvod stížnosti a</w:t>
      </w:r>
      <w:r w:rsidR="00963672" w:rsidRPr="001A0728">
        <w:t> </w:t>
      </w:r>
      <w:r w:rsidRPr="001A0728">
        <w:t>výslede</w:t>
      </w:r>
      <w:r w:rsidR="000E59CB">
        <w:t>k šetření KR:</w:t>
      </w:r>
    </w:p>
    <w:p w:rsidR="0042715B" w:rsidRPr="001A0728" w:rsidRDefault="0042715B" w:rsidP="000E59CB">
      <w:pPr>
        <w:spacing w:after="0" w:line="240" w:lineRule="auto"/>
        <w:rPr>
          <w:iCs/>
        </w:rPr>
      </w:pPr>
      <w:r w:rsidRPr="001A0728">
        <w:rPr>
          <w:iCs/>
        </w:rPr>
        <w:t xml:space="preserve">16-14082S </w:t>
      </w:r>
    </w:p>
    <w:p w:rsidR="0042715B" w:rsidRPr="001A0728" w:rsidRDefault="0042715B" w:rsidP="000E59CB">
      <w:pPr>
        <w:spacing w:after="0" w:line="240" w:lineRule="auto"/>
        <w:rPr>
          <w:iCs/>
        </w:rPr>
      </w:pPr>
      <w:r w:rsidRPr="001A0728">
        <w:rPr>
          <w:iCs/>
        </w:rPr>
        <w:t xml:space="preserve">Odvolání proti hodnocení návrhu projektu, Ústav experimentální botaniky AV ČR, v.v.i., nebyla porušena pravidla GA ČR. 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 xml:space="preserve">16-06904S </w:t>
      </w: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Odvolání proti hodnocení návrhu projektu, Jihočeská univerzita v Českých Budějovicích, Přírodovědecká fakulta, nebyla porušena pravidla GA ČR.</w:t>
      </w:r>
    </w:p>
    <w:p w:rsidR="0042715B" w:rsidRPr="001A0728" w:rsidRDefault="0042715B" w:rsidP="0042715B">
      <w:pPr>
        <w:spacing w:after="0" w:line="240" w:lineRule="auto"/>
        <w:rPr>
          <w:b/>
          <w:bCs/>
          <w:u w:val="single"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 xml:space="preserve">16-01429S 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Odvolání proti hodnocení návrhu projektu, Biotechnologický ústav AV ČR, v.v.i.,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  <w:color w:val="993300"/>
        </w:rPr>
      </w:pPr>
    </w:p>
    <w:p w:rsidR="0042715B" w:rsidRPr="001A0728" w:rsidRDefault="0042715B" w:rsidP="0042715B">
      <w:pPr>
        <w:spacing w:after="0" w:line="240" w:lineRule="auto"/>
        <w:rPr>
          <w:iCs/>
          <w:u w:val="single"/>
        </w:rPr>
      </w:pPr>
      <w:r w:rsidRPr="001A0728">
        <w:rPr>
          <w:iCs/>
        </w:rPr>
        <w:t>16-16680S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Odvolání proti hodnocení návrhu projektu, Česká zemědělská univerzita v Praze, Fakulta agrobiologie, potravinových a přírodních zdrojů,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  <w:color w:val="993300"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16-11313S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přezkum posudků u návrhu projektu, Západočeská univerzita v Plzni, Fakulta aplikovaných věd, nebyla porušena pravidla GA ČR.</w:t>
      </w:r>
    </w:p>
    <w:p w:rsidR="002C51F7" w:rsidRDefault="002C51F7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16-24268S</w:t>
      </w:r>
    </w:p>
    <w:p w:rsidR="0042715B" w:rsidRPr="001A0728" w:rsidRDefault="0042715B" w:rsidP="0042715B">
      <w:pPr>
        <w:spacing w:after="0" w:line="240" w:lineRule="auto"/>
        <w:rPr>
          <w:iCs/>
          <w:color w:val="993300"/>
        </w:rPr>
      </w:pPr>
      <w:r w:rsidRPr="001A0728">
        <w:rPr>
          <w:iCs/>
        </w:rPr>
        <w:t>Odvolání proti hodnocení návrhu projektu, Slezské zemské muzeum,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  <w:color w:val="993300"/>
        </w:rPr>
      </w:pPr>
    </w:p>
    <w:p w:rsidR="0042715B" w:rsidRPr="001A0728" w:rsidRDefault="0042715B" w:rsidP="0042715B">
      <w:pPr>
        <w:spacing w:after="0" w:line="240" w:lineRule="auto"/>
        <w:rPr>
          <w:iCs/>
          <w:color w:val="993300"/>
        </w:rPr>
      </w:pPr>
      <w:r w:rsidRPr="001A0728">
        <w:rPr>
          <w:iCs/>
        </w:rPr>
        <w:t>16-07769S</w:t>
      </w:r>
    </w:p>
    <w:p w:rsidR="0042715B" w:rsidRPr="001A0728" w:rsidRDefault="0042715B" w:rsidP="0042715B">
      <w:pPr>
        <w:spacing w:after="0" w:line="240" w:lineRule="auto"/>
        <w:rPr>
          <w:iCs/>
          <w:color w:val="993300"/>
        </w:rPr>
      </w:pPr>
      <w:r w:rsidRPr="001A0728">
        <w:rPr>
          <w:iCs/>
        </w:rPr>
        <w:t>Žádost o případnou změnu rozhodnutí u návrhu projektu, Ústav molekulární genetiky AV ČR, v.v.i.,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  <w:color w:val="993300"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 xml:space="preserve">16-12580Y 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případnou změnu rozhodnutí u návrhu projektu, Ústav molekulární genetiky AV ČR, v.v.i.,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16-03379S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případnou změnu rozhodnutí u návrhu projektu, Ústav molekulární genetiky AV ČR, v.v.i.,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16-16452S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případnou změnu rozhodnutí u návrhu projektu, Ústav molekulární genetiky AV ČR, v.v.i., nebyla porušena pravidla GA ČR.</w:t>
      </w:r>
    </w:p>
    <w:p w:rsidR="0042715B" w:rsidRPr="001A0728" w:rsidRDefault="0042715B" w:rsidP="0042715B">
      <w:pPr>
        <w:spacing w:after="0" w:line="240" w:lineRule="auto"/>
      </w:pP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16-26245Y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Odvolání proti hodnocení návrhu projektu, Vysoké učení technické v Brně, Středoevropský technologický institut,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 xml:space="preserve">16-00885S  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Odvolání proti hodnocení návrhu projektu, Fyziologický ústav AV ČR, v.v.i.,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16-06894S</w:t>
      </w: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Odvolání proti hodnocení návrhu projektu, Biotechnologický ústav AV ČR, v.v.i., nebyla porušena pravidla GA ČR.</w:t>
      </w:r>
    </w:p>
    <w:p w:rsidR="0042715B" w:rsidRPr="001A0728" w:rsidRDefault="0042715B" w:rsidP="0042715B">
      <w:pPr>
        <w:spacing w:after="0" w:line="240" w:lineRule="auto"/>
      </w:pPr>
    </w:p>
    <w:p w:rsidR="0042715B" w:rsidRPr="001A0728" w:rsidRDefault="0042715B" w:rsidP="0042715B">
      <w:pPr>
        <w:spacing w:after="0" w:line="240" w:lineRule="auto"/>
        <w:rPr>
          <w:b/>
          <w:iCs/>
          <w:color w:val="993300"/>
          <w:u w:val="single"/>
        </w:rPr>
      </w:pPr>
      <w:r w:rsidRPr="001A0728">
        <w:rPr>
          <w:iCs/>
        </w:rPr>
        <w:t>16-09443S</w:t>
      </w:r>
      <w:r w:rsidRPr="001A0728">
        <w:rPr>
          <w:b/>
          <w:iCs/>
          <w:color w:val="993300"/>
          <w:u w:val="single"/>
        </w:rPr>
        <w:t xml:space="preserve"> </w:t>
      </w: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Odvolání proti hodnocení návrhu projektu, Mikrobiologický ústav AV ČR, v.v.i., nebyla porušena pravidla GA ČR.</w:t>
      </w:r>
    </w:p>
    <w:p w:rsidR="0042715B" w:rsidRPr="001A0728" w:rsidRDefault="0042715B" w:rsidP="0042715B">
      <w:pPr>
        <w:spacing w:after="0" w:line="240" w:lineRule="auto"/>
      </w:pP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16-02183S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prošetření objektivity hodnocení u návrhu projektu, V</w:t>
      </w:r>
      <w:r w:rsidR="00B54964">
        <w:rPr>
          <w:iCs/>
        </w:rPr>
        <w:t xml:space="preserve">ysoká škola finanční a správní, </w:t>
      </w:r>
      <w:r w:rsidRPr="001A0728">
        <w:rPr>
          <w:iCs/>
        </w:rPr>
        <w:t>z.ú.,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lastRenderedPageBreak/>
        <w:t>16-26952S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Odvolání proti rozhodnutí o vyřazení návrhu projektu</w:t>
      </w:r>
      <w:r w:rsidRPr="001A0728">
        <w:t xml:space="preserve">, ENLINES s.r.o., </w:t>
      </w:r>
      <w:r w:rsidRPr="001A0728">
        <w:rPr>
          <w:iCs/>
        </w:rPr>
        <w:t>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16-03945S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přezkoumání hodnocení u návrhu projektu</w:t>
      </w:r>
      <w:r w:rsidRPr="001A0728">
        <w:t>, Ústav fyzikální chemie J. Heyrovského AV ČR, v.v.i.,</w:t>
      </w:r>
      <w:r w:rsidRPr="001A0728">
        <w:rPr>
          <w:iCs/>
        </w:rPr>
        <w:t xml:space="preserve"> nebyla porušena pravidla GA ČR.</w:t>
      </w:r>
    </w:p>
    <w:p w:rsidR="002C51F7" w:rsidRDefault="002C51F7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16-18203Y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 xml:space="preserve">Odvolání proti hodnocení návrhu projektu, </w:t>
      </w:r>
      <w:r w:rsidRPr="001A0728">
        <w:t xml:space="preserve">České vysoké učení technické v Praze, Fakulta stavební, </w:t>
      </w:r>
      <w:r w:rsidRPr="001A0728">
        <w:rPr>
          <w:iCs/>
        </w:rPr>
        <w:t>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 xml:space="preserve">16-21478S 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Odvolání proti hodnocení návrhu projektu, Západočeská univerzita v Plzni, Nové technologie výzkumné centrum,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16-12630S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přehodnocení u návrhu projektu, Univerzita Palackého v Olomouci, Přírodovědecká fakulta,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16-13190S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Námitka proti hodnocení návrhu projektu, Západočeská univerzita v Plzni, Nové technologie výzkumné centrum,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 xml:space="preserve">16-07439S 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Odvolání proti hodnocení návrhu projektu, Biotechnologický ústav AV ČR, v.v.i.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16-06168S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Námitky proti hodnocení návrhu projektu, Fyziologický ústav AV ČR, v.v.i.,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16-11977S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Námitky proti hodnocení návrhu projektu, Univerzita Karlova v Praze, Přírodovědecká fakulta,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 xml:space="preserve">16-17627S 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Námitky proti hodnocení návrhu projektu, Ústav experimentální medicíny AV ČR, v.v.i,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P207-12-1568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Reakce na odstoupení od smlouvy, Mikrobiologický ústav AV ČR, v.v.i., nebyla porušena pravidla GA ČR.</w:t>
      </w:r>
    </w:p>
    <w:p w:rsidR="0042715B" w:rsidRPr="001A0728" w:rsidRDefault="0042715B" w:rsidP="0042715B">
      <w:pPr>
        <w:spacing w:after="0" w:line="240" w:lineRule="auto"/>
      </w:pP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16-12837S</w:t>
      </w:r>
      <w:r w:rsidRPr="001A0728">
        <w:t xml:space="preserve"> 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Zpochybnění hodnocení návrhu projektu</w:t>
      </w:r>
      <w:r w:rsidRPr="001A0728">
        <w:t xml:space="preserve">, </w:t>
      </w:r>
      <w:r w:rsidRPr="001A0728">
        <w:rPr>
          <w:iCs/>
        </w:rPr>
        <w:t>Vysoká škola chemicko-technologická v Praze, Fakulta chemicko-inženýrská, nebyla porušena pravidla GA ČR.</w:t>
      </w:r>
    </w:p>
    <w:p w:rsidR="0042715B" w:rsidRPr="001A0728" w:rsidRDefault="0042715B" w:rsidP="0042715B">
      <w:pPr>
        <w:spacing w:after="0" w:line="240" w:lineRule="auto"/>
      </w:pPr>
    </w:p>
    <w:p w:rsidR="0042715B" w:rsidRPr="001A0728" w:rsidRDefault="0042715B" w:rsidP="0042715B">
      <w:pPr>
        <w:spacing w:after="0" w:line="240" w:lineRule="auto"/>
      </w:pPr>
      <w:r w:rsidRPr="001A0728">
        <w:rPr>
          <w:iCs/>
        </w:rPr>
        <w:t>16-03806S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lastRenderedPageBreak/>
        <w:t>Žádost o informace k postupu hodnocení návrhu projektu</w:t>
      </w:r>
      <w:r w:rsidRPr="001A0728">
        <w:t xml:space="preserve">, Ústav teorie informace a automatizace AV ČR, v.v.i., </w:t>
      </w:r>
      <w:r w:rsidRPr="001A0728">
        <w:rPr>
          <w:iCs/>
        </w:rPr>
        <w:t>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16-14743S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přezkoumání rozhodnutí panelu ohledně hodnocení návrhu projektu, Ústav fyziky plazmatu AV ČR, v.v.i., nebyla porušena pravidla GA ČR.</w:t>
      </w:r>
    </w:p>
    <w:p w:rsidR="002C51F7" w:rsidRDefault="002C51F7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16-16786S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Stížnost na kvalitu posudků u návrhu projektu, Vysoká škola chemicko-technologická v Praze, Fakulta chemicko-inženýrská,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14-27496S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přezkoumání rozhodnutí, Ústav mezinárodních vztahů, v.v.i., nebyla porušena pravidla GA ČR.</w:t>
      </w:r>
    </w:p>
    <w:p w:rsidR="00B54964" w:rsidRDefault="00B54964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14-30062S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přezkoumání rozhodnutí, Fyzikální ústav AV ČR, v.v.i.,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16-16225S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Podnět KR na nevhodné formulace v posudku, Masarykova univerzita,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14-33094S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vysvětlení zamítnutí převodu finančních prostředků, Masarykova univerzita, Fakulta sociálních studií, nebyla porušena pravidla GA ČR.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P410-11-0423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změnu hodnocení projektu, Ústav pro soudobé dějiny AV ČR, v.v.i., žádost podána po zákonné lhůtě.</w:t>
      </w:r>
    </w:p>
    <w:p w:rsidR="0042715B" w:rsidRPr="001A0728" w:rsidRDefault="0042715B" w:rsidP="0042715B">
      <w:pPr>
        <w:spacing w:after="0" w:line="240" w:lineRule="auto"/>
        <w:rPr>
          <w:iCs/>
        </w:rPr>
      </w:pP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P410-11-P779</w:t>
      </w:r>
    </w:p>
    <w:p w:rsidR="0042715B" w:rsidRPr="001A0728" w:rsidRDefault="0042715B" w:rsidP="0042715B">
      <w:pPr>
        <w:spacing w:after="0" w:line="240" w:lineRule="auto"/>
        <w:rPr>
          <w:iCs/>
        </w:rPr>
      </w:pPr>
      <w:r w:rsidRPr="001A0728">
        <w:rPr>
          <w:iCs/>
        </w:rPr>
        <w:t>Žádost o změnu hodnocení projektu, Ústav pro soudobé dějiny AV ČR, v.v.i., žádost podána po zákonné lhůtě.</w:t>
      </w:r>
    </w:p>
    <w:p w:rsidR="00955771" w:rsidRPr="001A0728" w:rsidRDefault="00955771" w:rsidP="00955771">
      <w:pPr>
        <w:pStyle w:val="Nadpis1"/>
        <w:rPr>
          <w:rFonts w:eastAsia="Arial Bold"/>
          <w:sz w:val="24"/>
          <w:szCs w:val="24"/>
        </w:rPr>
      </w:pPr>
      <w:r w:rsidRPr="001A0728">
        <w:rPr>
          <w:sz w:val="24"/>
          <w:szCs w:val="24"/>
        </w:rPr>
        <w:t>Spolupráce KR s</w:t>
      </w:r>
      <w:r w:rsidR="007D136B" w:rsidRPr="001A0728">
        <w:rPr>
          <w:sz w:val="24"/>
          <w:szCs w:val="24"/>
        </w:rPr>
        <w:t xml:space="preserve"> ostatními složkami </w:t>
      </w:r>
      <w:r w:rsidRPr="001A0728">
        <w:rPr>
          <w:sz w:val="24"/>
          <w:szCs w:val="24"/>
        </w:rPr>
        <w:t>GA</w:t>
      </w:r>
      <w:r w:rsidR="00774C5D" w:rsidRPr="001A0728">
        <w:rPr>
          <w:sz w:val="24"/>
          <w:szCs w:val="24"/>
        </w:rPr>
        <w:t> </w:t>
      </w:r>
      <w:r w:rsidRPr="001A0728">
        <w:rPr>
          <w:sz w:val="24"/>
          <w:szCs w:val="24"/>
        </w:rPr>
        <w:t>ČR</w:t>
      </w:r>
    </w:p>
    <w:p w:rsidR="00955771" w:rsidRPr="00655B0B" w:rsidRDefault="00E909FB" w:rsidP="000E59CB">
      <w:pPr>
        <w:spacing w:after="0"/>
        <w:ind w:firstLine="708"/>
      </w:pPr>
      <w:r w:rsidRPr="001A0728">
        <w:t xml:space="preserve"> </w:t>
      </w:r>
      <w:r w:rsidR="00955771" w:rsidRPr="001A0728">
        <w:t>Hlavním partnerem pro</w:t>
      </w:r>
      <w:r w:rsidR="00955771" w:rsidRPr="00655B0B">
        <w:t xml:space="preserve"> plnění funkcí stanovených zákonem bylo pro KR především předsednictvo GA ČR, které ve sledovaném období pracovalo v</w:t>
      </w:r>
      <w:r w:rsidR="00774C5D" w:rsidRPr="00655B0B">
        <w:t> </w:t>
      </w:r>
      <w:r w:rsidR="00955771" w:rsidRPr="00655B0B">
        <w:t xml:space="preserve">následujícím složení: </w:t>
      </w:r>
    </w:p>
    <w:p w:rsidR="00955771" w:rsidRPr="00655B0B" w:rsidRDefault="00955771" w:rsidP="000E59CB">
      <w:pPr>
        <w:pStyle w:val="Odstavecseseznamem"/>
        <w:numPr>
          <w:ilvl w:val="0"/>
          <w:numId w:val="18"/>
        </w:numPr>
        <w:spacing w:after="0"/>
        <w:ind w:left="1068"/>
      </w:pPr>
      <w:r w:rsidRPr="00655B0B">
        <w:t>prof. RNDr. Ivan Netuka, DrSc. (předseda) – vědy o neživé přírodě</w:t>
      </w:r>
    </w:p>
    <w:p w:rsidR="00955771" w:rsidRPr="00655B0B" w:rsidRDefault="00955771" w:rsidP="000E59CB">
      <w:pPr>
        <w:pStyle w:val="Odstavecseseznamem"/>
        <w:numPr>
          <w:ilvl w:val="0"/>
          <w:numId w:val="18"/>
        </w:numPr>
        <w:spacing w:after="0"/>
        <w:ind w:left="1068"/>
      </w:pPr>
      <w:r w:rsidRPr="00655B0B">
        <w:t>prof. Ing. Stanislava Hronová, CSc., dr. h. c. (místopředsedkyně) – společenské a</w:t>
      </w:r>
      <w:r w:rsidR="00E909FB">
        <w:t xml:space="preserve"> </w:t>
      </w:r>
      <w:r w:rsidRPr="00655B0B">
        <w:t>humanitní vědy</w:t>
      </w:r>
    </w:p>
    <w:p w:rsidR="00955771" w:rsidRPr="00655B0B" w:rsidRDefault="00955771" w:rsidP="00655B0B">
      <w:pPr>
        <w:pStyle w:val="Odstavecseseznamem"/>
        <w:numPr>
          <w:ilvl w:val="0"/>
          <w:numId w:val="18"/>
        </w:numPr>
        <w:ind w:left="1068"/>
      </w:pPr>
      <w:r w:rsidRPr="00655B0B">
        <w:t>prof. MUDr. Cyril Höschl, DrSc. FRCPsych.</w:t>
      </w:r>
      <w:r w:rsidR="00E909FB">
        <w:t xml:space="preserve"> </w:t>
      </w:r>
      <w:r w:rsidRPr="00655B0B">
        <w:t>– lékařské a biologické vědy</w:t>
      </w:r>
    </w:p>
    <w:p w:rsidR="00955771" w:rsidRPr="00655B0B" w:rsidRDefault="00955771" w:rsidP="00655B0B">
      <w:pPr>
        <w:pStyle w:val="Odstavecseseznamem"/>
        <w:numPr>
          <w:ilvl w:val="0"/>
          <w:numId w:val="18"/>
        </w:numPr>
        <w:ind w:left="1068"/>
      </w:pPr>
      <w:r w:rsidRPr="00655B0B">
        <w:t>prof. RNDr. Bohuslav Gaš, CSc. – technické vědy</w:t>
      </w:r>
    </w:p>
    <w:p w:rsidR="0060250F" w:rsidRPr="00655B0B" w:rsidRDefault="00955771" w:rsidP="00655B0B">
      <w:pPr>
        <w:pStyle w:val="Odstavecseseznamem"/>
        <w:numPr>
          <w:ilvl w:val="0"/>
          <w:numId w:val="17"/>
        </w:numPr>
        <w:ind w:left="1068"/>
      </w:pPr>
      <w:r w:rsidRPr="00655B0B">
        <w:t>prof. Ing. Otomar Linhart, DrSc. – zemědělské a biologicko-</w:t>
      </w:r>
      <w:bookmarkStart w:id="0" w:name="_GoBack"/>
      <w:bookmarkEnd w:id="0"/>
      <w:r w:rsidRPr="00655B0B">
        <w:t>environmentální vědy</w:t>
      </w:r>
    </w:p>
    <w:p w:rsidR="00955771" w:rsidRPr="00655B0B" w:rsidRDefault="0060250F" w:rsidP="0060250F">
      <w:r w:rsidRPr="00655B0B">
        <w:rPr>
          <w:rFonts w:eastAsia="Arial"/>
        </w:rPr>
        <w:lastRenderedPageBreak/>
        <w:tab/>
        <w:t>V</w:t>
      </w:r>
      <w:r w:rsidR="007D136B">
        <w:rPr>
          <w:rFonts w:eastAsia="Arial"/>
        </w:rPr>
        <w:t xml:space="preserve"> celém </w:t>
      </w:r>
      <w:r w:rsidRPr="00655B0B">
        <w:rPr>
          <w:rFonts w:eastAsia="Arial"/>
        </w:rPr>
        <w:t xml:space="preserve">uplynulém </w:t>
      </w:r>
      <w:r w:rsidRPr="00655B0B">
        <w:t>období byla spolupráce KR s</w:t>
      </w:r>
      <w:r w:rsidR="007D136B">
        <w:t xml:space="preserve"> předsedou GA ČR a celým </w:t>
      </w:r>
      <w:r w:rsidRPr="00655B0B">
        <w:t xml:space="preserve">předsednictvem GA ČR na velmi dobré úrovni. </w:t>
      </w:r>
      <w:r w:rsidR="007D136B">
        <w:t>Z</w:t>
      </w:r>
      <w:r w:rsidRPr="00655B0B">
        <w:t>atímco práce předsednictva spočívala v</w:t>
      </w:r>
      <w:r w:rsidR="00774C5D" w:rsidRPr="00655B0B">
        <w:t> </w:t>
      </w:r>
      <w:r w:rsidRPr="00655B0B">
        <w:t>řízení GA ČR a případném směrování jejího dalšího rozvoje, vykonávala KR ve</w:t>
      </w:r>
      <w:r w:rsidR="000E5968">
        <w:t> </w:t>
      </w:r>
      <w:r w:rsidRPr="00655B0B">
        <w:t xml:space="preserve">spolupráci s </w:t>
      </w:r>
      <w:r w:rsidR="00494F1B" w:rsidRPr="00655B0B">
        <w:t>úsekem kontroly Kanceláře</w:t>
      </w:r>
      <w:r w:rsidRPr="00655B0B">
        <w:t xml:space="preserve"> GA ČR dohled nad činností celé GA ČR, takže kontrolovala jak činnost předsednictva a jeho poradních orgánů, tak </w:t>
      </w:r>
      <w:r w:rsidR="009C2AE2">
        <w:t>i </w:t>
      </w:r>
      <w:r w:rsidRPr="00655B0B">
        <w:t>účelnost a</w:t>
      </w:r>
      <w:r w:rsidR="006725FA">
        <w:t> </w:t>
      </w:r>
      <w:r w:rsidRPr="00655B0B">
        <w:t>efektivitu využití finančních prostředků rozdělených na jednotlivé grantové projekty.</w:t>
      </w:r>
    </w:p>
    <w:p w:rsidR="00955771" w:rsidRPr="00655B0B" w:rsidRDefault="0060250F" w:rsidP="00955771">
      <w:pPr>
        <w:ind w:firstLine="708"/>
      </w:pPr>
      <w:r w:rsidRPr="00655B0B">
        <w:t>Vědeck</w:t>
      </w:r>
      <w:r w:rsidR="00367D49" w:rsidRPr="00655B0B">
        <w:t>á</w:t>
      </w:r>
      <w:r w:rsidRPr="00655B0B">
        <w:t xml:space="preserve"> rad</w:t>
      </w:r>
      <w:r w:rsidR="006725FA">
        <w:t>a</w:t>
      </w:r>
      <w:r w:rsidRPr="00655B0B">
        <w:t xml:space="preserve"> GA ČR</w:t>
      </w:r>
      <w:r w:rsidR="008E121C" w:rsidRPr="00655B0B">
        <w:t xml:space="preserve"> (</w:t>
      </w:r>
      <w:r w:rsidR="00774C5D" w:rsidRPr="00655B0B">
        <w:t xml:space="preserve">dále také </w:t>
      </w:r>
      <w:r w:rsidR="008E121C" w:rsidRPr="00655B0B">
        <w:t>VR)</w:t>
      </w:r>
      <w:r w:rsidR="00955771" w:rsidRPr="00655B0B">
        <w:t>, jejíž postavení vyplývá z § 36 zákona</w:t>
      </w:r>
      <w:r w:rsidR="00E909FB">
        <w:t xml:space="preserve"> </w:t>
      </w:r>
      <w:r w:rsidR="00955771" w:rsidRPr="00655B0B">
        <w:t>130/2</w:t>
      </w:r>
      <w:r w:rsidR="007D136B">
        <w:t>002 Sb. pracuje</w:t>
      </w:r>
      <w:r w:rsidR="00367D49" w:rsidRPr="00655B0B">
        <w:t xml:space="preserve"> </w:t>
      </w:r>
      <w:r w:rsidR="00955771" w:rsidRPr="00655B0B">
        <w:t xml:space="preserve">od </w:t>
      </w:r>
      <w:r w:rsidR="007D136B">
        <w:t>roku</w:t>
      </w:r>
      <w:r w:rsidR="00367D49" w:rsidRPr="00655B0B">
        <w:t xml:space="preserve"> 2014</w:t>
      </w:r>
      <w:r w:rsidR="00955771" w:rsidRPr="00655B0B">
        <w:t xml:space="preserve"> v následujícím složení: 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Ing. Zdeněk Bittnar, DrSc. (předseda)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MUDr. Tomáš Zima, DrSc., MBA (místopředseda)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Ing. Jana Hajšlová, CSc.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RNDr. Václav Hampl, DrSc.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RNDr. Jan Hanousek, CSc.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RNDr. Jan Kratochvíl, CSc.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PhDr. Jiří Kuthan, DrSc., dr. h. c.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Ing. Jiří Málek, DrSc.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RNDr. Bedřich Moldan, CSc.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doc. RNDr. Vojtěch Petráček, CSc.</w:t>
      </w:r>
    </w:p>
    <w:p w:rsidR="00955771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PhDr. Jan Sokol, CSc., Ph.D.</w:t>
      </w:r>
    </w:p>
    <w:p w:rsidR="00E86AF8" w:rsidRPr="00655B0B" w:rsidRDefault="00955771" w:rsidP="0060250F">
      <w:pPr>
        <w:pStyle w:val="Odstavecseseznamem"/>
        <w:numPr>
          <w:ilvl w:val="2"/>
          <w:numId w:val="17"/>
        </w:numPr>
      </w:pPr>
      <w:r w:rsidRPr="00655B0B">
        <w:t>prof. MUDr. Julius Špičák, CSc.</w:t>
      </w:r>
    </w:p>
    <w:p w:rsidR="00367D49" w:rsidRPr="00655B0B" w:rsidRDefault="00367D49" w:rsidP="00367D49">
      <w:r w:rsidRPr="00655B0B">
        <w:t>Předseda KR se podle potřeby zúčastňuje zasedání VR s cílem seznámení</w:t>
      </w:r>
      <w:r w:rsidR="008E121C" w:rsidRPr="00655B0B">
        <w:t xml:space="preserve"> se s koncepčními</w:t>
      </w:r>
      <w:r w:rsidRPr="00655B0B">
        <w:t xml:space="preserve"> a dlouhodobými cíli navrhovanými VR a koordinace činnosti obou orgánů.</w:t>
      </w:r>
      <w:r w:rsidR="007D136B">
        <w:t xml:space="preserve"> Mimo to jsou aktuální otázky </w:t>
      </w:r>
      <w:r w:rsidR="009C2AE2">
        <w:t>projed</w:t>
      </w:r>
      <w:r w:rsidR="006928B7">
        <w:t>návány</w:t>
      </w:r>
      <w:r w:rsidR="007D136B">
        <w:t xml:space="preserve"> přímo mezi předsedy obou rad.</w:t>
      </w:r>
      <w:r w:rsidR="00E909FB">
        <w:t xml:space="preserve"> </w:t>
      </w:r>
    </w:p>
    <w:p w:rsidR="00F52C6B" w:rsidRDefault="0060250F" w:rsidP="0060250F">
      <w:pPr>
        <w:ind w:firstLine="708"/>
      </w:pPr>
      <w:r w:rsidRPr="00655B0B">
        <w:t>KR také musí vyzvednout kvalitní spolupráci</w:t>
      </w:r>
      <w:r w:rsidR="008E121C" w:rsidRPr="00655B0B">
        <w:t xml:space="preserve"> s pracovníky Kanceláře</w:t>
      </w:r>
      <w:r w:rsidRPr="00655B0B">
        <w:t xml:space="preserve"> GA ČR, pod vedením ředitelky Ing. Lady Knetlové</w:t>
      </w:r>
      <w:r w:rsidR="009C2AE2" w:rsidRPr="00655B0B">
        <w:t>.</w:t>
      </w:r>
      <w:r w:rsidRPr="00655B0B">
        <w:t xml:space="preserve"> Klíčová pro činnost KR byla spolupráce s </w:t>
      </w:r>
      <w:r w:rsidR="00774C5D" w:rsidRPr="00655B0B">
        <w:t>ú</w:t>
      </w:r>
      <w:r w:rsidRPr="00655B0B">
        <w:t>sekem kontroly Kanceláře GA ČR veden</w:t>
      </w:r>
      <w:r w:rsidR="00774C5D" w:rsidRPr="00655B0B">
        <w:t>ým</w:t>
      </w:r>
      <w:r w:rsidRPr="00655B0B">
        <w:t xml:space="preserve"> Ing. Martinou Vondráčkovou</w:t>
      </w:r>
      <w:r w:rsidR="00367D49" w:rsidRPr="00655B0B">
        <w:t>,</w:t>
      </w:r>
      <w:r w:rsidRPr="00655B0B">
        <w:t xml:space="preserve"> která byla pro úspěšnou činnost KR nezbytná, neboť zajišťovala členům KR podklady pro jejich kontrolní</w:t>
      </w:r>
      <w:r w:rsidR="00DD785E" w:rsidRPr="00655B0B">
        <w:t xml:space="preserve"> činnost. </w:t>
      </w:r>
    </w:p>
    <w:p w:rsidR="00F52C6B" w:rsidRDefault="00F52C6B">
      <w:pPr>
        <w:spacing w:line="276" w:lineRule="auto"/>
        <w:jc w:val="left"/>
      </w:pPr>
      <w:r>
        <w:br w:type="page"/>
      </w:r>
    </w:p>
    <w:p w:rsidR="0060250F" w:rsidRPr="00655B0B" w:rsidRDefault="00367D49" w:rsidP="00367D49">
      <w:pPr>
        <w:pStyle w:val="Nadpis1"/>
      </w:pPr>
      <w:r w:rsidRPr="00655B0B">
        <w:lastRenderedPageBreak/>
        <w:t>Závěr</w:t>
      </w:r>
    </w:p>
    <w:p w:rsidR="00367D49" w:rsidRPr="00BE565B" w:rsidRDefault="00BE565B" w:rsidP="00BE565B">
      <w:r>
        <w:rPr>
          <w:rFonts w:eastAsia="Arial"/>
        </w:rPr>
        <w:tab/>
      </w:r>
      <w:r w:rsidR="00367D49" w:rsidRPr="00BE565B">
        <w:rPr>
          <w:rFonts w:eastAsia="Arial"/>
        </w:rPr>
        <w:t>Kontroln</w:t>
      </w:r>
      <w:r w:rsidR="00367D49" w:rsidRPr="00BE565B">
        <w:t>í rada GA ČR p</w:t>
      </w:r>
      <w:r w:rsidR="00536C2D" w:rsidRPr="00BE565B">
        <w:t>lnila během období od října 2015</w:t>
      </w:r>
      <w:r w:rsidR="00367D49" w:rsidRPr="00BE565B">
        <w:t xml:space="preserve"> do </w:t>
      </w:r>
      <w:r w:rsidR="00E462C8">
        <w:t>září</w:t>
      </w:r>
      <w:r w:rsidR="00536C2D" w:rsidRPr="00BE565B">
        <w:t xml:space="preserve"> 2016</w:t>
      </w:r>
      <w:r w:rsidR="00367D49" w:rsidRPr="00BE565B">
        <w:t xml:space="preserve"> všechny úkoly, které jí stanovuje zákon 130/2002 Sb., resp. jeho novela obsažená v</w:t>
      </w:r>
      <w:r w:rsidR="00774C5D" w:rsidRPr="00BE565B">
        <w:t> </w:t>
      </w:r>
      <w:r w:rsidR="00367D49" w:rsidRPr="00BE565B">
        <w:t xml:space="preserve">zákoně 110/2009 Sb. Kontrolní rada standardně vykonávala ve sledovaném období kontrolu činnosti GA ČR, vyřizovala stížnosti na neudělení grantů některým projektům, projednávala a předkládala návrhy na zlepšení </w:t>
      </w:r>
      <w:r w:rsidR="00774C5D" w:rsidRPr="00BE565B">
        <w:t>činnosti GA ČR</w:t>
      </w:r>
      <w:r w:rsidR="00367D49" w:rsidRPr="00BE565B">
        <w:t xml:space="preserve"> a</w:t>
      </w:r>
      <w:r w:rsidR="00774C5D" w:rsidRPr="00BE565B">
        <w:t> </w:t>
      </w:r>
      <w:r w:rsidR="00367D49" w:rsidRPr="00BE565B">
        <w:t>prováděla fyzick</w:t>
      </w:r>
      <w:r>
        <w:t xml:space="preserve">é kontroly při jednání panelů, </w:t>
      </w:r>
      <w:r w:rsidR="00367D49" w:rsidRPr="00BE565B">
        <w:t>oborových komisí</w:t>
      </w:r>
      <w:r>
        <w:t xml:space="preserve"> a předsednictva</w:t>
      </w:r>
      <w:r w:rsidR="00367D49" w:rsidRPr="00BE565B">
        <w:t>. Ve spolupráci s</w:t>
      </w:r>
      <w:r w:rsidR="00774C5D" w:rsidRPr="00BE565B">
        <w:t> úsekem kontroly Kanceláře</w:t>
      </w:r>
      <w:r>
        <w:t xml:space="preserve"> GA ČR kontrolovala </w:t>
      </w:r>
      <w:r w:rsidR="00367D49" w:rsidRPr="00BE565B">
        <w:t xml:space="preserve">čerpání finančních prostředků a </w:t>
      </w:r>
      <w:r w:rsidR="007B5822">
        <w:t xml:space="preserve">zaměřila se </w:t>
      </w:r>
      <w:r w:rsidR="00367D49" w:rsidRPr="00BE565B">
        <w:t xml:space="preserve">na případné neoprávněné nakládání s </w:t>
      </w:r>
      <w:r>
        <w:t>finančními</w:t>
      </w:r>
      <w:r w:rsidR="00367D49" w:rsidRPr="00BE565B">
        <w:t xml:space="preserve"> prostředky. </w:t>
      </w:r>
      <w:r w:rsidR="000D3433" w:rsidRPr="00BE565B">
        <w:t>Č</w:t>
      </w:r>
      <w:r>
        <w:t xml:space="preserve">lenové KR se </w:t>
      </w:r>
      <w:r w:rsidR="00367D49" w:rsidRPr="00BE565B">
        <w:t>aktivně účastnili práce</w:t>
      </w:r>
      <w:r w:rsidR="001515EA" w:rsidRPr="00BE565B">
        <w:t>,</w:t>
      </w:r>
      <w:r w:rsidR="00367D49" w:rsidRPr="00BE565B">
        <w:t xml:space="preserve"> jak účastí na pravidelných schůzích, tak zejm</w:t>
      </w:r>
      <w:r>
        <w:t xml:space="preserve">éna účastí na jednáních panelů, </w:t>
      </w:r>
      <w:r w:rsidR="00367D49" w:rsidRPr="00BE565B">
        <w:t xml:space="preserve">oborových komisí a </w:t>
      </w:r>
      <w:r>
        <w:t>předsednictva</w:t>
      </w:r>
      <w:r w:rsidR="00363521">
        <w:t xml:space="preserve"> GA ČR</w:t>
      </w:r>
      <w:r>
        <w:t xml:space="preserve">. Dalším důležitým úkolem pak bylo </w:t>
      </w:r>
      <w:r w:rsidR="007B5822">
        <w:t>vyřizování</w:t>
      </w:r>
      <w:r w:rsidR="00367D49" w:rsidRPr="00BE565B">
        <w:t xml:space="preserve"> stížností </w:t>
      </w:r>
      <w:r>
        <w:t xml:space="preserve">navrhovatelů a řešitelů grantů s cílem </w:t>
      </w:r>
      <w:r w:rsidR="00367D49" w:rsidRPr="00BE565B">
        <w:t>přis</w:t>
      </w:r>
      <w:r>
        <w:t>pět</w:t>
      </w:r>
      <w:r w:rsidR="00367D49" w:rsidRPr="00BE565B">
        <w:t xml:space="preserve"> k regulérnímu průběhu soutěže.</w:t>
      </w:r>
    </w:p>
    <w:p w:rsidR="00367D49" w:rsidRPr="00BE565B" w:rsidRDefault="00367D49" w:rsidP="00367D49">
      <w:r w:rsidRPr="00BE565B">
        <w:rPr>
          <w:rFonts w:eastAsia="Arial"/>
        </w:rPr>
        <w:tab/>
        <w:t>V dal</w:t>
      </w:r>
      <w:r w:rsidRPr="00BE565B">
        <w:t xml:space="preserve">ším období </w:t>
      </w:r>
      <w:r w:rsidR="007B5822">
        <w:t xml:space="preserve">bude </w:t>
      </w:r>
      <w:r w:rsidR="004011B2">
        <w:t>KR</w:t>
      </w:r>
      <w:r w:rsidR="00BE565B">
        <w:t xml:space="preserve"> pokrač</w:t>
      </w:r>
      <w:r w:rsidR="00FB03C7">
        <w:t xml:space="preserve">ovat ve své kontrolní činnosti </w:t>
      </w:r>
      <w:r w:rsidR="00BE565B">
        <w:t xml:space="preserve">při </w:t>
      </w:r>
      <w:r w:rsidRPr="00BE565B">
        <w:t xml:space="preserve">hodnocení </w:t>
      </w:r>
      <w:r w:rsidR="000D3433" w:rsidRPr="00BE565B">
        <w:t>návrhů projektů</w:t>
      </w:r>
      <w:r w:rsidR="006725FA" w:rsidRPr="00BE565B">
        <w:t>,</w:t>
      </w:r>
      <w:r w:rsidR="00BE565B">
        <w:t xml:space="preserve"> stejně tak jako při</w:t>
      </w:r>
      <w:r w:rsidR="000D3433" w:rsidRPr="00BE565B">
        <w:t xml:space="preserve"> hodnocení </w:t>
      </w:r>
      <w:r w:rsidRPr="00BE565B">
        <w:t>výsledků grantových projektů obsažených v dílčích a</w:t>
      </w:r>
      <w:r w:rsidR="001515EA" w:rsidRPr="00BE565B">
        <w:t> </w:t>
      </w:r>
      <w:r w:rsidRPr="00BE565B">
        <w:t>závěrečných zprávách. V rámci svých zák</w:t>
      </w:r>
      <w:r w:rsidR="004011B2">
        <w:t xml:space="preserve">onem daných kompetencí bude KR </w:t>
      </w:r>
      <w:r w:rsidRPr="00BE565B">
        <w:t xml:space="preserve">nadále </w:t>
      </w:r>
      <w:r w:rsidR="004011B2">
        <w:t xml:space="preserve">navrhovat opatření na zlepšení činnosti </w:t>
      </w:r>
      <w:r w:rsidRPr="00BE565B">
        <w:t xml:space="preserve">GA ČR a pozornost bude </w:t>
      </w:r>
      <w:r w:rsidR="004011B2">
        <w:t xml:space="preserve">i nadále </w:t>
      </w:r>
      <w:r w:rsidRPr="00BE565B">
        <w:t xml:space="preserve">věnovat kontrole </w:t>
      </w:r>
      <w:r w:rsidR="001515EA" w:rsidRPr="00BE565B">
        <w:t xml:space="preserve">čerpání </w:t>
      </w:r>
      <w:r w:rsidRPr="00BE565B">
        <w:t xml:space="preserve">finančních prostředků </w:t>
      </w:r>
      <w:r w:rsidR="001515EA" w:rsidRPr="00BE565B">
        <w:t>poskytnutých</w:t>
      </w:r>
      <w:r w:rsidRPr="00BE565B">
        <w:t xml:space="preserve"> GA ČR na řešení grantových projektů. KR </w:t>
      </w:r>
      <w:r w:rsidR="006928B7">
        <w:t>se</w:t>
      </w:r>
      <w:r w:rsidRPr="00BE565B">
        <w:t xml:space="preserve"> </w:t>
      </w:r>
      <w:r w:rsidR="004011B2">
        <w:t xml:space="preserve">tak bude </w:t>
      </w:r>
      <w:r w:rsidR="000E5968" w:rsidRPr="00BE565B">
        <w:t>podílet na </w:t>
      </w:r>
      <w:r w:rsidR="00DD785E" w:rsidRPr="00BE565B">
        <w:t xml:space="preserve">zlepšení </w:t>
      </w:r>
      <w:r w:rsidRPr="00BE565B">
        <w:t>činnosti celého systému</w:t>
      </w:r>
      <w:r w:rsidR="001515EA" w:rsidRPr="00BE565B">
        <w:t xml:space="preserve"> podpory základního výzkumu</w:t>
      </w:r>
      <w:r w:rsidRPr="00BE565B">
        <w:t xml:space="preserve">. </w:t>
      </w:r>
    </w:p>
    <w:p w:rsidR="000D3433" w:rsidRPr="00655B0B" w:rsidRDefault="000D3433" w:rsidP="00367D49">
      <w:pPr>
        <w:rPr>
          <w:rFonts w:eastAsia="Arial"/>
        </w:rPr>
      </w:pPr>
    </w:p>
    <w:p w:rsidR="00367D49" w:rsidRPr="00655B0B" w:rsidRDefault="00367D49" w:rsidP="00367D49"/>
    <w:p w:rsidR="00367D49" w:rsidRPr="00E462C8" w:rsidRDefault="00367D49" w:rsidP="00367D49">
      <w:pPr>
        <w:rPr>
          <w:rFonts w:eastAsia="Arial"/>
        </w:rPr>
      </w:pPr>
      <w:r w:rsidRPr="00E462C8">
        <w:t xml:space="preserve">V Praze dne </w:t>
      </w:r>
      <w:r w:rsidR="00B54964" w:rsidRPr="00B54964">
        <w:t>17</w:t>
      </w:r>
      <w:r w:rsidR="00FB03C7">
        <w:rPr>
          <w:color w:val="FF0000"/>
        </w:rPr>
        <w:t>.</w:t>
      </w:r>
      <w:r w:rsidR="001A0728" w:rsidRPr="00E462C8">
        <w:t xml:space="preserve"> října</w:t>
      </w:r>
      <w:r w:rsidR="001515EA" w:rsidRPr="00E462C8">
        <w:t xml:space="preserve"> </w:t>
      </w:r>
      <w:r w:rsidR="00536C2D" w:rsidRPr="00E462C8">
        <w:t>2016</w:t>
      </w:r>
      <w:r w:rsidR="00E909FB" w:rsidRPr="00E462C8">
        <w:t xml:space="preserve">         </w:t>
      </w:r>
      <w:r w:rsidRPr="00E462C8">
        <w:t xml:space="preserve"> </w:t>
      </w:r>
    </w:p>
    <w:p w:rsidR="00367D49" w:rsidRPr="00655B0B" w:rsidRDefault="00367D49" w:rsidP="00367D49">
      <w:pPr>
        <w:rPr>
          <w:rFonts w:eastAsia="Arial"/>
        </w:rPr>
      </w:pPr>
    </w:p>
    <w:p w:rsidR="00367D49" w:rsidRPr="00655B0B" w:rsidRDefault="00367D49" w:rsidP="00367D49">
      <w:pPr>
        <w:rPr>
          <w:rFonts w:eastAsia="Arial"/>
        </w:rPr>
      </w:pPr>
    </w:p>
    <w:p w:rsidR="009C2AE2" w:rsidRDefault="00E462C8" w:rsidP="009C2AE2">
      <w:r>
        <w:t>Zpracovala prof. PhDr. Jana Geršlová, CSc.</w:t>
      </w:r>
    </w:p>
    <w:p w:rsidR="00FB03C7" w:rsidRPr="00367D49" w:rsidRDefault="009F1768" w:rsidP="009C2AE2">
      <w:r>
        <w:t xml:space="preserve">předsedkyně KR </w:t>
      </w:r>
    </w:p>
    <w:p w:rsidR="00367D49" w:rsidRPr="00367D49" w:rsidRDefault="00367D49" w:rsidP="002E1617">
      <w:pPr>
        <w:pStyle w:val="Nadpis1"/>
      </w:pPr>
    </w:p>
    <w:sectPr w:rsidR="00367D49" w:rsidRPr="00367D4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FC5" w:rsidRDefault="007F5FC5" w:rsidP="00267651">
      <w:pPr>
        <w:spacing w:after="0" w:line="240" w:lineRule="auto"/>
      </w:pPr>
      <w:r>
        <w:separator/>
      </w:r>
    </w:p>
  </w:endnote>
  <w:endnote w:type="continuationSeparator" w:id="0">
    <w:p w:rsidR="007F5FC5" w:rsidRDefault="007F5FC5" w:rsidP="00267651">
      <w:pPr>
        <w:spacing w:after="0" w:line="240" w:lineRule="auto"/>
      </w:pPr>
      <w:r>
        <w:continuationSeparator/>
      </w:r>
    </w:p>
  </w:endnote>
  <w:endnote w:type="continuationNotice" w:id="1">
    <w:p w:rsidR="007F5FC5" w:rsidRDefault="007F5F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0686259"/>
      <w:docPartObj>
        <w:docPartGallery w:val="Page Numbers (Bottom of Page)"/>
        <w:docPartUnique/>
      </w:docPartObj>
    </w:sdtPr>
    <w:sdtEndPr/>
    <w:sdtContent>
      <w:p w:rsidR="003015D0" w:rsidRDefault="00301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9CB">
          <w:rPr>
            <w:noProof/>
          </w:rPr>
          <w:t>20</w:t>
        </w:r>
        <w:r>
          <w:fldChar w:fldCharType="end"/>
        </w:r>
      </w:p>
    </w:sdtContent>
  </w:sdt>
  <w:p w:rsidR="003015D0" w:rsidRDefault="003015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FC5" w:rsidRDefault="007F5FC5" w:rsidP="00267651">
      <w:pPr>
        <w:spacing w:after="0" w:line="240" w:lineRule="auto"/>
      </w:pPr>
      <w:r>
        <w:separator/>
      </w:r>
    </w:p>
  </w:footnote>
  <w:footnote w:type="continuationSeparator" w:id="0">
    <w:p w:rsidR="007F5FC5" w:rsidRDefault="007F5FC5" w:rsidP="00267651">
      <w:pPr>
        <w:spacing w:after="0" w:line="240" w:lineRule="auto"/>
      </w:pPr>
      <w:r>
        <w:continuationSeparator/>
      </w:r>
    </w:p>
  </w:footnote>
  <w:footnote w:type="continuationNotice" w:id="1">
    <w:p w:rsidR="007F5FC5" w:rsidRDefault="007F5FC5">
      <w:pPr>
        <w:spacing w:after="0" w:line="240" w:lineRule="auto"/>
      </w:pPr>
    </w:p>
  </w:footnote>
  <w:footnote w:id="2">
    <w:p w:rsidR="003015D0" w:rsidRDefault="003015D0">
      <w:pPr>
        <w:pStyle w:val="Textpoznpodarou"/>
      </w:pPr>
      <w:r>
        <w:rPr>
          <w:rStyle w:val="Znakapoznpodarou"/>
        </w:rPr>
        <w:footnoteRef/>
      </w:r>
      <w:r>
        <w:t xml:space="preserve"> Nové aktuální údaje budou k dispozici koncem listopadu 2016.</w:t>
      </w:r>
    </w:p>
  </w:footnote>
  <w:footnote w:id="3">
    <w:p w:rsidR="003015D0" w:rsidRDefault="003015D0" w:rsidP="00D06B95">
      <w:pPr>
        <w:pStyle w:val="Textpoznpodarou"/>
      </w:pPr>
      <w:r>
        <w:rPr>
          <w:rStyle w:val="Znakapoznpodarou"/>
        </w:rPr>
        <w:footnoteRef/>
      </w:r>
      <w:r>
        <w:t xml:space="preserve"> Data k 30. 3. 2016, nové aktuální údaje budou k dispozici koncem listopadu 2016</w:t>
      </w:r>
      <w:r w:rsidR="000E59C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5D0" w:rsidRDefault="003015D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F6E3C"/>
    <w:multiLevelType w:val="hybridMultilevel"/>
    <w:tmpl w:val="65AA9D2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628C7"/>
    <w:multiLevelType w:val="hybridMultilevel"/>
    <w:tmpl w:val="E92823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C30EB"/>
    <w:multiLevelType w:val="hybridMultilevel"/>
    <w:tmpl w:val="CFC2C0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F1597"/>
    <w:multiLevelType w:val="multilevel"/>
    <w:tmpl w:val="0216733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4" w15:restartNumberingAfterBreak="0">
    <w:nsid w:val="166718EE"/>
    <w:multiLevelType w:val="hybridMultilevel"/>
    <w:tmpl w:val="2E26CD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D63951"/>
    <w:multiLevelType w:val="hybridMultilevel"/>
    <w:tmpl w:val="3AAE89B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2642AC"/>
    <w:multiLevelType w:val="hybridMultilevel"/>
    <w:tmpl w:val="24785FB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B465726"/>
    <w:multiLevelType w:val="hybridMultilevel"/>
    <w:tmpl w:val="23D88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E317A"/>
    <w:multiLevelType w:val="hybridMultilevel"/>
    <w:tmpl w:val="5ECC1E12"/>
    <w:lvl w:ilvl="0" w:tplc="4864870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E2798"/>
    <w:multiLevelType w:val="multilevel"/>
    <w:tmpl w:val="66E0288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0" w15:restartNumberingAfterBreak="0">
    <w:nsid w:val="2FE179B2"/>
    <w:multiLevelType w:val="multilevel"/>
    <w:tmpl w:val="C904233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1" w15:restartNumberingAfterBreak="0">
    <w:nsid w:val="33CF45E9"/>
    <w:multiLevelType w:val="hybridMultilevel"/>
    <w:tmpl w:val="AC3E3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00706"/>
    <w:multiLevelType w:val="hybridMultilevel"/>
    <w:tmpl w:val="DF844C8A"/>
    <w:lvl w:ilvl="0" w:tplc="8140D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A28D4"/>
    <w:multiLevelType w:val="hybridMultilevel"/>
    <w:tmpl w:val="002CEAC2"/>
    <w:lvl w:ilvl="0" w:tplc="4864870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D3237"/>
    <w:multiLevelType w:val="hybridMultilevel"/>
    <w:tmpl w:val="7038836A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F1479D"/>
    <w:multiLevelType w:val="multilevel"/>
    <w:tmpl w:val="1716ECB0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position w:val="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position w:val="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position w:val="0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position w:val="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position w:val="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position w:val="0"/>
        <w:sz w:val="22"/>
        <w:szCs w:val="22"/>
      </w:rPr>
    </w:lvl>
  </w:abstractNum>
  <w:abstractNum w:abstractNumId="16" w15:restartNumberingAfterBreak="0">
    <w:nsid w:val="42DC24FF"/>
    <w:multiLevelType w:val="hybridMultilevel"/>
    <w:tmpl w:val="1550ED5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A56ACD"/>
    <w:multiLevelType w:val="hybridMultilevel"/>
    <w:tmpl w:val="DF844C8A"/>
    <w:lvl w:ilvl="0" w:tplc="8140D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64004"/>
    <w:multiLevelType w:val="hybridMultilevel"/>
    <w:tmpl w:val="3BBAA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43337"/>
    <w:multiLevelType w:val="hybridMultilevel"/>
    <w:tmpl w:val="27AA27CE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DF86670"/>
    <w:multiLevelType w:val="hybridMultilevel"/>
    <w:tmpl w:val="5218E434"/>
    <w:lvl w:ilvl="0" w:tplc="8140D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834E1"/>
    <w:multiLevelType w:val="hybridMultilevel"/>
    <w:tmpl w:val="C8DAD644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BA103AC"/>
    <w:multiLevelType w:val="hybridMultilevel"/>
    <w:tmpl w:val="0380C1D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548453B"/>
    <w:multiLevelType w:val="hybridMultilevel"/>
    <w:tmpl w:val="652A5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667B2"/>
    <w:multiLevelType w:val="hybridMultilevel"/>
    <w:tmpl w:val="CD7CCAD4"/>
    <w:lvl w:ilvl="0" w:tplc="8140D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5"/>
  </w:num>
  <w:num w:numId="5">
    <w:abstractNumId w:val="1"/>
  </w:num>
  <w:num w:numId="6">
    <w:abstractNumId w:val="0"/>
  </w:num>
  <w:num w:numId="7">
    <w:abstractNumId w:val="8"/>
  </w:num>
  <w:num w:numId="8">
    <w:abstractNumId w:val="13"/>
  </w:num>
  <w:num w:numId="9">
    <w:abstractNumId w:val="19"/>
  </w:num>
  <w:num w:numId="10">
    <w:abstractNumId w:val="23"/>
  </w:num>
  <w:num w:numId="11">
    <w:abstractNumId w:val="12"/>
  </w:num>
  <w:num w:numId="12">
    <w:abstractNumId w:val="17"/>
  </w:num>
  <w:num w:numId="13">
    <w:abstractNumId w:val="24"/>
  </w:num>
  <w:num w:numId="14">
    <w:abstractNumId w:val="20"/>
  </w:num>
  <w:num w:numId="15">
    <w:abstractNumId w:val="4"/>
  </w:num>
  <w:num w:numId="16">
    <w:abstractNumId w:val="6"/>
  </w:num>
  <w:num w:numId="17">
    <w:abstractNumId w:val="5"/>
  </w:num>
  <w:num w:numId="18">
    <w:abstractNumId w:val="14"/>
  </w:num>
  <w:num w:numId="19">
    <w:abstractNumId w:val="11"/>
  </w:num>
  <w:num w:numId="20">
    <w:abstractNumId w:val="7"/>
  </w:num>
  <w:num w:numId="21">
    <w:abstractNumId w:val="21"/>
  </w:num>
  <w:num w:numId="22">
    <w:abstractNumId w:val="2"/>
  </w:num>
  <w:num w:numId="23">
    <w:abstractNumId w:val="18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4D5"/>
    <w:rsid w:val="00005D10"/>
    <w:rsid w:val="0003042F"/>
    <w:rsid w:val="000769C8"/>
    <w:rsid w:val="0009058A"/>
    <w:rsid w:val="0009060C"/>
    <w:rsid w:val="00091621"/>
    <w:rsid w:val="00096B16"/>
    <w:rsid w:val="000A5F6B"/>
    <w:rsid w:val="000D1897"/>
    <w:rsid w:val="000D1F33"/>
    <w:rsid w:val="000D3433"/>
    <w:rsid w:val="000E0A8E"/>
    <w:rsid w:val="000E5968"/>
    <w:rsid w:val="000E59CB"/>
    <w:rsid w:val="000F1354"/>
    <w:rsid w:val="000F140E"/>
    <w:rsid w:val="00102047"/>
    <w:rsid w:val="00114CC8"/>
    <w:rsid w:val="00141B85"/>
    <w:rsid w:val="001515EA"/>
    <w:rsid w:val="00170CFB"/>
    <w:rsid w:val="00187C70"/>
    <w:rsid w:val="001A0728"/>
    <w:rsid w:val="001B066D"/>
    <w:rsid w:val="001B416E"/>
    <w:rsid w:val="001C74D8"/>
    <w:rsid w:val="001D6592"/>
    <w:rsid w:val="001E3A5A"/>
    <w:rsid w:val="001F0395"/>
    <w:rsid w:val="00203E8A"/>
    <w:rsid w:val="00204784"/>
    <w:rsid w:val="002219D8"/>
    <w:rsid w:val="0022543B"/>
    <w:rsid w:val="00233FD8"/>
    <w:rsid w:val="00234F0A"/>
    <w:rsid w:val="0024137E"/>
    <w:rsid w:val="00241F02"/>
    <w:rsid w:val="00267651"/>
    <w:rsid w:val="0027390E"/>
    <w:rsid w:val="00277711"/>
    <w:rsid w:val="00277C11"/>
    <w:rsid w:val="002A6F92"/>
    <w:rsid w:val="002B7BFA"/>
    <w:rsid w:val="002C51F7"/>
    <w:rsid w:val="002C5236"/>
    <w:rsid w:val="002D63D6"/>
    <w:rsid w:val="002E1617"/>
    <w:rsid w:val="002F7B01"/>
    <w:rsid w:val="003015D0"/>
    <w:rsid w:val="00304AB0"/>
    <w:rsid w:val="00317FAB"/>
    <w:rsid w:val="00320181"/>
    <w:rsid w:val="00334669"/>
    <w:rsid w:val="0034363C"/>
    <w:rsid w:val="00345CFF"/>
    <w:rsid w:val="00350F37"/>
    <w:rsid w:val="00363521"/>
    <w:rsid w:val="003668C6"/>
    <w:rsid w:val="00367D49"/>
    <w:rsid w:val="003A5ADD"/>
    <w:rsid w:val="003B7A26"/>
    <w:rsid w:val="003C005D"/>
    <w:rsid w:val="003D0FB6"/>
    <w:rsid w:val="003E4B99"/>
    <w:rsid w:val="003E7FC1"/>
    <w:rsid w:val="003F2051"/>
    <w:rsid w:val="003F37FD"/>
    <w:rsid w:val="003F411A"/>
    <w:rsid w:val="004011B2"/>
    <w:rsid w:val="00413E32"/>
    <w:rsid w:val="0042715B"/>
    <w:rsid w:val="00435C64"/>
    <w:rsid w:val="0045781E"/>
    <w:rsid w:val="00466E8F"/>
    <w:rsid w:val="00493252"/>
    <w:rsid w:val="00494F1B"/>
    <w:rsid w:val="004A5EC5"/>
    <w:rsid w:val="004E1642"/>
    <w:rsid w:val="00534ADC"/>
    <w:rsid w:val="00535723"/>
    <w:rsid w:val="00536C2D"/>
    <w:rsid w:val="00550F7C"/>
    <w:rsid w:val="00567AFD"/>
    <w:rsid w:val="005933D0"/>
    <w:rsid w:val="005A5B7D"/>
    <w:rsid w:val="005A68D7"/>
    <w:rsid w:val="005C45A5"/>
    <w:rsid w:val="005D65D5"/>
    <w:rsid w:val="005F63C2"/>
    <w:rsid w:val="0060250F"/>
    <w:rsid w:val="00603EC7"/>
    <w:rsid w:val="00604A70"/>
    <w:rsid w:val="006065A6"/>
    <w:rsid w:val="00621E1D"/>
    <w:rsid w:val="00626DFE"/>
    <w:rsid w:val="00642FA3"/>
    <w:rsid w:val="00655B0B"/>
    <w:rsid w:val="00660809"/>
    <w:rsid w:val="00666256"/>
    <w:rsid w:val="006725FA"/>
    <w:rsid w:val="00673C3B"/>
    <w:rsid w:val="00675212"/>
    <w:rsid w:val="0068644F"/>
    <w:rsid w:val="00687947"/>
    <w:rsid w:val="006928B7"/>
    <w:rsid w:val="00695665"/>
    <w:rsid w:val="006B2BB5"/>
    <w:rsid w:val="006B4CAA"/>
    <w:rsid w:val="006C04BE"/>
    <w:rsid w:val="006C777A"/>
    <w:rsid w:val="006D77FE"/>
    <w:rsid w:val="006E7742"/>
    <w:rsid w:val="006F5DA0"/>
    <w:rsid w:val="0073066B"/>
    <w:rsid w:val="00767A0C"/>
    <w:rsid w:val="00772E21"/>
    <w:rsid w:val="00774C5D"/>
    <w:rsid w:val="00776917"/>
    <w:rsid w:val="00784439"/>
    <w:rsid w:val="00784EF5"/>
    <w:rsid w:val="00795907"/>
    <w:rsid w:val="007A7AE9"/>
    <w:rsid w:val="007B5822"/>
    <w:rsid w:val="007D136B"/>
    <w:rsid w:val="007E4B1F"/>
    <w:rsid w:val="007F077A"/>
    <w:rsid w:val="007F5FC5"/>
    <w:rsid w:val="00801F2F"/>
    <w:rsid w:val="008029FF"/>
    <w:rsid w:val="008105D9"/>
    <w:rsid w:val="00810831"/>
    <w:rsid w:val="008125D8"/>
    <w:rsid w:val="00824548"/>
    <w:rsid w:val="00855F40"/>
    <w:rsid w:val="008649BF"/>
    <w:rsid w:val="008664D5"/>
    <w:rsid w:val="008931BF"/>
    <w:rsid w:val="008C64CB"/>
    <w:rsid w:val="008D1A27"/>
    <w:rsid w:val="008D3170"/>
    <w:rsid w:val="008D7255"/>
    <w:rsid w:val="008E121C"/>
    <w:rsid w:val="008F23FA"/>
    <w:rsid w:val="00902B54"/>
    <w:rsid w:val="00906305"/>
    <w:rsid w:val="0092027C"/>
    <w:rsid w:val="009214D2"/>
    <w:rsid w:val="009259BC"/>
    <w:rsid w:val="00932FA2"/>
    <w:rsid w:val="00942E25"/>
    <w:rsid w:val="00947529"/>
    <w:rsid w:val="00955771"/>
    <w:rsid w:val="009566D9"/>
    <w:rsid w:val="00961BAB"/>
    <w:rsid w:val="00963672"/>
    <w:rsid w:val="00971E25"/>
    <w:rsid w:val="00990D71"/>
    <w:rsid w:val="009A641C"/>
    <w:rsid w:val="009C2345"/>
    <w:rsid w:val="009C2AE2"/>
    <w:rsid w:val="009E0479"/>
    <w:rsid w:val="009F1768"/>
    <w:rsid w:val="00A04511"/>
    <w:rsid w:val="00A64861"/>
    <w:rsid w:val="00A75CF1"/>
    <w:rsid w:val="00A82DB6"/>
    <w:rsid w:val="00A87DF8"/>
    <w:rsid w:val="00A9592B"/>
    <w:rsid w:val="00AB4CB9"/>
    <w:rsid w:val="00AB7FB7"/>
    <w:rsid w:val="00AD688A"/>
    <w:rsid w:val="00AD716B"/>
    <w:rsid w:val="00AE01B9"/>
    <w:rsid w:val="00AE3CE5"/>
    <w:rsid w:val="00AF6DBF"/>
    <w:rsid w:val="00B1309B"/>
    <w:rsid w:val="00B30EAA"/>
    <w:rsid w:val="00B31317"/>
    <w:rsid w:val="00B4594F"/>
    <w:rsid w:val="00B54964"/>
    <w:rsid w:val="00B62C7D"/>
    <w:rsid w:val="00BC0DC6"/>
    <w:rsid w:val="00BD41B3"/>
    <w:rsid w:val="00BD75A2"/>
    <w:rsid w:val="00BE565B"/>
    <w:rsid w:val="00BF0455"/>
    <w:rsid w:val="00BF18EF"/>
    <w:rsid w:val="00BF3E46"/>
    <w:rsid w:val="00BF5592"/>
    <w:rsid w:val="00C0761F"/>
    <w:rsid w:val="00C10BAA"/>
    <w:rsid w:val="00C26C24"/>
    <w:rsid w:val="00C329AD"/>
    <w:rsid w:val="00C42706"/>
    <w:rsid w:val="00C5420E"/>
    <w:rsid w:val="00C74004"/>
    <w:rsid w:val="00C854E5"/>
    <w:rsid w:val="00C923D9"/>
    <w:rsid w:val="00C943EC"/>
    <w:rsid w:val="00C956A1"/>
    <w:rsid w:val="00CD3454"/>
    <w:rsid w:val="00CD75CF"/>
    <w:rsid w:val="00CE3DFA"/>
    <w:rsid w:val="00CE5CE2"/>
    <w:rsid w:val="00D01267"/>
    <w:rsid w:val="00D02DE9"/>
    <w:rsid w:val="00D06B95"/>
    <w:rsid w:val="00D128FF"/>
    <w:rsid w:val="00D324B1"/>
    <w:rsid w:val="00D408F9"/>
    <w:rsid w:val="00D41975"/>
    <w:rsid w:val="00D45D35"/>
    <w:rsid w:val="00D47BEB"/>
    <w:rsid w:val="00D73A15"/>
    <w:rsid w:val="00DA7D76"/>
    <w:rsid w:val="00DB7367"/>
    <w:rsid w:val="00DD785E"/>
    <w:rsid w:val="00DF1DE9"/>
    <w:rsid w:val="00E462C8"/>
    <w:rsid w:val="00E67395"/>
    <w:rsid w:val="00E739F2"/>
    <w:rsid w:val="00E75690"/>
    <w:rsid w:val="00E76441"/>
    <w:rsid w:val="00E86AF8"/>
    <w:rsid w:val="00E909FB"/>
    <w:rsid w:val="00EA0B4F"/>
    <w:rsid w:val="00EA351C"/>
    <w:rsid w:val="00EB03FA"/>
    <w:rsid w:val="00EC5FD4"/>
    <w:rsid w:val="00ED434B"/>
    <w:rsid w:val="00ED450F"/>
    <w:rsid w:val="00ED4A2E"/>
    <w:rsid w:val="00F02064"/>
    <w:rsid w:val="00F067F8"/>
    <w:rsid w:val="00F20AEE"/>
    <w:rsid w:val="00F221AD"/>
    <w:rsid w:val="00F52C6B"/>
    <w:rsid w:val="00F74E5B"/>
    <w:rsid w:val="00F82DF5"/>
    <w:rsid w:val="00F842E9"/>
    <w:rsid w:val="00FB03C7"/>
    <w:rsid w:val="00FC1E49"/>
    <w:rsid w:val="00FC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3DE79-9353-44AC-B273-CBC856ED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7FAB"/>
    <w:pPr>
      <w:spacing w:line="300" w:lineRule="auto"/>
      <w:jc w:val="both"/>
    </w:pPr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77711"/>
    <w:pPr>
      <w:keepNext/>
      <w:keepLines/>
      <w:spacing w:before="480" w:after="240"/>
      <w:outlineLvl w:val="0"/>
    </w:pPr>
    <w:rPr>
      <w:rFonts w:eastAsiaTheme="majorEastAsia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7711"/>
    <w:rPr>
      <w:rFonts w:ascii="Arial" w:eastAsiaTheme="majorEastAsia" w:hAnsi="Arial" w:cs="Arial"/>
      <w:b/>
      <w:bCs/>
      <w:sz w:val="28"/>
      <w:szCs w:val="28"/>
    </w:rPr>
  </w:style>
  <w:style w:type="numbering" w:customStyle="1" w:styleId="List0">
    <w:name w:val="List 0"/>
    <w:basedOn w:val="Bezseznamu"/>
    <w:rsid w:val="00784439"/>
    <w:pPr>
      <w:numPr>
        <w:numId w:val="4"/>
      </w:numPr>
    </w:pPr>
  </w:style>
  <w:style w:type="paragraph" w:styleId="Odstavecseseznamem">
    <w:name w:val="List Paragraph"/>
    <w:basedOn w:val="Normln"/>
    <w:uiPriority w:val="34"/>
    <w:qFormat/>
    <w:rsid w:val="0078443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67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651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67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7651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F1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74C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4C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4C5D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4C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4C5D"/>
    <w:rPr>
      <w:rFonts w:ascii="Arial" w:hAnsi="Arial" w:cs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DA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7D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CE5CE2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06B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06B95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06B95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F82D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792A8-D682-4F5D-9618-622FE7C2C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5453</Words>
  <Characters>32175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ALOE2</Company>
  <LinksUpToDate>false</LinksUpToDate>
  <CharactersWithSpaces>37553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ger35</cp:lastModifiedBy>
  <cp:revision>3</cp:revision>
  <cp:lastPrinted>2016-10-14T08:59:00Z</cp:lastPrinted>
  <dcterms:created xsi:type="dcterms:W3CDTF">2016-10-14T08:53:00Z</dcterms:created>
  <dcterms:modified xsi:type="dcterms:W3CDTF">2016-10-14T09:00:00Z</dcterms:modified>
</cp:coreProperties>
</file>