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FC71F4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3916F2" w:rsidP="000E730C">
      <w:pPr>
        <w:pStyle w:val="PS-slousnesen"/>
      </w:pPr>
      <w:r>
        <w:t>281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1051F4" w:rsidP="00377253">
      <w:pPr>
        <w:pStyle w:val="PS-hlavika1"/>
      </w:pPr>
      <w:r>
        <w:t>kontrolního výboru</w:t>
      </w:r>
    </w:p>
    <w:p w:rsidR="00DC29E4" w:rsidRDefault="00DC29E4" w:rsidP="00377253">
      <w:pPr>
        <w:pStyle w:val="PS-hlavika1"/>
      </w:pPr>
      <w:r>
        <w:t>z</w:t>
      </w:r>
      <w:r w:rsidR="00AF4116">
        <w:t>e 47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D52D0B">
        <w:t>31. května 2017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1E652B" w:rsidRDefault="001E652B" w:rsidP="00B57F4F">
      <w:pPr>
        <w:pStyle w:val="Normlnweb"/>
        <w:spacing w:after="0"/>
        <w:jc w:val="both"/>
        <w:rPr>
          <w:color w:val="000000"/>
          <w:spacing w:val="-4"/>
        </w:rPr>
      </w:pPr>
      <w:r>
        <w:rPr>
          <w:color w:val="000000"/>
          <w:spacing w:val="-4"/>
        </w:rPr>
        <w:t>k</w:t>
      </w:r>
      <w:r w:rsidR="003D1BC0">
        <w:rPr>
          <w:color w:val="000000"/>
          <w:spacing w:val="-4"/>
        </w:rPr>
        <w:t> </w:t>
      </w:r>
      <w:r w:rsidR="00B57F4F">
        <w:t>návrhu státního závěrečného účtu České republiky za rok 201</w:t>
      </w:r>
      <w:r w:rsidR="00D52D0B">
        <w:t>6</w:t>
      </w:r>
      <w:r w:rsidR="00B57F4F">
        <w:t>, kapitola 381 – Nejvyšší kontrolní úřad</w:t>
      </w:r>
    </w:p>
    <w:p w:rsidR="003B1EBB" w:rsidRDefault="003B1EBB" w:rsidP="003D1BC0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B57F4F" w:rsidRDefault="00B57F4F" w:rsidP="00B57F4F">
      <w:pPr>
        <w:ind w:firstLine="72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B57F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Kontrolní výbor Poslanecké sněmovny Parlamentu ČR po úvodním výkladu prezidenta Nejvyššího kontrolního úřadu Miloslava Kaly, </w:t>
      </w:r>
      <w:r w:rsidR="006B72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stanovisku vedoucí oddělení Financování da</w:t>
      </w:r>
      <w:r w:rsidR="003F053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lších oblastí neziskové sféry Ministerstva financí</w:t>
      </w:r>
      <w:r w:rsidR="006B722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Marie Pokorné, </w:t>
      </w:r>
      <w:r w:rsidRPr="00B57F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zpravodajské zprá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vě poslance Vladimíra Koníčka a </w:t>
      </w:r>
      <w:r w:rsidRPr="00B57F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 rozpravě</w:t>
      </w:r>
    </w:p>
    <w:p w:rsidR="00B57F4F" w:rsidRDefault="00B57F4F" w:rsidP="00B57F4F">
      <w:pPr>
        <w:ind w:firstLine="720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F76ED4" w:rsidRPr="00B57F4F" w:rsidRDefault="00F76ED4" w:rsidP="00B57F4F">
      <w:pPr>
        <w:ind w:firstLine="720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B57F4F" w:rsidRPr="006B722C" w:rsidRDefault="00B57F4F" w:rsidP="006B722C">
      <w:pPr>
        <w:pStyle w:val="Odstavecseseznamem"/>
        <w:numPr>
          <w:ilvl w:val="0"/>
          <w:numId w:val="15"/>
        </w:num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57F4F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bere na vědomí</w:t>
      </w:r>
      <w:r w:rsidRPr="00B57F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státní závěrečný </w:t>
      </w:r>
      <w:r w:rsidR="0075364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účet České republiky za rok 201</w:t>
      </w:r>
      <w:r w:rsidR="00D52D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</w:t>
      </w:r>
      <w:r w:rsidRPr="00B57F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r w:rsidR="006B72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kapitola </w:t>
      </w:r>
      <w:r w:rsidRPr="006B72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381 – Nejvyšší kon</w:t>
      </w:r>
      <w:r w:rsidR="00D52D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trolní úřad ve výši příjmů 1 230,77</w:t>
      </w:r>
      <w:r w:rsidRPr="006B72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tis. Kč a ve výši výdajů </w:t>
      </w:r>
      <w:r w:rsidR="0075364B" w:rsidRPr="006B72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4</w:t>
      </w:r>
      <w:r w:rsidR="00D52D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96</w:t>
      </w:r>
      <w:r w:rsidR="0075364B" w:rsidRPr="006B72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D52D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107,04</w:t>
      </w:r>
      <w:r w:rsidR="003F05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Pr="006B72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tis. Kč;</w:t>
      </w:r>
    </w:p>
    <w:p w:rsidR="00B57F4F" w:rsidRDefault="00B57F4F" w:rsidP="00B57F4F">
      <w:pPr>
        <w:pStyle w:val="Odstavecseseznamem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76ED4" w:rsidRDefault="00F76ED4" w:rsidP="00B57F4F">
      <w:pPr>
        <w:pStyle w:val="Odstavecseseznamem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57F4F" w:rsidRPr="00B57F4F" w:rsidRDefault="00B57F4F" w:rsidP="00B57F4F">
      <w:pPr>
        <w:pStyle w:val="Odstavecseseznamem"/>
        <w:numPr>
          <w:ilvl w:val="0"/>
          <w:numId w:val="15"/>
        </w:num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57F4F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doporučuje </w:t>
      </w:r>
      <w:r w:rsidRPr="00B57F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Poslanecké sněmovně Parlamentu ČR, aby státní závěrečný účet České republiky za rok 201</w:t>
      </w:r>
      <w:r w:rsidR="00D52D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</w:t>
      </w:r>
      <w:r w:rsidRPr="00B57F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kapitola 381 – Nejvyšší kontrolní úřad ve výši příjmů </w:t>
      </w:r>
      <w:r w:rsidR="00D52D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1 230,77</w:t>
      </w:r>
      <w:r w:rsidR="00D52D0B" w:rsidRPr="006B72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tis. Kč a ve výši výdajů 4</w:t>
      </w:r>
      <w:r w:rsidR="00D52D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96</w:t>
      </w:r>
      <w:r w:rsidR="00D52D0B" w:rsidRPr="006B72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D52D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107,04 </w:t>
      </w:r>
      <w:r w:rsidR="00D52D0B" w:rsidRPr="006B72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tis. </w:t>
      </w:r>
      <w:proofErr w:type="gramStart"/>
      <w:r w:rsidR="00D52D0B" w:rsidRPr="006B72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Kč</w:t>
      </w:r>
      <w:r w:rsidR="0070364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B57F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B57F4F">
        <w:rPr>
          <w:rFonts w:ascii="Times New Roman" w:eastAsia="Times New Roman" w:hAnsi="Times New Roman"/>
          <w:color w:val="000000"/>
          <w:spacing w:val="80"/>
          <w:sz w:val="24"/>
          <w:szCs w:val="24"/>
          <w:lang w:eastAsia="cs-CZ"/>
        </w:rPr>
        <w:t>vzala</w:t>
      </w:r>
      <w:proofErr w:type="gramEnd"/>
      <w:r w:rsidRPr="00B57F4F">
        <w:rPr>
          <w:rFonts w:ascii="Times New Roman" w:eastAsia="Times New Roman" w:hAnsi="Times New Roman"/>
          <w:color w:val="000000"/>
          <w:spacing w:val="80"/>
          <w:sz w:val="24"/>
          <w:szCs w:val="24"/>
          <w:lang w:eastAsia="cs-CZ"/>
        </w:rPr>
        <w:t xml:space="preserve"> na vědomí</w:t>
      </w:r>
      <w:r w:rsidRPr="00B57F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</w:t>
      </w:r>
    </w:p>
    <w:p w:rsidR="00B57F4F" w:rsidRDefault="00B57F4F" w:rsidP="00B57F4F">
      <w:pPr>
        <w:pStyle w:val="Odstavecseseznamem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76ED4" w:rsidRDefault="00F76ED4" w:rsidP="00B57F4F">
      <w:pPr>
        <w:pStyle w:val="Odstavecseseznamem"/>
        <w:ind w:left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57F4F" w:rsidRPr="00B57F4F" w:rsidRDefault="00B57F4F" w:rsidP="00B57F4F">
      <w:pPr>
        <w:pStyle w:val="Odstavecseseznamem"/>
        <w:numPr>
          <w:ilvl w:val="0"/>
          <w:numId w:val="15"/>
        </w:num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57F4F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zmocňuje</w:t>
      </w:r>
      <w:r w:rsidRPr="00B57F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zpravodaje výboru, aby s tímto usnesením seznámil schůzku zpravodajů ke státnímu závěrečnému účtu Česk</w:t>
      </w:r>
      <w:r w:rsidR="00C561D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é republiky za rok 2016</w:t>
      </w:r>
      <w:r w:rsidRPr="00B57F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na jednání rozpočtového výboru.</w:t>
      </w:r>
    </w:p>
    <w:p w:rsidR="00071E9F" w:rsidRPr="002F6305" w:rsidRDefault="00071E9F" w:rsidP="00B57F4F">
      <w:pPr>
        <w:ind w:left="737" w:hanging="737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</w:pPr>
    </w:p>
    <w:p w:rsidR="003D1BC0" w:rsidRDefault="003D1BC0" w:rsidP="00B57F4F">
      <w:pPr>
        <w:rPr>
          <w:rFonts w:ascii="Times New Roman" w:hAnsi="Times New Roman"/>
          <w:sz w:val="24"/>
          <w:szCs w:val="24"/>
        </w:rPr>
      </w:pPr>
    </w:p>
    <w:p w:rsidR="003D1BC0" w:rsidRDefault="003D1BC0" w:rsidP="0020711B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D1BC0" w:rsidRDefault="003D1BC0" w:rsidP="0020711B">
      <w:pPr>
        <w:rPr>
          <w:rFonts w:ascii="Times New Roman" w:hAnsi="Times New Roman"/>
          <w:sz w:val="24"/>
          <w:szCs w:val="24"/>
        </w:rPr>
      </w:pPr>
    </w:p>
    <w:p w:rsidR="00FC7C15" w:rsidRDefault="00FC7C15" w:rsidP="00FC7C15">
      <w:pPr>
        <w:rPr>
          <w:rFonts w:ascii="Times New Roman" w:hAnsi="Times New Roman"/>
          <w:sz w:val="24"/>
          <w:szCs w:val="24"/>
        </w:rPr>
      </w:pPr>
    </w:p>
    <w:p w:rsidR="00FC7C15" w:rsidRPr="0020711B" w:rsidRDefault="00FC7C15" w:rsidP="00FC7C15">
      <w:pPr>
        <w:rPr>
          <w:rFonts w:ascii="Times New Roman" w:hAnsi="Times New Roman"/>
          <w:sz w:val="24"/>
          <w:szCs w:val="24"/>
        </w:rPr>
      </w:pPr>
    </w:p>
    <w:p w:rsidR="00FC7C15" w:rsidRPr="003B1EBB" w:rsidRDefault="00FC7C15" w:rsidP="00FC7C15">
      <w:pPr>
        <w:pStyle w:val="Odstavecseseznamem"/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FC7C15" w:rsidTr="00AE57F3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7C15" w:rsidRDefault="00574D51" w:rsidP="00AE57F3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Jiří ŠTĚTINA</w:t>
            </w:r>
            <w:r w:rsidR="00FC7C15"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="00FC7C15" w:rsidRPr="00254049">
              <w:rPr>
                <w:rFonts w:ascii="Times New Roman" w:hAnsi="Times New Roman"/>
                <w:sz w:val="24"/>
              </w:rPr>
              <w:t>v.r.</w:t>
            </w:r>
            <w:proofErr w:type="gram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7C15" w:rsidRDefault="002F6305" w:rsidP="00AE57F3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 w:rsidR="00FC7C15"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="00FC7C15" w:rsidRPr="00254049">
              <w:rPr>
                <w:rFonts w:ascii="Times New Roman" w:hAnsi="Times New Roman"/>
                <w:sz w:val="24"/>
              </w:rPr>
              <w:t>v.r</w:t>
            </w:r>
            <w:r w:rsidR="00FC7C15">
              <w:rPr>
                <w:rFonts w:ascii="Times New Roman" w:hAnsi="Times New Roman"/>
                <w:caps/>
                <w:sz w:val="24"/>
              </w:rPr>
              <w:t>.</w:t>
            </w:r>
            <w:proofErr w:type="gramEnd"/>
          </w:p>
        </w:tc>
      </w:tr>
      <w:tr w:rsidR="00FC7C15" w:rsidTr="00AE57F3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4D51" w:rsidRDefault="00574D51" w:rsidP="00257E6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místopředseda – </w:t>
            </w:r>
            <w:r w:rsidR="00257E6E">
              <w:rPr>
                <w:rFonts w:ascii="Times New Roman" w:hAnsi="Times New Roman"/>
                <w:sz w:val="24"/>
              </w:rPr>
              <w:t>o</w:t>
            </w:r>
            <w:r w:rsidR="00FC7C15" w:rsidRPr="00106842">
              <w:rPr>
                <w:rFonts w:ascii="Times New Roman" w:hAnsi="Times New Roman"/>
                <w:sz w:val="24"/>
              </w:rPr>
              <w:t>věřovatel</w:t>
            </w:r>
          </w:p>
          <w:p w:rsidR="00FC7C15" w:rsidRPr="00FC7C15" w:rsidRDefault="00FC7C15" w:rsidP="00257E6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74D51" w:rsidRDefault="00EB4571" w:rsidP="00574D5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 – zpravodaj</w:t>
            </w:r>
          </w:p>
          <w:p w:rsidR="00FC7C15" w:rsidRPr="00FC7C15" w:rsidRDefault="002F6305" w:rsidP="00574D51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FC7C15" w:rsidTr="00AE57F3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7C15" w:rsidRPr="00FC7C15" w:rsidRDefault="00FC7C15" w:rsidP="00FC7C15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FC7C15" w:rsidRDefault="00FC7C15" w:rsidP="00FC7C15">
      <w:pPr>
        <w:keepNext/>
        <w:tabs>
          <w:tab w:val="center" w:pos="1701"/>
          <w:tab w:val="center" w:pos="4536"/>
          <w:tab w:val="center" w:pos="7371"/>
        </w:tabs>
        <w:rPr>
          <w:rFonts w:ascii="Times New Roman" w:hAnsi="Times New Roman"/>
          <w:sz w:val="24"/>
        </w:rPr>
      </w:pPr>
    </w:p>
    <w:p w:rsidR="00B715B6" w:rsidRDefault="00B715B6" w:rsidP="00FC7C15">
      <w:pPr>
        <w:rPr>
          <w:rFonts w:ascii="Times New Roman" w:hAnsi="Times New Roman"/>
          <w:sz w:val="24"/>
        </w:rPr>
      </w:pPr>
    </w:p>
    <w:sectPr w:rsidR="00B715B6" w:rsidSect="00DB6F85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FCD1406"/>
    <w:multiLevelType w:val="hybridMultilevel"/>
    <w:tmpl w:val="54B2B2F2"/>
    <w:lvl w:ilvl="0" w:tplc="AFD068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>
    <w:nsid w:val="50230480"/>
    <w:multiLevelType w:val="hybridMultilevel"/>
    <w:tmpl w:val="BA247788"/>
    <w:lvl w:ilvl="0" w:tplc="88B404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76E4"/>
    <w:rsid w:val="00071E9F"/>
    <w:rsid w:val="000C5278"/>
    <w:rsid w:val="000E730C"/>
    <w:rsid w:val="00103C04"/>
    <w:rsid w:val="001051F4"/>
    <w:rsid w:val="00106842"/>
    <w:rsid w:val="00115AD8"/>
    <w:rsid w:val="00147C40"/>
    <w:rsid w:val="001A11D8"/>
    <w:rsid w:val="001B45F3"/>
    <w:rsid w:val="001C25DB"/>
    <w:rsid w:val="001D0461"/>
    <w:rsid w:val="001D4140"/>
    <w:rsid w:val="001E652B"/>
    <w:rsid w:val="001E7CE4"/>
    <w:rsid w:val="0020711B"/>
    <w:rsid w:val="00230024"/>
    <w:rsid w:val="00254049"/>
    <w:rsid w:val="00257E6E"/>
    <w:rsid w:val="00265CCD"/>
    <w:rsid w:val="00272E1B"/>
    <w:rsid w:val="002956D5"/>
    <w:rsid w:val="00296406"/>
    <w:rsid w:val="002A2F32"/>
    <w:rsid w:val="002B0FB6"/>
    <w:rsid w:val="002B60B3"/>
    <w:rsid w:val="002C6BED"/>
    <w:rsid w:val="002F6305"/>
    <w:rsid w:val="0034304A"/>
    <w:rsid w:val="00356011"/>
    <w:rsid w:val="00377253"/>
    <w:rsid w:val="003916F2"/>
    <w:rsid w:val="003B1EBB"/>
    <w:rsid w:val="003C4B25"/>
    <w:rsid w:val="003D1BC0"/>
    <w:rsid w:val="003D2033"/>
    <w:rsid w:val="003F053A"/>
    <w:rsid w:val="00407850"/>
    <w:rsid w:val="00410062"/>
    <w:rsid w:val="00484011"/>
    <w:rsid w:val="004C35DE"/>
    <w:rsid w:val="004D1097"/>
    <w:rsid w:val="004D61F8"/>
    <w:rsid w:val="004E4749"/>
    <w:rsid w:val="005227BF"/>
    <w:rsid w:val="0052590D"/>
    <w:rsid w:val="00566A4C"/>
    <w:rsid w:val="00574D51"/>
    <w:rsid w:val="005C30D7"/>
    <w:rsid w:val="005E094C"/>
    <w:rsid w:val="005F6CAE"/>
    <w:rsid w:val="0061552E"/>
    <w:rsid w:val="00620764"/>
    <w:rsid w:val="00644849"/>
    <w:rsid w:val="006B722C"/>
    <w:rsid w:val="00703644"/>
    <w:rsid w:val="0075364B"/>
    <w:rsid w:val="007C62DA"/>
    <w:rsid w:val="007D5EE1"/>
    <w:rsid w:val="007E1D0B"/>
    <w:rsid w:val="008030A4"/>
    <w:rsid w:val="00812496"/>
    <w:rsid w:val="00830BFE"/>
    <w:rsid w:val="00840294"/>
    <w:rsid w:val="00893C29"/>
    <w:rsid w:val="00897AA0"/>
    <w:rsid w:val="00903269"/>
    <w:rsid w:val="009D7773"/>
    <w:rsid w:val="009E0F28"/>
    <w:rsid w:val="009F6E53"/>
    <w:rsid w:val="00A248B5"/>
    <w:rsid w:val="00A46CDA"/>
    <w:rsid w:val="00AA0D27"/>
    <w:rsid w:val="00AF4116"/>
    <w:rsid w:val="00B07B96"/>
    <w:rsid w:val="00B13892"/>
    <w:rsid w:val="00B53E8D"/>
    <w:rsid w:val="00B57F4F"/>
    <w:rsid w:val="00B715B6"/>
    <w:rsid w:val="00B900A6"/>
    <w:rsid w:val="00BD2AD9"/>
    <w:rsid w:val="00BE75B8"/>
    <w:rsid w:val="00C56014"/>
    <w:rsid w:val="00C561DA"/>
    <w:rsid w:val="00CB2B3F"/>
    <w:rsid w:val="00CC40FF"/>
    <w:rsid w:val="00CC6544"/>
    <w:rsid w:val="00D52D0B"/>
    <w:rsid w:val="00D65E59"/>
    <w:rsid w:val="00D76FB3"/>
    <w:rsid w:val="00D95C64"/>
    <w:rsid w:val="00DB6F85"/>
    <w:rsid w:val="00DC29E4"/>
    <w:rsid w:val="00EB4571"/>
    <w:rsid w:val="00EC2249"/>
    <w:rsid w:val="00ED15A8"/>
    <w:rsid w:val="00EF3B15"/>
    <w:rsid w:val="00EF501D"/>
    <w:rsid w:val="00EF679B"/>
    <w:rsid w:val="00F219AA"/>
    <w:rsid w:val="00F76ED4"/>
    <w:rsid w:val="00FB3582"/>
    <w:rsid w:val="00FC71F4"/>
    <w:rsid w:val="00FC7C15"/>
    <w:rsid w:val="00FD3EBB"/>
    <w:rsid w:val="00FE6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B6112-AE28-4D93-A933-B9F50C402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35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Tereza Jirikova</cp:lastModifiedBy>
  <cp:revision>37</cp:revision>
  <cp:lastPrinted>2016-06-03T13:02:00Z</cp:lastPrinted>
  <dcterms:created xsi:type="dcterms:W3CDTF">2016-04-26T09:01:00Z</dcterms:created>
  <dcterms:modified xsi:type="dcterms:W3CDTF">2017-06-02T07:48:00Z</dcterms:modified>
</cp:coreProperties>
</file>