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531A9" w:rsidP="000E730C">
      <w:pPr>
        <w:pStyle w:val="PS-slousnesen"/>
      </w:pPr>
      <w:r>
        <w:t>523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>z</w:t>
      </w:r>
      <w:r w:rsidR="008628B9">
        <w:t>e </w:t>
      </w:r>
      <w:r w:rsidR="00932C0C">
        <w:t>46</w:t>
      </w:r>
      <w:r w:rsidR="001A75A2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ze dne </w:t>
      </w:r>
      <w:r w:rsidR="00932C0C">
        <w:t>21. září</w:t>
      </w:r>
      <w:r w:rsidR="0066562B">
        <w:t xml:space="preserve"> </w:t>
      </w:r>
      <w:r>
        <w:t>201</w:t>
      </w:r>
      <w:r w:rsidR="00920D8B">
        <w:t>6</w:t>
      </w:r>
    </w:p>
    <w:p w:rsidR="00915869" w:rsidRDefault="009101CD" w:rsidP="00D42594">
      <w:pPr>
        <w:pStyle w:val="PS-pedmtusnesen"/>
        <w:spacing w:before="120" w:after="120"/>
      </w:pPr>
      <w:r>
        <w:t xml:space="preserve">k vládnímu návrhu </w:t>
      </w:r>
      <w:r w:rsidR="00AB1094">
        <w:t xml:space="preserve">ústavního </w:t>
      </w:r>
      <w:r>
        <w:t>zákona</w:t>
      </w:r>
      <w:r w:rsidR="00AB1094">
        <w:t>, o rozpočtové odpovědnosti</w:t>
      </w:r>
    </w:p>
    <w:p w:rsidR="00DC29E4" w:rsidRPr="00D76FB3" w:rsidRDefault="00DC29E4" w:rsidP="00E9142B">
      <w:pPr>
        <w:pStyle w:val="PS-pedmtusnesen"/>
        <w:spacing w:before="120" w:after="120"/>
      </w:pPr>
      <w:r w:rsidRPr="00D76FB3">
        <w:t>sněmovní</w:t>
      </w:r>
      <w:r w:rsidR="00254049">
        <w:t> </w:t>
      </w:r>
      <w:r w:rsidRPr="00D76FB3">
        <w:t>tisk</w:t>
      </w:r>
      <w:r w:rsidR="00B5123B">
        <w:t> </w:t>
      </w:r>
      <w:r w:rsidR="00AB1094">
        <w:t>411</w:t>
      </w:r>
      <w:r w:rsidR="000B65B3">
        <w:t xml:space="preserve"> – </w:t>
      </w:r>
      <w:r w:rsidR="00932C0C">
        <w:t>3</w:t>
      </w:r>
      <w:r w:rsidR="000B65B3">
        <w:t>. čtení</w:t>
      </w:r>
    </w:p>
    <w:p w:rsidR="003B242F" w:rsidRDefault="003B242F" w:rsidP="00D768BB">
      <w:pPr>
        <w:rPr>
          <w:szCs w:val="24"/>
        </w:rPr>
      </w:pPr>
    </w:p>
    <w:p w:rsidR="003B242F" w:rsidRDefault="003B242F" w:rsidP="00D768BB">
      <w:pPr>
        <w:rPr>
          <w:szCs w:val="24"/>
        </w:rPr>
      </w:pPr>
      <w:r>
        <w:rPr>
          <w:szCs w:val="24"/>
        </w:rPr>
        <w:tab/>
        <w:t>Rozpočtový výbor Poslanecké sněmovny Parlamentu ČR jako garanční výbor po projednání návrhu zákona po druhém čtení</w:t>
      </w:r>
    </w:p>
    <w:p w:rsidR="00F408C9" w:rsidRPr="00F408C9" w:rsidRDefault="004E5170" w:rsidP="004E5170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5C2263">
        <w:rPr>
          <w:rFonts w:eastAsia="Calibri" w:cs="Times New Roman"/>
          <w:spacing w:val="60"/>
          <w:szCs w:val="22"/>
        </w:rPr>
        <w:t>doporučuje</w:t>
      </w:r>
      <w:r w:rsidRPr="005C2263">
        <w:rPr>
          <w:rFonts w:eastAsia="Calibri" w:cs="Times New Roman"/>
          <w:szCs w:val="22"/>
        </w:rPr>
        <w:t xml:space="preserve"> </w:t>
      </w:r>
      <w:r>
        <w:t>Poslanecké sněmovně</w:t>
      </w:r>
      <w:r w:rsidR="00F408C9">
        <w:t xml:space="preserve">, aby na návrh posl. Z. </w:t>
      </w:r>
      <w:proofErr w:type="spellStart"/>
      <w:r w:rsidR="00F408C9">
        <w:t>Stanjury</w:t>
      </w:r>
      <w:proofErr w:type="spellEnd"/>
      <w:r w:rsidR="00F408C9">
        <w:t xml:space="preserve"> při hlasování o </w:t>
      </w:r>
      <w:proofErr w:type="gramStart"/>
      <w:r w:rsidR="00F408C9">
        <w:t>jeho  pozměňovacích</w:t>
      </w:r>
      <w:proofErr w:type="gramEnd"/>
      <w:r w:rsidR="00F408C9">
        <w:t xml:space="preserve"> návrzích C1 a D1 hlasovala ve znění legislativně technické úpravy, a to, aby v návrhu C i D byla v článku 4 odst. 1 písmeno d) číslovka  „50“ nahrazena číslovkou „55“ a korespondovala tak se zněním odstavce 1;</w:t>
      </w:r>
    </w:p>
    <w:p w:rsidR="004E5170" w:rsidRPr="00F93284" w:rsidRDefault="008D59E9" w:rsidP="00F408C9">
      <w:pPr>
        <w:pStyle w:val="Odstavecseseznamem"/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proofErr w:type="gramStart"/>
      <w:r>
        <w:t>II</w:t>
      </w:r>
      <w:r w:rsidR="00F408C9">
        <w:t>.</w:t>
      </w:r>
      <w:r w:rsidR="00F408C9">
        <w:tab/>
        <w:t>d o p o r u č u j e   Poslanecké</w:t>
      </w:r>
      <w:proofErr w:type="gramEnd"/>
      <w:r w:rsidR="00F408C9">
        <w:t xml:space="preserve"> sněmovně hlasovat </w:t>
      </w:r>
      <w:r w:rsidR="004E5170">
        <w:t xml:space="preserve">ve třetím čtení o návrzích podaných k návrhu zákona (podle sněmovního tisku </w:t>
      </w:r>
      <w:r w:rsidR="0050232A">
        <w:t>411</w:t>
      </w:r>
      <w:r w:rsidR="004E5170">
        <w:t>) v následujícím pořadí:</w:t>
      </w:r>
    </w:p>
    <w:p w:rsidR="006F2E68" w:rsidRDefault="006F2E68" w:rsidP="00F93284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276"/>
        </w:tabs>
        <w:spacing w:after="400"/>
        <w:ind w:left="1276" w:hanging="709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Hlasování o případných legislativně technických úpravách</w:t>
      </w:r>
    </w:p>
    <w:p w:rsidR="00F408C9" w:rsidRDefault="00F408C9" w:rsidP="008A3DEF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418"/>
        </w:tabs>
        <w:spacing w:after="400"/>
        <w:ind w:left="1418" w:hanging="851"/>
        <w:rPr>
          <w:rFonts w:eastAsia="Calibri" w:cs="Times New Roman"/>
          <w:szCs w:val="22"/>
        </w:rPr>
      </w:pPr>
      <w:proofErr w:type="gramStart"/>
      <w:r>
        <w:rPr>
          <w:rFonts w:eastAsia="Calibri" w:cs="Times New Roman"/>
          <w:szCs w:val="22"/>
        </w:rPr>
        <w:t>D2</w:t>
      </w:r>
      <w:r w:rsidR="008E5DFB">
        <w:rPr>
          <w:rFonts w:eastAsia="Calibri" w:cs="Times New Roman"/>
          <w:szCs w:val="22"/>
        </w:rPr>
        <w:t xml:space="preserve"> </w:t>
      </w:r>
      <w:r w:rsidR="008A3DEF">
        <w:rPr>
          <w:rFonts w:eastAsia="Calibri" w:cs="Times New Roman"/>
          <w:szCs w:val="22"/>
        </w:rPr>
        <w:t xml:space="preserve"> </w:t>
      </w:r>
      <w:r w:rsidR="008E5DFB">
        <w:rPr>
          <w:rFonts w:eastAsia="Calibri" w:cs="Times New Roman"/>
          <w:szCs w:val="22"/>
        </w:rPr>
        <w:t>(hlasováním</w:t>
      </w:r>
      <w:proofErr w:type="gramEnd"/>
      <w:r w:rsidR="008E5DFB">
        <w:rPr>
          <w:rFonts w:eastAsia="Calibri" w:cs="Times New Roman"/>
          <w:szCs w:val="22"/>
        </w:rPr>
        <w:t xml:space="preserve"> o D2 jsou dále </w:t>
      </w:r>
      <w:proofErr w:type="spellStart"/>
      <w:r w:rsidR="008E5DFB">
        <w:rPr>
          <w:rFonts w:eastAsia="Calibri" w:cs="Times New Roman"/>
          <w:szCs w:val="22"/>
        </w:rPr>
        <w:t>nehlasovatelné</w:t>
      </w:r>
      <w:proofErr w:type="spellEnd"/>
      <w:r w:rsidR="008E5DFB">
        <w:rPr>
          <w:rFonts w:eastAsia="Calibri" w:cs="Times New Roman"/>
          <w:szCs w:val="22"/>
        </w:rPr>
        <w:t xml:space="preserve"> identické návrhy A2, B2 a C2);</w:t>
      </w:r>
    </w:p>
    <w:p w:rsidR="006F2E68" w:rsidRPr="006F2E68" w:rsidRDefault="00F408C9" w:rsidP="008A3DEF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418"/>
        </w:tabs>
        <w:spacing w:after="400"/>
        <w:ind w:left="1418" w:hanging="851"/>
        <w:rPr>
          <w:rFonts w:eastAsia="Calibri" w:cs="Times New Roman"/>
          <w:szCs w:val="22"/>
        </w:rPr>
      </w:pPr>
      <w:r>
        <w:t>A</w:t>
      </w:r>
      <w:r w:rsidR="008E5DFB">
        <w:t>1</w:t>
      </w:r>
      <w:r w:rsidR="006F2E68">
        <w:t xml:space="preserve">  (pozměňující návrh je alternativní k návrhům </w:t>
      </w:r>
      <w:r>
        <w:t>B1, C1, D1</w:t>
      </w:r>
      <w:r w:rsidR="00BF1A4E">
        <w:t>,</w:t>
      </w:r>
      <w:r w:rsidR="006F2E68">
        <w:t xml:space="preserve"> bude-li přijat, jsou dále návrhy </w:t>
      </w:r>
      <w:r w:rsidR="00BF1A4E">
        <w:t>B1, C1</w:t>
      </w:r>
      <w:r w:rsidR="006F2E68">
        <w:t xml:space="preserve">, </w:t>
      </w:r>
      <w:r w:rsidR="00BF1A4E">
        <w:t>a D1</w:t>
      </w:r>
      <w:r w:rsidR="006F2E68">
        <w:t xml:space="preserve"> </w:t>
      </w:r>
      <w:proofErr w:type="spellStart"/>
      <w:r w:rsidR="006F2E68">
        <w:t>nehlasovatelné</w:t>
      </w:r>
      <w:proofErr w:type="spellEnd"/>
      <w:r w:rsidR="006F2E68">
        <w:t>) ;</w:t>
      </w:r>
      <w:r w:rsidR="006F2E68" w:rsidRPr="006F2E68">
        <w:rPr>
          <w:rFonts w:eastAsia="Calibri" w:cs="Times New Roman"/>
          <w:szCs w:val="22"/>
        </w:rPr>
        <w:t xml:space="preserve"> </w:t>
      </w:r>
    </w:p>
    <w:p w:rsidR="00F93284" w:rsidRPr="00F93284" w:rsidRDefault="008E5DFB" w:rsidP="008A3DEF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418"/>
        </w:tabs>
        <w:spacing w:after="400"/>
        <w:ind w:left="1418" w:hanging="851"/>
        <w:rPr>
          <w:rFonts w:eastAsia="Calibri" w:cs="Times New Roman"/>
          <w:szCs w:val="22"/>
        </w:rPr>
      </w:pPr>
      <w:r>
        <w:t>B1</w:t>
      </w:r>
      <w:r w:rsidR="00F93284">
        <w:t xml:space="preserve">  (pozměňující návrh je alternativní k návrhům </w:t>
      </w:r>
      <w:r>
        <w:t>A1, C1 a D1</w:t>
      </w:r>
      <w:r w:rsidR="00F93284">
        <w:t xml:space="preserve">, bude-li přijat, jsou </w:t>
      </w:r>
      <w:r w:rsidR="004F6447">
        <w:t xml:space="preserve">dále </w:t>
      </w:r>
      <w:r w:rsidR="00F93284">
        <w:t xml:space="preserve">návrhy </w:t>
      </w:r>
      <w:r>
        <w:t>C1 a D1</w:t>
      </w:r>
      <w:r w:rsidR="00F93284">
        <w:t xml:space="preserve"> </w:t>
      </w:r>
      <w:proofErr w:type="spellStart"/>
      <w:r w:rsidR="006F2E68">
        <w:t>ne</w:t>
      </w:r>
      <w:r w:rsidR="00F93284">
        <w:t>hlasovatelné</w:t>
      </w:r>
      <w:proofErr w:type="spellEnd"/>
      <w:r w:rsidR="00F93284">
        <w:t>);</w:t>
      </w:r>
    </w:p>
    <w:p w:rsidR="00F93284" w:rsidRPr="00F93284" w:rsidRDefault="008E5DFB" w:rsidP="008A3DEF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418"/>
        </w:tabs>
        <w:spacing w:after="400"/>
        <w:ind w:left="1418" w:hanging="851"/>
        <w:rPr>
          <w:rFonts w:eastAsia="Calibri" w:cs="Times New Roman"/>
          <w:szCs w:val="22"/>
        </w:rPr>
      </w:pPr>
      <w:r>
        <w:t>C1</w:t>
      </w:r>
      <w:r w:rsidR="00F93284">
        <w:t xml:space="preserve">  (pozměňující návrh je alternativní k návrhům A</w:t>
      </w:r>
      <w:r>
        <w:t>1</w:t>
      </w:r>
      <w:r w:rsidR="00F93284">
        <w:t xml:space="preserve">, </w:t>
      </w:r>
      <w:r>
        <w:t>B1</w:t>
      </w:r>
      <w:r w:rsidR="00F93284">
        <w:t>, D</w:t>
      </w:r>
      <w:r>
        <w:t>1</w:t>
      </w:r>
      <w:r w:rsidR="00F93284">
        <w:t>, bude-li přijat, j</w:t>
      </w:r>
      <w:r w:rsidR="006F2E68">
        <w:t>e</w:t>
      </w:r>
      <w:r w:rsidR="00F93284">
        <w:t xml:space="preserve"> </w:t>
      </w:r>
      <w:r w:rsidR="004F6447">
        <w:t xml:space="preserve">dále </w:t>
      </w:r>
      <w:r w:rsidR="00F93284">
        <w:t xml:space="preserve">návrhy </w:t>
      </w:r>
      <w:r>
        <w:t>D1</w:t>
      </w:r>
      <w:r w:rsidR="00F93284">
        <w:t xml:space="preserve"> </w:t>
      </w:r>
      <w:proofErr w:type="spellStart"/>
      <w:r w:rsidR="00F93284">
        <w:t>nehlasovateln</w:t>
      </w:r>
      <w:r w:rsidR="006F2E68">
        <w:t>ý</w:t>
      </w:r>
      <w:proofErr w:type="spellEnd"/>
      <w:r w:rsidR="00F93284">
        <w:t>);</w:t>
      </w:r>
    </w:p>
    <w:p w:rsidR="00F93284" w:rsidRPr="00F93284" w:rsidRDefault="00AD1121" w:rsidP="008A3DEF">
      <w:pPr>
        <w:pStyle w:val="Odstavecseseznamem"/>
        <w:numPr>
          <w:ilvl w:val="0"/>
          <w:numId w:val="18"/>
        </w:numPr>
        <w:tabs>
          <w:tab w:val="left" w:pos="567"/>
          <w:tab w:val="left" w:pos="993"/>
          <w:tab w:val="left" w:pos="1418"/>
        </w:tabs>
        <w:spacing w:after="400"/>
        <w:ind w:left="1418" w:hanging="851"/>
        <w:rPr>
          <w:rFonts w:eastAsia="Calibri" w:cs="Times New Roman"/>
          <w:szCs w:val="22"/>
        </w:rPr>
      </w:pPr>
      <w:r>
        <w:t>D1</w:t>
      </w:r>
      <w:r w:rsidR="00F93284">
        <w:t xml:space="preserve">  (pozměňující návrh je alternativní k návrhům A</w:t>
      </w:r>
      <w:r>
        <w:t>1</w:t>
      </w:r>
      <w:r w:rsidR="00F93284">
        <w:t>, B</w:t>
      </w:r>
      <w:r>
        <w:t>1</w:t>
      </w:r>
      <w:r w:rsidR="00F93284">
        <w:t xml:space="preserve">, </w:t>
      </w:r>
      <w:r>
        <w:t>C1</w:t>
      </w:r>
      <w:r w:rsidR="00F93284">
        <w:t xml:space="preserve"> </w:t>
      </w:r>
      <w:r w:rsidR="006F2E68">
        <w:t>)</w:t>
      </w:r>
      <w:r>
        <w:t>;</w:t>
      </w:r>
    </w:p>
    <w:p w:rsidR="00F93284" w:rsidRPr="00F93284" w:rsidRDefault="00F93284" w:rsidP="00F93284">
      <w:pPr>
        <w:pStyle w:val="Odstavecseseznamem"/>
        <w:numPr>
          <w:ilvl w:val="0"/>
          <w:numId w:val="18"/>
        </w:numPr>
        <w:tabs>
          <w:tab w:val="left" w:pos="567"/>
          <w:tab w:val="left" w:pos="1276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t>Hlasování o návrhu zákona jako o celku;</w:t>
      </w:r>
    </w:p>
    <w:p w:rsidR="00F93284" w:rsidRPr="00F93284" w:rsidRDefault="00F93284" w:rsidP="00F93284">
      <w:pPr>
        <w:pStyle w:val="Odstavecseseznamem"/>
        <w:tabs>
          <w:tab w:val="left" w:pos="567"/>
          <w:tab w:val="left" w:pos="1276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</w:p>
    <w:p w:rsidR="004E5170" w:rsidRPr="008D59E9" w:rsidRDefault="008D59E9" w:rsidP="008D59E9">
      <w:pPr>
        <w:spacing w:after="0"/>
        <w:ind w:left="567" w:hanging="567"/>
        <w:jc w:val="both"/>
      </w:pPr>
      <w:r>
        <w:t xml:space="preserve">III. </w:t>
      </w:r>
      <w:r>
        <w:tab/>
      </w:r>
      <w:r w:rsidR="004E5170" w:rsidRPr="008D59E9">
        <w:rPr>
          <w:spacing w:val="60"/>
        </w:rPr>
        <w:t>zaujímá</w:t>
      </w:r>
      <w:r w:rsidR="004E5170" w:rsidRPr="008D59E9">
        <w:t xml:space="preserve"> </w:t>
      </w:r>
      <w:r w:rsidR="004E5170">
        <w:t>následující stanoviska k jednotlivým předloženým návrhům:</w:t>
      </w:r>
    </w:p>
    <w:p w:rsidR="00E0068C" w:rsidRPr="00E0068C" w:rsidRDefault="00E0068C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  <w:rPr>
          <w:rFonts w:eastAsia="Calibri" w:cs="Times New Roman"/>
          <w:szCs w:val="22"/>
        </w:rPr>
      </w:pPr>
    </w:p>
    <w:p w:rsidR="00E0068C" w:rsidRDefault="006F2E68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r>
        <w:t>D</w:t>
      </w:r>
      <w:r w:rsidR="00AD1121">
        <w:t>2 – doporučuje</w:t>
      </w:r>
    </w:p>
    <w:p w:rsidR="00E0068C" w:rsidRDefault="006F2E68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r>
        <w:t>A</w:t>
      </w:r>
      <w:r w:rsidR="00AD1121">
        <w:t xml:space="preserve">1 </w:t>
      </w:r>
      <w:r w:rsidR="00E0068C">
        <w:t xml:space="preserve">– </w:t>
      </w:r>
      <w:r w:rsidR="00AD1121">
        <w:t xml:space="preserve"> nedoporučuje</w:t>
      </w:r>
    </w:p>
    <w:p w:rsidR="00E0068C" w:rsidRDefault="006F2E68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r>
        <w:t>B</w:t>
      </w:r>
      <w:r w:rsidR="00AD1121">
        <w:t>1</w:t>
      </w:r>
      <w:r w:rsidR="00E0068C">
        <w:t xml:space="preserve"> – </w:t>
      </w:r>
      <w:r w:rsidR="00AD1121">
        <w:t xml:space="preserve"> nedoporučuje</w:t>
      </w:r>
    </w:p>
    <w:p w:rsidR="00E0068C" w:rsidRDefault="006F2E68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r>
        <w:t>C</w:t>
      </w:r>
      <w:r w:rsidR="00AD1121">
        <w:t>1</w:t>
      </w:r>
      <w:r w:rsidR="00E0068C">
        <w:t xml:space="preserve"> – </w:t>
      </w:r>
      <w:r w:rsidR="00AD1121">
        <w:t xml:space="preserve"> nedoporučuje</w:t>
      </w:r>
    </w:p>
    <w:p w:rsidR="00AD1121" w:rsidRDefault="00AD1121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r>
        <w:t>D1 – doporučuje</w:t>
      </w:r>
      <w:r w:rsidR="00612BA3">
        <w:t>;</w:t>
      </w:r>
    </w:p>
    <w:p w:rsidR="00E0068C" w:rsidRDefault="00E0068C" w:rsidP="00E0068C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E0068C" w:rsidRPr="005C2263" w:rsidRDefault="00E0068C" w:rsidP="008D59E9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  <w:rPr>
          <w:rFonts w:eastAsia="Calibri" w:cs="Times New Roman"/>
          <w:szCs w:val="22"/>
        </w:rPr>
      </w:pPr>
    </w:p>
    <w:p w:rsidR="004E5170" w:rsidRDefault="008D59E9" w:rsidP="008D59E9">
      <w:pPr>
        <w:pStyle w:val="Odstavecseseznamem"/>
        <w:tabs>
          <w:tab w:val="left" w:pos="0"/>
          <w:tab w:val="left" w:pos="567"/>
        </w:tabs>
        <w:spacing w:after="0"/>
        <w:ind w:left="567" w:hanging="567"/>
        <w:contextualSpacing w:val="0"/>
        <w:jc w:val="both"/>
      </w:pPr>
      <w:r w:rsidRPr="00446343">
        <w:t>IV.</w:t>
      </w:r>
      <w:r>
        <w:rPr>
          <w:rFonts w:eastAsia="Calibri" w:cs="Times New Roman"/>
          <w:spacing w:val="60"/>
          <w:szCs w:val="22"/>
        </w:rPr>
        <w:tab/>
      </w:r>
      <w:r w:rsidR="004E5170">
        <w:rPr>
          <w:rFonts w:eastAsia="Calibri" w:cs="Times New Roman"/>
          <w:spacing w:val="60"/>
          <w:szCs w:val="22"/>
        </w:rPr>
        <w:t>pověřuje</w:t>
      </w:r>
      <w:r w:rsidR="004E5170" w:rsidRPr="005C2263">
        <w:rPr>
          <w:rFonts w:eastAsia="Calibri" w:cs="Times New Roman"/>
          <w:szCs w:val="22"/>
        </w:rPr>
        <w:t xml:space="preserve"> </w:t>
      </w:r>
      <w:r w:rsidR="004E5170">
        <w:t>zpravodaje výboru, aby ve spolupráci s navrhovatelem a legislativním odborem Kanceláře Poslanecké sněmovny popřípadě navrhl nezbytné úpravy podle § 95 odst. 2 zákona o jednacím řádu Poslanecké sněmovny</w:t>
      </w:r>
      <w:r w:rsidR="00241A87">
        <w:t>;</w:t>
      </w:r>
    </w:p>
    <w:p w:rsidR="008D59E9" w:rsidRDefault="008D59E9" w:rsidP="008D59E9">
      <w:pPr>
        <w:pStyle w:val="Odstavecseseznamem"/>
        <w:tabs>
          <w:tab w:val="left" w:pos="0"/>
          <w:tab w:val="left" w:pos="567"/>
        </w:tabs>
        <w:spacing w:after="0"/>
        <w:ind w:left="567" w:hanging="567"/>
        <w:contextualSpacing w:val="0"/>
        <w:jc w:val="both"/>
        <w:rPr>
          <w:rFonts w:eastAsia="Calibri" w:cs="Times New Roman"/>
          <w:szCs w:val="22"/>
        </w:rPr>
      </w:pPr>
    </w:p>
    <w:p w:rsidR="008D59E9" w:rsidRPr="00F86E06" w:rsidRDefault="008D59E9" w:rsidP="008D59E9">
      <w:pPr>
        <w:pStyle w:val="Odstavecseseznamem"/>
        <w:tabs>
          <w:tab w:val="left" w:pos="0"/>
          <w:tab w:val="left" w:pos="567"/>
        </w:tabs>
        <w:spacing w:after="0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0" w:name="_GoBack"/>
      <w:bookmarkEnd w:id="0"/>
    </w:p>
    <w:p w:rsidR="008D59E9" w:rsidRDefault="008D59E9" w:rsidP="008D59E9">
      <w:pPr>
        <w:tabs>
          <w:tab w:val="left" w:pos="567"/>
        </w:tabs>
        <w:spacing w:after="0"/>
        <w:ind w:left="567" w:hanging="567"/>
        <w:jc w:val="both"/>
      </w:pPr>
      <w:r w:rsidRPr="00446343">
        <w:t>V</w:t>
      </w:r>
      <w:r>
        <w:rPr>
          <w:spacing w:val="60"/>
        </w:rPr>
        <w:t>.</w:t>
      </w:r>
      <w:r>
        <w:rPr>
          <w:spacing w:val="60"/>
        </w:rPr>
        <w:tab/>
      </w:r>
      <w:r w:rsidR="004E5170" w:rsidRPr="008D59E9">
        <w:rPr>
          <w:spacing w:val="60"/>
        </w:rPr>
        <w:t>pověřuje</w:t>
      </w:r>
      <w:r w:rsidR="004E5170">
        <w:t xml:space="preserve"> zpravodaje výboru, aby na schůzi Poslanecké sněmovny ve třetím čtení návrhu zákona přednášel stanoviska výboru</w:t>
      </w:r>
      <w:r w:rsidR="00241A87">
        <w:t>;</w:t>
      </w:r>
    </w:p>
    <w:p w:rsidR="008D59E9" w:rsidRDefault="008D59E9" w:rsidP="008D59E9">
      <w:pPr>
        <w:tabs>
          <w:tab w:val="left" w:pos="567"/>
        </w:tabs>
        <w:spacing w:after="0"/>
        <w:ind w:left="567" w:hanging="567"/>
        <w:jc w:val="both"/>
      </w:pPr>
    </w:p>
    <w:p w:rsidR="008D59E9" w:rsidRDefault="008D59E9" w:rsidP="008D59E9">
      <w:pPr>
        <w:tabs>
          <w:tab w:val="left" w:pos="567"/>
        </w:tabs>
        <w:spacing w:after="0"/>
        <w:ind w:left="567" w:hanging="567"/>
        <w:jc w:val="both"/>
      </w:pPr>
    </w:p>
    <w:p w:rsidR="004E5170" w:rsidRPr="00F86E06" w:rsidRDefault="008D59E9" w:rsidP="008D59E9">
      <w:pPr>
        <w:tabs>
          <w:tab w:val="left" w:pos="567"/>
        </w:tabs>
        <w:spacing w:after="0"/>
        <w:ind w:left="567" w:hanging="567"/>
        <w:jc w:val="both"/>
      </w:pPr>
      <w:r w:rsidRPr="00446343">
        <w:t>VI</w:t>
      </w:r>
      <w:r w:rsidR="00446343">
        <w:t>.</w:t>
      </w:r>
      <w:r w:rsidR="00446343">
        <w:tab/>
      </w:r>
      <w:r w:rsidR="004E5170" w:rsidRPr="00F86E06">
        <w:rPr>
          <w:spacing w:val="60"/>
        </w:rPr>
        <w:t>pověřuje</w:t>
      </w:r>
      <w:r w:rsidR="004E5170">
        <w:t xml:space="preserve"> předsedu výboru, aby předložil toto usnesení předsedovi Poslanecké sněmovny. </w:t>
      </w:r>
    </w:p>
    <w:p w:rsidR="004E5170" w:rsidRDefault="004E5170" w:rsidP="00D768BB">
      <w:pPr>
        <w:rPr>
          <w:szCs w:val="24"/>
        </w:rPr>
      </w:pPr>
    </w:p>
    <w:p w:rsidR="00AB1094" w:rsidRPr="00106842" w:rsidRDefault="00AB1094" w:rsidP="00AB109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  <w:t>Jiří  DOLEJŠ</w:t>
      </w:r>
      <w:r w:rsidR="00E7273D">
        <w:t xml:space="preserve"> </w:t>
      </w:r>
      <w:proofErr w:type="gramStart"/>
      <w:r w:rsidR="00E7273D">
        <w:t>v.r.</w:t>
      </w:r>
      <w:proofErr w:type="gramEnd"/>
      <w:r>
        <w:rPr>
          <w:caps/>
        </w:rPr>
        <w:t xml:space="preserve"> </w:t>
      </w:r>
      <w:r w:rsidRPr="00106842">
        <w:tab/>
      </w:r>
      <w:r w:rsidRPr="00106842">
        <w:tab/>
      </w:r>
      <w:r>
        <w:t>Václav VOTAVA</w:t>
      </w:r>
      <w:r w:rsidR="00E7273D">
        <w:t xml:space="preserve"> </w:t>
      </w:r>
      <w:proofErr w:type="gramStart"/>
      <w:r w:rsidR="00E7273D">
        <w:t>v.r.</w:t>
      </w:r>
      <w:proofErr w:type="gramEnd"/>
      <w:r>
        <w:t xml:space="preserve"> </w:t>
      </w:r>
    </w:p>
    <w:p w:rsidR="00AB1094" w:rsidRDefault="00AB1094" w:rsidP="00AB109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>
        <w:t>o</w:t>
      </w:r>
      <w:r w:rsidRPr="00106842">
        <w:t>věřovatel</w:t>
      </w:r>
      <w:r w:rsidRPr="00106842">
        <w:tab/>
      </w:r>
      <w:r w:rsidRPr="00106842">
        <w:tab/>
      </w:r>
      <w:r>
        <w:t xml:space="preserve"> zpravodaj</w:t>
      </w:r>
    </w:p>
    <w:p w:rsidR="00AB1094" w:rsidRDefault="00AB1094" w:rsidP="00AB109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B1094" w:rsidRDefault="007B77DA" w:rsidP="00AB109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DB7CA1">
        <w:t>Jaroslav KLAŠKA</w:t>
      </w:r>
      <w:r w:rsidR="00E7273D">
        <w:t xml:space="preserve"> </w:t>
      </w:r>
      <w:proofErr w:type="gramStart"/>
      <w:r w:rsidR="00E7273D">
        <w:t>v.r.</w:t>
      </w:r>
      <w:proofErr w:type="gramEnd"/>
    </w:p>
    <w:p w:rsidR="007B77DA" w:rsidRDefault="007B77DA" w:rsidP="00AB109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v zastoupení</w:t>
      </w:r>
    </w:p>
    <w:p w:rsidR="007B77DA" w:rsidRDefault="007B77DA" w:rsidP="00AB109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95D5F" w:rsidRDefault="00495D5F" w:rsidP="00D768BB">
      <w:pPr>
        <w:tabs>
          <w:tab w:val="left" w:pos="0"/>
        </w:tabs>
        <w:ind w:left="720" w:hanging="720"/>
        <w:jc w:val="both"/>
        <w:rPr>
          <w:rFonts w:ascii="CG Omega;Arial" w:hAnsi="CG Omega;Arial" w:cs="CG Omega;Arial"/>
          <w:sz w:val="16"/>
          <w:szCs w:val="20"/>
        </w:rPr>
      </w:pPr>
    </w:p>
    <w:p w:rsidR="003B4B60" w:rsidRDefault="003B4B60" w:rsidP="00D768BB">
      <w:pPr>
        <w:tabs>
          <w:tab w:val="left" w:pos="0"/>
        </w:tabs>
        <w:ind w:left="720" w:hanging="720"/>
        <w:jc w:val="both"/>
        <w:rPr>
          <w:rFonts w:ascii="CG Omega;Arial" w:hAnsi="CG Omega;Arial" w:cs="CG Omega;Arial"/>
          <w:sz w:val="16"/>
          <w:szCs w:val="20"/>
        </w:rPr>
      </w:pPr>
    </w:p>
    <w:p w:rsidR="00D42594" w:rsidRDefault="007B77DA" w:rsidP="007B77DA">
      <w:pPr>
        <w:spacing w:after="0" w:line="240" w:lineRule="auto"/>
        <w:jc w:val="center"/>
      </w:pPr>
      <w:r>
        <w:t>Ladislav  ŠINCL</w:t>
      </w:r>
      <w:r w:rsidR="00E7273D">
        <w:t xml:space="preserve"> v.r.</w:t>
      </w:r>
    </w:p>
    <w:p w:rsidR="007B77DA" w:rsidRPr="007B77DA" w:rsidRDefault="007B77DA" w:rsidP="007B77DA">
      <w:pPr>
        <w:spacing w:after="0" w:line="240" w:lineRule="auto"/>
        <w:jc w:val="center"/>
      </w:pPr>
      <w:r>
        <w:t>místopředseda</w:t>
      </w:r>
    </w:p>
    <w:sectPr w:rsidR="007B77DA" w:rsidRPr="007B77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32AF8"/>
    <w:multiLevelType w:val="hybridMultilevel"/>
    <w:tmpl w:val="F36070EC"/>
    <w:lvl w:ilvl="0" w:tplc="33E0769E">
      <w:start w:val="1"/>
      <w:numFmt w:val="upperRoman"/>
      <w:lvlText w:val="(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3D5171"/>
    <w:multiLevelType w:val="hybridMultilevel"/>
    <w:tmpl w:val="555898EA"/>
    <w:lvl w:ilvl="0" w:tplc="82022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98A4347"/>
    <w:multiLevelType w:val="hybridMultilevel"/>
    <w:tmpl w:val="4A3A042A"/>
    <w:lvl w:ilvl="0" w:tplc="C11A7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A05A0"/>
    <w:multiLevelType w:val="hybridMultilevel"/>
    <w:tmpl w:val="96DA9AF2"/>
    <w:lvl w:ilvl="0" w:tplc="9436748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607A0"/>
    <w:multiLevelType w:val="hybridMultilevel"/>
    <w:tmpl w:val="9700479A"/>
    <w:lvl w:ilvl="0" w:tplc="0D9EE9B0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700954C0"/>
    <w:multiLevelType w:val="hybridMultilevel"/>
    <w:tmpl w:val="29F8962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0"/>
  </w:num>
  <w:num w:numId="16">
    <w:abstractNumId w:val="14"/>
  </w:num>
  <w:num w:numId="17">
    <w:abstractNumId w:val="15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89"/>
    <w:rsid w:val="000420FF"/>
    <w:rsid w:val="00044F15"/>
    <w:rsid w:val="000476E4"/>
    <w:rsid w:val="00047C33"/>
    <w:rsid w:val="0009339F"/>
    <w:rsid w:val="000B65B3"/>
    <w:rsid w:val="000C5278"/>
    <w:rsid w:val="000E730C"/>
    <w:rsid w:val="00103C04"/>
    <w:rsid w:val="00106842"/>
    <w:rsid w:val="00117C4C"/>
    <w:rsid w:val="00144123"/>
    <w:rsid w:val="001A75A2"/>
    <w:rsid w:val="001B45F3"/>
    <w:rsid w:val="001B5F65"/>
    <w:rsid w:val="00230024"/>
    <w:rsid w:val="00240F5E"/>
    <w:rsid w:val="00241A87"/>
    <w:rsid w:val="00254049"/>
    <w:rsid w:val="00272E1B"/>
    <w:rsid w:val="002A2F32"/>
    <w:rsid w:val="002B0FB6"/>
    <w:rsid w:val="002B60B3"/>
    <w:rsid w:val="002C0642"/>
    <w:rsid w:val="002C6BED"/>
    <w:rsid w:val="002D1061"/>
    <w:rsid w:val="002E597A"/>
    <w:rsid w:val="00322D21"/>
    <w:rsid w:val="00356011"/>
    <w:rsid w:val="00362D19"/>
    <w:rsid w:val="00377253"/>
    <w:rsid w:val="003B242F"/>
    <w:rsid w:val="003B4B60"/>
    <w:rsid w:val="003C67AE"/>
    <w:rsid w:val="003D2033"/>
    <w:rsid w:val="003F2BDA"/>
    <w:rsid w:val="003F5D49"/>
    <w:rsid w:val="00420866"/>
    <w:rsid w:val="00446343"/>
    <w:rsid w:val="00495D5F"/>
    <w:rsid w:val="004E5170"/>
    <w:rsid w:val="004F6447"/>
    <w:rsid w:val="0050232A"/>
    <w:rsid w:val="005227BF"/>
    <w:rsid w:val="00566A4C"/>
    <w:rsid w:val="005818E9"/>
    <w:rsid w:val="00586AE6"/>
    <w:rsid w:val="005C30D7"/>
    <w:rsid w:val="005E094C"/>
    <w:rsid w:val="005E284C"/>
    <w:rsid w:val="005F6CAE"/>
    <w:rsid w:val="00612BA3"/>
    <w:rsid w:val="00620764"/>
    <w:rsid w:val="0066562B"/>
    <w:rsid w:val="00673DAF"/>
    <w:rsid w:val="00695A0E"/>
    <w:rsid w:val="006E3237"/>
    <w:rsid w:val="006F120A"/>
    <w:rsid w:val="006F2E68"/>
    <w:rsid w:val="00700B71"/>
    <w:rsid w:val="007731BD"/>
    <w:rsid w:val="007B77DA"/>
    <w:rsid w:val="007C62DA"/>
    <w:rsid w:val="007D5EE1"/>
    <w:rsid w:val="007E1D0B"/>
    <w:rsid w:val="0081220B"/>
    <w:rsid w:val="00812496"/>
    <w:rsid w:val="008279FF"/>
    <w:rsid w:val="00830BFE"/>
    <w:rsid w:val="008628B9"/>
    <w:rsid w:val="00893C29"/>
    <w:rsid w:val="008A3DEF"/>
    <w:rsid w:val="008D22F1"/>
    <w:rsid w:val="008D59E9"/>
    <w:rsid w:val="008E5DFB"/>
    <w:rsid w:val="008E7A74"/>
    <w:rsid w:val="008F054C"/>
    <w:rsid w:val="00903269"/>
    <w:rsid w:val="009101CD"/>
    <w:rsid w:val="00915869"/>
    <w:rsid w:val="00920D8B"/>
    <w:rsid w:val="00932C0C"/>
    <w:rsid w:val="009665E9"/>
    <w:rsid w:val="009773C1"/>
    <w:rsid w:val="00A326FB"/>
    <w:rsid w:val="00A46CDA"/>
    <w:rsid w:val="00A6140C"/>
    <w:rsid w:val="00A74376"/>
    <w:rsid w:val="00A766BE"/>
    <w:rsid w:val="00AA0D27"/>
    <w:rsid w:val="00AB1094"/>
    <w:rsid w:val="00AD1121"/>
    <w:rsid w:val="00AD6030"/>
    <w:rsid w:val="00B13892"/>
    <w:rsid w:val="00B24C31"/>
    <w:rsid w:val="00B5123B"/>
    <w:rsid w:val="00B51F8E"/>
    <w:rsid w:val="00B53E8D"/>
    <w:rsid w:val="00B64D4D"/>
    <w:rsid w:val="00B715B6"/>
    <w:rsid w:val="00BB7569"/>
    <w:rsid w:val="00BC09E3"/>
    <w:rsid w:val="00BF1A4E"/>
    <w:rsid w:val="00BF3E89"/>
    <w:rsid w:val="00C56014"/>
    <w:rsid w:val="00CB18D8"/>
    <w:rsid w:val="00CC2E71"/>
    <w:rsid w:val="00D42594"/>
    <w:rsid w:val="00D635F3"/>
    <w:rsid w:val="00D7006A"/>
    <w:rsid w:val="00D768BB"/>
    <w:rsid w:val="00D76FB3"/>
    <w:rsid w:val="00DA687F"/>
    <w:rsid w:val="00DB7CA1"/>
    <w:rsid w:val="00DC29E4"/>
    <w:rsid w:val="00E0068C"/>
    <w:rsid w:val="00E03EAB"/>
    <w:rsid w:val="00E472CC"/>
    <w:rsid w:val="00E7273D"/>
    <w:rsid w:val="00E86126"/>
    <w:rsid w:val="00E9142B"/>
    <w:rsid w:val="00EC432E"/>
    <w:rsid w:val="00ED15A8"/>
    <w:rsid w:val="00EF3B15"/>
    <w:rsid w:val="00EF679B"/>
    <w:rsid w:val="00F408C9"/>
    <w:rsid w:val="00F531A9"/>
    <w:rsid w:val="00F93284"/>
    <w:rsid w:val="00F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9B1AC-A58C-4894-A27B-FEE0F6F3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Odsazentlatextu">
    <w:name w:val="Odsazení těla textu"/>
    <w:basedOn w:val="Normln"/>
    <w:rsid w:val="00E86126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20A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E03EAB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  <w:style w:type="paragraph" w:customStyle="1" w:styleId="Parlament">
    <w:name w:val="Parlament"/>
    <w:basedOn w:val="Normln"/>
    <w:next w:val="Normln"/>
    <w:rsid w:val="00E03EAB"/>
    <w:pPr>
      <w:keepNext/>
      <w:keepLines/>
      <w:suppressAutoHyphens/>
      <w:spacing w:before="360" w:after="240" w:line="240" w:lineRule="auto"/>
      <w:jc w:val="both"/>
    </w:pPr>
    <w:rPr>
      <w:rFonts w:eastAsia="Times New Roman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E5170"/>
    <w:pPr>
      <w:ind w:left="720"/>
      <w:contextualSpacing/>
    </w:pPr>
    <w:rPr>
      <w:rFonts w:eastAsiaTheme="minorHAnsi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6\Usnesen&#237;-2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47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14</cp:revision>
  <cp:lastPrinted>2016-09-21T13:06:00Z</cp:lastPrinted>
  <dcterms:created xsi:type="dcterms:W3CDTF">2016-09-21T11:44:00Z</dcterms:created>
  <dcterms:modified xsi:type="dcterms:W3CDTF">2016-09-21T13:08:00Z</dcterms:modified>
</cp:coreProperties>
</file>