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0E18" w14:textId="77777777" w:rsidR="00980FAA" w:rsidRDefault="00980FAA">
      <w:bookmarkStart w:id="0" w:name="_GoBack"/>
      <w:bookmarkEnd w:id="0"/>
    </w:p>
    <w:p w14:paraId="6A98949E" w14:textId="77777777" w:rsidR="00980FAA" w:rsidRDefault="00980FAA"/>
    <w:p w14:paraId="7A8A72CC" w14:textId="77777777" w:rsidR="00980FAA" w:rsidRDefault="00980FAA"/>
    <w:p w14:paraId="2C62F08D" w14:textId="77777777" w:rsidR="00980FAA" w:rsidRDefault="00980FAA"/>
    <w:p w14:paraId="6AB30F30" w14:textId="77777777" w:rsidR="00980FAA" w:rsidRDefault="00980FAA"/>
    <w:p w14:paraId="725A8697" w14:textId="77777777" w:rsidR="00980FAA" w:rsidRDefault="00980FAA" w:rsidP="00C35ADC">
      <w:pPr>
        <w:jc w:val="right"/>
      </w:pPr>
    </w:p>
    <w:p w14:paraId="15EA4D1D" w14:textId="77777777" w:rsidR="00980FAA" w:rsidRDefault="00980FAA"/>
    <w:p w14:paraId="589D078F" w14:textId="77777777" w:rsidR="00980FAA" w:rsidRDefault="00980FAA"/>
    <w:p w14:paraId="1B37D15E" w14:textId="77777777" w:rsidR="00980FAA" w:rsidRDefault="00980FAA"/>
    <w:p w14:paraId="4767C383" w14:textId="77777777" w:rsidR="00980FAA" w:rsidRDefault="00980FAA"/>
    <w:p w14:paraId="72C4538D" w14:textId="77777777" w:rsidR="00980FAA" w:rsidRDefault="00980FAA"/>
    <w:p w14:paraId="70C635B1" w14:textId="77777777" w:rsidR="00980FAA" w:rsidRDefault="00980FAA"/>
    <w:tbl>
      <w:tblPr>
        <w:tblpPr w:leftFromText="187" w:rightFromText="187" w:vertAnchor="page" w:horzAnchor="margin" w:tblpY="7781"/>
        <w:tblW w:w="3988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442"/>
      </w:tblGrid>
      <w:tr w:rsidR="00950770" w14:paraId="3E8E5ABC" w14:textId="77777777" w:rsidTr="001E4737">
        <w:tc>
          <w:tcPr>
            <w:tcW w:w="7442" w:type="dxa"/>
          </w:tcPr>
          <w:p w14:paraId="7F06AFAC" w14:textId="77777777" w:rsidR="00950770" w:rsidRDefault="006577CA" w:rsidP="001E4737">
            <w:pPr>
              <w:pStyle w:val="Bezmezer"/>
              <w:spacing w:line="216" w:lineRule="auto"/>
              <w:rPr>
                <w:rFonts w:asciiTheme="majorHAnsi" w:eastAsiaTheme="majorEastAsia" w:hAnsiTheme="majorHAnsi" w:cstheme="majorBidi"/>
                <w:color w:val="5B9BD5" w:themeColor="accent1"/>
                <w:sz w:val="88"/>
                <w:szCs w:val="88"/>
              </w:rPr>
            </w:pPr>
            <w:sdt>
              <w:sdtPr>
                <w:rPr>
                  <w:rFonts w:ascii="Arial" w:eastAsia="Arial Unicode MS" w:hAnsi="Arial" w:cs="Arial"/>
                  <w:b/>
                  <w:sz w:val="34"/>
                  <w:szCs w:val="34"/>
                </w:rPr>
                <w:alias w:val="Název"/>
                <w:id w:val="13406919"/>
                <w:placeholder>
                  <w:docPart w:val="A95F2C64CE144BA0BF2D846CF1F0C98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1C4BEC">
                  <w:rPr>
                    <w:rFonts w:ascii="Arial" w:eastAsia="Arial Unicode MS" w:hAnsi="Arial" w:cs="Arial"/>
                    <w:b/>
                    <w:sz w:val="34"/>
                    <w:szCs w:val="34"/>
                  </w:rPr>
                  <w:t>Národní koncepce realizace politiky soudržnosti v ČR po roce 2020 -</w:t>
                </w:r>
              </w:sdtContent>
            </w:sdt>
          </w:p>
        </w:tc>
      </w:tr>
      <w:tr w:rsidR="00950770" w14:paraId="6DFC9266" w14:textId="77777777" w:rsidTr="001E4737">
        <w:tc>
          <w:tcPr>
            <w:tcW w:w="744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63BC4DF" w14:textId="77777777" w:rsidR="00950770" w:rsidRDefault="006577CA" w:rsidP="001E4737">
            <w:pPr>
              <w:pStyle w:val="Bezmezer"/>
              <w:rPr>
                <w:color w:val="2E74B5" w:themeColor="accent1" w:themeShade="BF"/>
                <w:sz w:val="24"/>
              </w:rPr>
            </w:pPr>
            <w:sdt>
              <w:sdtPr>
                <w:rPr>
                  <w:rFonts w:ascii="Arial" w:eastAsia="Arial Unicode MS" w:hAnsi="Arial" w:cs="Arial"/>
                  <w:b/>
                  <w:sz w:val="42"/>
                  <w:szCs w:val="42"/>
                </w:rPr>
                <w:alias w:val="Podtitul"/>
                <w:id w:val="13406923"/>
                <w:placeholder>
                  <w:docPart w:val="C5BEAF161C804C2F9DE7C3FFBDE06A4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B96D24" w:rsidRPr="00B96D24">
                  <w:rPr>
                    <w:rFonts w:ascii="Arial" w:eastAsia="Arial Unicode MS" w:hAnsi="Arial" w:cs="Arial"/>
                    <w:b/>
                    <w:sz w:val="42"/>
                    <w:szCs w:val="42"/>
                  </w:rPr>
                  <w:t xml:space="preserve">Příloha č. 4  </w:t>
                </w:r>
                <w:r w:rsidR="00B96D24">
                  <w:rPr>
                    <w:rFonts w:ascii="Arial" w:eastAsia="Arial Unicode MS" w:hAnsi="Arial" w:cs="Arial"/>
                    <w:b/>
                    <w:sz w:val="42"/>
                    <w:szCs w:val="42"/>
                  </w:rPr>
                  <w:t xml:space="preserve">                                 </w:t>
                </w:r>
                <w:r w:rsidR="00B96D24" w:rsidRPr="00B96D24">
                  <w:rPr>
                    <w:rFonts w:ascii="Arial" w:eastAsia="Arial Unicode MS" w:hAnsi="Arial" w:cs="Arial"/>
                    <w:b/>
                    <w:sz w:val="42"/>
                    <w:szCs w:val="42"/>
                  </w:rPr>
                  <w:t>Vztah specifických cílů NKR k procesu evropského semestru</w:t>
                </w:r>
              </w:sdtContent>
            </w:sdt>
          </w:p>
        </w:tc>
      </w:tr>
    </w:tbl>
    <w:p w14:paraId="0D8948C5" w14:textId="77777777" w:rsidR="00980FAA" w:rsidRDefault="00980FAA"/>
    <w:p w14:paraId="66B96ED4" w14:textId="77777777" w:rsidR="00950770" w:rsidRDefault="00950770"/>
    <w:p w14:paraId="72DD9CDF" w14:textId="77777777" w:rsidR="00950770" w:rsidRDefault="00950770"/>
    <w:p w14:paraId="3AD7F965" w14:textId="77777777" w:rsidR="00980FAA" w:rsidRDefault="00980FAA"/>
    <w:p w14:paraId="0A875E34" w14:textId="77777777" w:rsidR="00980FAA" w:rsidRDefault="00980FAA"/>
    <w:p w14:paraId="0635A173" w14:textId="77777777" w:rsidR="00980FAA" w:rsidRDefault="00980FAA"/>
    <w:p w14:paraId="527F60DD" w14:textId="77777777" w:rsidR="00980FAA" w:rsidRDefault="00980FAA"/>
    <w:p w14:paraId="7BB3DEF0" w14:textId="77777777" w:rsidR="00980FAA" w:rsidRDefault="00980FAA"/>
    <w:p w14:paraId="3E7CA987" w14:textId="77777777" w:rsidR="00980FAA" w:rsidRDefault="00980FAA"/>
    <w:p w14:paraId="4F808220" w14:textId="77777777" w:rsidR="00980FAA" w:rsidRDefault="00980FAA"/>
    <w:p w14:paraId="100CD68D" w14:textId="77777777" w:rsidR="00980FAA" w:rsidRDefault="00980FAA"/>
    <w:p w14:paraId="578F994A" w14:textId="77777777" w:rsidR="00980FAA" w:rsidRDefault="00980FAA"/>
    <w:p w14:paraId="3AF8A352" w14:textId="77777777" w:rsidR="00980FAA" w:rsidRDefault="00980FAA"/>
    <w:p w14:paraId="6F9E48CB" w14:textId="77777777" w:rsidR="00980FAA" w:rsidRDefault="00980FAA"/>
    <w:p w14:paraId="265B82F1" w14:textId="77777777" w:rsidR="00980FAA" w:rsidRDefault="00980FAA"/>
    <w:p w14:paraId="1FBB204F" w14:textId="77777777" w:rsidR="00980FAA" w:rsidRDefault="00980FAA"/>
    <w:p w14:paraId="30D287EA" w14:textId="77777777" w:rsidR="00C35ADC" w:rsidRDefault="00C35ADC">
      <w:pPr>
        <w:sectPr w:rsidR="00C35ADC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3126"/>
        <w:gridCol w:w="2085"/>
        <w:gridCol w:w="3424"/>
        <w:gridCol w:w="2452"/>
      </w:tblGrid>
      <w:tr w:rsidR="007B3286" w:rsidRPr="00F72BDF" w14:paraId="414FB678" w14:textId="77777777" w:rsidTr="004C3902">
        <w:trPr>
          <w:trHeight w:val="255"/>
        </w:trPr>
        <w:tc>
          <w:tcPr>
            <w:tcW w:w="3271" w:type="dxa"/>
            <w:shd w:val="clear" w:color="4F81BD" w:fill="4F81BD"/>
            <w:vAlign w:val="bottom"/>
            <w:hideMark/>
          </w:tcPr>
          <w:p w14:paraId="17B4F7CC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46F04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Popis problematiky</w:t>
            </w:r>
          </w:p>
        </w:tc>
        <w:tc>
          <w:tcPr>
            <w:tcW w:w="0" w:type="auto"/>
            <w:shd w:val="clear" w:color="4F81BD" w:fill="4F81BD"/>
            <w:vAlign w:val="bottom"/>
            <w:hideMark/>
          </w:tcPr>
          <w:p w14:paraId="14931425" w14:textId="77777777" w:rsidR="00646F04" w:rsidRPr="00646F04" w:rsidRDefault="007B3286" w:rsidP="00646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2BDF">
              <w:rPr>
                <w:rFonts w:ascii="Arial" w:eastAsia="Times New Roman" w:hAnsi="Arial" w:cs="Arial"/>
                <w:b/>
                <w:bCs/>
                <w:lang w:eastAsia="cs-CZ"/>
              </w:rPr>
              <w:t>Doporučení CR</w:t>
            </w:r>
          </w:p>
        </w:tc>
        <w:tc>
          <w:tcPr>
            <w:tcW w:w="0" w:type="auto"/>
            <w:shd w:val="clear" w:color="4F81BD" w:fill="4F81BD"/>
            <w:vAlign w:val="bottom"/>
            <w:hideMark/>
          </w:tcPr>
          <w:p w14:paraId="69788A68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46F04">
              <w:rPr>
                <w:rFonts w:ascii="Arial" w:eastAsia="Times New Roman" w:hAnsi="Arial" w:cs="Arial"/>
                <w:b/>
                <w:bCs/>
                <w:lang w:eastAsia="cs-CZ"/>
              </w:rPr>
              <w:t>SC NKR</w:t>
            </w:r>
          </w:p>
        </w:tc>
        <w:tc>
          <w:tcPr>
            <w:tcW w:w="0" w:type="auto"/>
            <w:shd w:val="clear" w:color="4F81BD" w:fill="4F81BD"/>
            <w:noWrap/>
            <w:vAlign w:val="bottom"/>
            <w:hideMark/>
          </w:tcPr>
          <w:p w14:paraId="5062B61C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46F04">
              <w:rPr>
                <w:rFonts w:ascii="Arial" w:eastAsia="Times New Roman" w:hAnsi="Arial" w:cs="Arial"/>
                <w:b/>
                <w:bCs/>
                <w:lang w:eastAsia="cs-CZ"/>
              </w:rPr>
              <w:t>SC dle přílsušného nařízení</w:t>
            </w:r>
          </w:p>
        </w:tc>
        <w:tc>
          <w:tcPr>
            <w:tcW w:w="0" w:type="auto"/>
            <w:shd w:val="clear" w:color="4F81BD" w:fill="4F81BD"/>
            <w:noWrap/>
            <w:vAlign w:val="bottom"/>
            <w:hideMark/>
          </w:tcPr>
          <w:p w14:paraId="75F13373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46F04">
              <w:rPr>
                <w:rFonts w:ascii="Arial" w:eastAsia="Times New Roman" w:hAnsi="Arial" w:cs="Arial"/>
                <w:b/>
                <w:bCs/>
                <w:lang w:eastAsia="cs-CZ"/>
              </w:rPr>
              <w:t>Intenzita potřeb</w:t>
            </w:r>
          </w:p>
        </w:tc>
      </w:tr>
      <w:tr w:rsidR="007B3286" w:rsidRPr="00F72BDF" w14:paraId="4F2D12DA" w14:textId="77777777" w:rsidTr="004C3902">
        <w:trPr>
          <w:trHeight w:val="2828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2A17DE74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1. Česká republika zaostává, pokud jde o podíl inovativních podniků, které jsou hlavní hybnou silou konkurenceschopnosti. Byly určeny vysoce prioritní investiční potřeby(39) s cílem posílit kapacity v oblasti výzkumu a inovací a zavádění moderních technologií, zejména za účelem posílení výkonnosti v oblasti inovací a podpory růstu produktivity určením oblastí inteligentní specializace na základě vnitrostátních a regionálních potřeb a potenciálu s cílem: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70BDDF34" w14:textId="3A9EA6DC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výšit atraktivitu a konkurenceschopnost systému výzkum zlepšením postupů řízení a snížením byrokracie, financováním na základě kvality výzkumu, vytvářením pobídek pro přilákání kvalifikovaných vědeckých pracovníků, a modernizací výzkumných infrastruktur, pokud existují jasné důkazy o obchodním zájmu a prokazatelné vazby na inteligentní specializaci; 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F28D0A4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Rozvoj zázemí pro kvalitní a relevantní výzkum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1BD8FC12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posílení výzkumných a inovačních kapacit a zavádění pokročilých technologií;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6E4B05DE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28658757" w14:textId="77777777" w:rsidTr="004C3902">
        <w:trPr>
          <w:trHeight w:val="720"/>
        </w:trPr>
        <w:tc>
          <w:tcPr>
            <w:tcW w:w="3271" w:type="dxa"/>
            <w:shd w:val="clear" w:color="auto" w:fill="auto"/>
            <w:vAlign w:val="center"/>
            <w:hideMark/>
          </w:tcPr>
          <w:p w14:paraId="0F39231E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4FB49" w14:textId="21D58905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 xml:space="preserve">odporovat spolupráci a předávání znalostí mezi výzkumnými institucemi / akademickou obcí a podniky v prioritních odvětvích,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28DAA3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Zkvalitnění strategického řízení VaVai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8851D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posílení výzkumných a inovačních kapacit a zavádění pokročilých technologií;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7AAF0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1B34DBC8" w14:textId="77777777" w:rsidTr="004C3902">
        <w:trPr>
          <w:trHeight w:val="96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5A05D963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2D71A16E" w14:textId="6C13196A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výšit počet inovativních firem a začínajících podniků v odvětvích inteligentní specializace s nejvyšším potenciálem a současně zohlednit rovněž regionální specializace, 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7B4AB31A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Podpora inovace prostřednictvím aplikovaného výzkumu a experimentálního vývoje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7BC5EAD9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posílení výzkumných a inovačních kapacit a zavádění pokročilých technologií;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72CF7127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6ABBCDA8" w14:textId="77777777" w:rsidTr="004C3902">
        <w:trPr>
          <w:trHeight w:val="807"/>
        </w:trPr>
        <w:tc>
          <w:tcPr>
            <w:tcW w:w="3271" w:type="dxa"/>
            <w:shd w:val="clear" w:color="auto" w:fill="auto"/>
            <w:vAlign w:val="center"/>
            <w:hideMark/>
          </w:tcPr>
          <w:p w14:paraId="55E04FD0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2B555" w14:textId="4C84DA3F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 xml:space="preserve">odporovat investice do univerzit a středních škol zohledňujících priority inteligentní specializace.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33E64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Rozvoj zázemí pro kvalitní a relevantní výzkum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D6B3B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posílení výzkumných a inovačních kapacit a zavádění pokročilých technologií;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7754D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521970D4" w14:textId="77777777" w:rsidTr="004C3902">
        <w:trPr>
          <w:trHeight w:val="288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41CD9932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2. Ačkoli Česká republika dosahuje v rámci EU zhruba průměrných výsledků, pokud jde o integraci digitálních technologií, počet domácností a podniků využívajících technologie založené na datech zůstává omezený. Byly určeny prioritní investiční potřeby za účelem využití přínosů digitalizace pro občany, podniky a orgány státní správy, a zejména s cílem: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077AF3FA" w14:textId="0EF3C434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R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ozšířit a urychlit elektronickou veřejnou správu, včetně zavádění služeb elektronického zdravotnictví a celoevropských interoperabilních služeb,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12EE6503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Elektronizace výkonu veřejné správy a zavedení související infrastruktury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5EA5D77D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ii) využití přínosů digitalizace pro občany, podniky a vlády;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1B48C77B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Prioritní potřeby</w:t>
            </w:r>
          </w:p>
        </w:tc>
      </w:tr>
      <w:tr w:rsidR="00F72BDF" w:rsidRPr="00646F04" w14:paraId="388C32B6" w14:textId="77777777" w:rsidTr="004C3902">
        <w:trPr>
          <w:cantSplit/>
          <w:trHeight w:val="47"/>
        </w:trPr>
        <w:tc>
          <w:tcPr>
            <w:tcW w:w="3271" w:type="dxa"/>
            <w:shd w:val="clear" w:color="auto" w:fill="auto"/>
            <w:vAlign w:val="center"/>
            <w:hideMark/>
          </w:tcPr>
          <w:p w14:paraId="350A693B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3CBB5" w14:textId="302F30E5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odporovat integraci a zavádění digitálních technologií v malých a středních podnicích, včetně infrastruktury a služeb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ABF56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Zavedení principů digitální ekonomiky a průmyslu 4.0 ve firmách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B2554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ii) využití přínosů digitalizace pro občany, podniky a vlády;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3CE41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Prioritní potřeby</w:t>
            </w:r>
          </w:p>
        </w:tc>
      </w:tr>
      <w:tr w:rsidR="007B3286" w:rsidRPr="00F72BDF" w14:paraId="24E8D758" w14:textId="77777777" w:rsidTr="004C3902">
        <w:trPr>
          <w:trHeight w:val="288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75823234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3. Malé a střední podniky zaostávají, pokud jde o investice do činností v oblasti výzkumu, vývoje a inovací a posílení jejich pozice v globálních hodnotových řetězcích. Byly určeny vysoce prioritní investiční potřeby za účelem zvýšení konkurenceschopnosti malých a středních podniků a podpory šíření a zavádění technologií, zejména s cílem: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1ECCE223" w14:textId="5E451706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 xml:space="preserve">odporovat podniky, aby získaly lepší pozici v hodnotových řetězcích, zvyšovat produktivitu a usnadnit účast v mezinárodních a makroregionálních klastrech vedených odvětvím a výzkumem, 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50C2C43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Zvýšení přidané hodnoty výrobků a služeb podniků v produkčním řetězci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2F0ACE1F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iii) posílení růstu a konkurenceschopnosti malých a středních podniků;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4C92558D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43923C14" w14:textId="77777777" w:rsidTr="004C3902">
        <w:trPr>
          <w:trHeight w:val="960"/>
        </w:trPr>
        <w:tc>
          <w:tcPr>
            <w:tcW w:w="3271" w:type="dxa"/>
            <w:shd w:val="clear" w:color="auto" w:fill="auto"/>
            <w:vAlign w:val="center"/>
            <w:hideMark/>
          </w:tcPr>
          <w:p w14:paraId="139A0BA3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D1654" w14:textId="4F2BD7AC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 xml:space="preserve">osílit kapacitu malých a středních podniků v oblasti výzkumu a inovací podporou vývoje a zavádění nových 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obchodních modelů a přijímáním nových a vznikajících technologií,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E4B23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Zlepšení inovační schopnosti MSP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56783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iii) posílení růstu a konkurenceschopnosti malých a středních podniků;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0F8B6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524FD7BE" w14:textId="77777777" w:rsidTr="004C3902">
        <w:trPr>
          <w:trHeight w:val="120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5C179C90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10DE1D3A" w14:textId="60148D87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oskytovat podporu ověření formou proof of concept, počáteční fázi a rozvoji inovativních firem prostřednictvím finančních a měkkých podpůrných opatření (např. podpůrné služby podnikům, inovativní centra atd.),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413F68A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Zlepšení inovační schopnosti MSP</w:t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  <w:t>Podpora inovace prostřednictvím aplikovaného výzkumu a experimentálního vývoje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7CE5D602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iii) posílení růstu a konkurenceschopnosti malých a středních podniků;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18500EAE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45050B3D" w14:textId="77777777" w:rsidTr="004C3902">
        <w:trPr>
          <w:trHeight w:val="1440"/>
        </w:trPr>
        <w:tc>
          <w:tcPr>
            <w:tcW w:w="3271" w:type="dxa"/>
            <w:shd w:val="clear" w:color="auto" w:fill="auto"/>
            <w:vAlign w:val="center"/>
            <w:hideMark/>
          </w:tcPr>
          <w:p w14:paraId="5C146625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F7648" w14:textId="3C40ADB7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odporovat internacionalizaci malých a středních podniků, aby mohly využívat nové obchodní příležitosti související s přechodem na digitalizaci, přechodem na uhlíkovou neutralitu, účinné využívání zdrojů a na oběhové hospodářství.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95DA8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Podpora inovace prostřednictvím aplikovaného výzkumu a experimentálního vývoje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AC408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iii) posílení růstu a konkurenceschopnosti malých a středních podniků;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F441E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238923D1" w14:textId="77777777" w:rsidTr="004C3902">
        <w:trPr>
          <w:trHeight w:val="240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6D8D02EB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4. Digitalizace a automatizace mohou vést k rostoucímu nesouladu mezi nabízenými a požadovanými dovednostmi. Byly určeny vysoce prioritní investiční potřeby za účelem rozvoje dovedností pro inteligentní specializaci, průmyslovou transformaci a podnikání, zejména s cílem: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55B5D074" w14:textId="207EB15C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oskytovat podnikům a výzkumným institucím nástroje pro přizpůsobení a rozvoj dovedností pro inteligentní specializaci, průmyslovou transformaci a podnikání,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B0ADF50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Zvýšení přidané hodnoty výrobků a služeb podniků v produkčním řetězci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2B25CC7E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iv) rozvoje dovedností pro inteligentní specializaci, průmyslovou transformaci a podnikání;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6422BBBD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320E08E4" w14:textId="77777777" w:rsidTr="004C3902">
        <w:trPr>
          <w:trHeight w:val="1680"/>
        </w:trPr>
        <w:tc>
          <w:tcPr>
            <w:tcW w:w="3271" w:type="dxa"/>
            <w:shd w:val="clear" w:color="auto" w:fill="auto"/>
            <w:vAlign w:val="center"/>
            <w:hideMark/>
          </w:tcPr>
          <w:p w14:paraId="5F2FE0D1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08E3D" w14:textId="4E99A1BE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odporovat růst malých a středních podniků prostřednictvím specifické odborné přípravy a rekvalifikace pro oblasti inteligentní specializace a řízení inovací, a budování správní kapacity (se zvláštním zaměřením na digitální dovednosti a průmyslovou transformaci),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D8B9C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Fungující systém dalšího profesního vzdělávání</w:t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  <w:t>Zavedení principů digitální ekonomiky a průmyslu 4.0 ve firmách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1A428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iv) rozvoje dovedností pro inteligentní specializaci, průmyslovou transformaci a podnikání;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36D20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26D6236F" w14:textId="77777777" w:rsidTr="004C3902">
        <w:trPr>
          <w:trHeight w:val="96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5F77E95E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1640B37C" w14:textId="371CE49B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lepšit přístup založený na praxi v odborném vzdělávání a přípravě a v systému vysokoškolského vzdělávání, který podporuje vazby mezi školami a podniky.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4B326AF2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Zlepšení vzdělávacího systému s ohledem na moderní kompetence a potřeby trhu práce, mimo jiné s ohledem na digitalizaci průmyslu a společnosti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683DAA04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iv) rozvoje dovedností pro inteligentní specializaci, průmyslovou transformaci a podnikání;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20B04F12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11FD0081" w14:textId="77777777" w:rsidTr="004C3902">
        <w:trPr>
          <w:trHeight w:val="1524"/>
        </w:trPr>
        <w:tc>
          <w:tcPr>
            <w:tcW w:w="3271" w:type="dxa"/>
            <w:shd w:val="clear" w:color="auto" w:fill="auto"/>
            <w:vAlign w:val="center"/>
            <w:hideMark/>
          </w:tcPr>
          <w:p w14:paraId="001A0E27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1. Velmi vysoká energetická náročnost a špatná kvalita ovzduší vyžadují vysoce prioritní investice na podporu nízkouhlíkové a ekologičtější výroby energie, vyšší energetické účinnosti a většího množství obnovitelných zdrojů energie, zejména s cílem: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DA3D2" w14:textId="4B681FF8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oskytovat podporu při budování kapacit na regionální a místní úrovni pro řízení přechodu na čistou energii a přechodu na ekonomiku účinně využívající zdroje,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264DD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Podpora vzniku a zavádění inovativních nízkouhlíkových technologií a efektivní a šetrné využívání obnovitelných zdrojů energie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455A2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ii) podpory energie z obnovitelných zdrojů;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5D5EE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6B4174E8" w14:textId="77777777" w:rsidTr="004C3902">
        <w:trPr>
          <w:trHeight w:val="120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3208FDB3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1DF995A5" w14:textId="0531912F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výšit energetickou účinnost a využívání obnovitelných zdrojů energie na místě ve veřejných a obytných budovách a v malých a středních podnicích, včetně jejich prostor, zařízení a procesů,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0AEE97B6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Zvýšení energetické účinnosti a úspory energie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7E3EE081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podpory opatření v oblasti energetické účinnosti;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4D37A854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449111E6" w14:textId="77777777" w:rsidTr="003B3DEC">
        <w:trPr>
          <w:trHeight w:val="1913"/>
        </w:trPr>
        <w:tc>
          <w:tcPr>
            <w:tcW w:w="3271" w:type="dxa"/>
            <w:shd w:val="clear" w:color="auto" w:fill="auto"/>
            <w:vAlign w:val="center"/>
            <w:hideMark/>
          </w:tcPr>
          <w:p w14:paraId="492ED2AE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5345B" w14:textId="5EF366E2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nížit emise skleníkových plynů a znečištění ovzduší nahrazením kotlů využívajících fosilní paliva nízkouhlíkovými zařízeními a renovacemi zvyšujícími energetickou účinnost budov,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D6330" w14:textId="77777777" w:rsidR="003B3DEC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Zlepšení kvality ovzduší</w:t>
            </w:r>
          </w:p>
          <w:p w14:paraId="73C6440C" w14:textId="5067DD30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  <w:t>Zvýšení energetické účinnosti a úspory energie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D7B05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podpory opatření v oblasti energetické účinnosti;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52FA2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69675EDE" w14:textId="77777777" w:rsidTr="004C3902">
        <w:trPr>
          <w:trHeight w:val="144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0C68794D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1F024329" w14:textId="49FCE3B0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výšit podíl obnovitelných zdrojů energie ve vytápění a chlazení a zavést a integrovat do sítě malá zařízení na výrobu elektrické energie založená na obnovitelných zdrojích energie, včetně případných zařízení na skladování nebo na přeměnu energie.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4D73A9C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Podpora vzniku a zavádění inovativních nízkouhlíkových technologií a efektivní a šetrné využívání obnovitelných zdrojů energie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FF04DC9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ii) podpory energie z obnovitelných zdrojů;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00E4ED11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6F9064D4" w14:textId="77777777" w:rsidTr="004C3902">
        <w:trPr>
          <w:trHeight w:val="1682"/>
        </w:trPr>
        <w:tc>
          <w:tcPr>
            <w:tcW w:w="3271" w:type="dxa"/>
            <w:shd w:val="clear" w:color="auto" w:fill="auto"/>
            <w:vAlign w:val="center"/>
            <w:hideMark/>
          </w:tcPr>
          <w:p w14:paraId="3DAF659B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2. Hlavními riziky katastrof jsou povodně a sucha. Byly určeny vysoce prioritní investiční potřeby za účelem podpory přizpůsobení se změnám klimatu, předcházení rizikům a odolnosti vůči katastrofám a zlepšení udržitelného hospodaření s vodou, zejména s cílem: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9D363" w14:textId="6BAE3845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tanovit preventivní opatření, včetně zlepšení hydromorfologických podmínek v souladu s plány povodí pro hospodaření s vodou a řešeními blízkými přírodě (např. obnova a údržba řek, povodí, rybníků a mokřadů),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F3BE8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Ochrana a zlepšení stavu vody a vodního hospodářství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9FCEF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iv) podpory přizpůsobení se změnám klimatu, prevence rizik a odolnosti vůči katastrofám;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94BDE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77CB6303" w14:textId="77777777" w:rsidTr="004C3902">
        <w:trPr>
          <w:trHeight w:val="120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1179097C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6B6DA63F" w14:textId="199060F6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I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nvestovat do správy řek a vodních útvarů a opatření ke zlepšení stavu vodních útvarů – nedostatky stále přetrvávají v oblasti dosahování cílů EU v oblasti vodní politiky a čištění městských odpadních vod,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688FB4AC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Ochrana a zlepšení stavu vody a vodního hospodářství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6C131900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_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3B31222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48D1FFD3" w14:textId="77777777" w:rsidTr="004C3902">
        <w:trPr>
          <w:trHeight w:val="1200"/>
        </w:trPr>
        <w:tc>
          <w:tcPr>
            <w:tcW w:w="3271" w:type="dxa"/>
            <w:shd w:val="clear" w:color="auto" w:fill="auto"/>
            <w:vAlign w:val="center"/>
            <w:hideMark/>
          </w:tcPr>
          <w:p w14:paraId="50A260ED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D413D" w14:textId="30C6CE6D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I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nvestovat do opatření k regulaci odtoku srážkové vody při bouřkách v městských oblastech a podporovat opatření k zadržování/zachycování vody a opatření k řešení kontaminace, odtoku vody a kvality vody.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C6C2A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Ochrana a zlepšení stavu vody a vodního hospodářství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7E9181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_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A0C5D4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41134171" w14:textId="77777777" w:rsidTr="004C3902">
        <w:trPr>
          <w:trHeight w:val="2112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3B502921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3. Pokud jde o produktivitu zdrojů, výsledky České republiky nedosahují průměru EU. Skládkování je stále nejčastěji využívaným způsobem nakládání s komunálním odpadem. Byly určeny vysoce prioritní investiční potřeby za účelem zlepšení podpory přechodu na oběhové hospodářství, zejména s cílem: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0D46AAE9" w14:textId="0E3A6176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odporovat opatření vedoucí k přechodu na oběhové hospodářství a přechod k větší míře prevence vzniku odpadu, jeho opětovného použití a recyklace.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6B1770E7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Oběhové hospodářství, odpady a účinné využívání zdrojů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7D5339F6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vi) podpory přechodu k oběhovému hospodářství;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7CE38FDE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331CF336" w14:textId="77777777" w:rsidTr="004C3902">
        <w:trPr>
          <w:trHeight w:val="1961"/>
        </w:trPr>
        <w:tc>
          <w:tcPr>
            <w:tcW w:w="3271" w:type="dxa"/>
            <w:shd w:val="clear" w:color="auto" w:fill="auto"/>
            <w:vAlign w:val="center"/>
            <w:hideMark/>
          </w:tcPr>
          <w:p w14:paraId="1AC26764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4. Česká republika čelí negativním dopadům pokračujícího vytváření předměstí a environmentálně rizikových lokalit. Byly určeny prioritní investiční potřeby za účelem zlepšení biologické rozmanitosti, zelené infrastruktury v městském prostředí a snížení znečištění, zejména s cílem: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52AEA" w14:textId="73B4806C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odporovat zelenou infrastrukturu v městském prostředí,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4C26B3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Zkvalitňování veřejných prostranství a rozvoj zelené infrastruktury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59D1C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vii) posílení biologické rozmanitosti, zelené infrastruktury v městském prostředí a snížení znečištění;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90D38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Prioritní potřeby</w:t>
            </w:r>
          </w:p>
        </w:tc>
      </w:tr>
      <w:tr w:rsidR="007B3286" w:rsidRPr="00F72BDF" w14:paraId="169C93A7" w14:textId="77777777" w:rsidTr="004C3902">
        <w:trPr>
          <w:trHeight w:val="72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78AB3E99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5C8D6792" w14:textId="64AF46D7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ekontaminovat a rehabilitovat průmyslové lokality a kontaminovanou půdu, včetně starých a nezákonných skládek.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7CB2CC6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Sanace míst s ekologickou zátěží a revitalizace brownfieldů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08816E84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_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68797579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Prioritní potřeby</w:t>
            </w:r>
          </w:p>
        </w:tc>
      </w:tr>
      <w:tr w:rsidR="00F72BDF" w:rsidRPr="00646F04" w14:paraId="1035E748" w14:textId="77777777" w:rsidTr="004C3902">
        <w:trPr>
          <w:trHeight w:val="4080"/>
        </w:trPr>
        <w:tc>
          <w:tcPr>
            <w:tcW w:w="3271" w:type="dxa"/>
            <w:shd w:val="clear" w:color="auto" w:fill="auto"/>
            <w:vAlign w:val="center"/>
            <w:hideMark/>
          </w:tcPr>
          <w:p w14:paraId="0FD92857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1. Investice do infrastruktury nedosahují průměru EU, přičemž nízké výsledky se týkají silniční infrastruktury, kde stávající investiční mezery související s pokrytím infrastrukturou, kvalitou a normami (např. podíl energie z obnovitelných zdrojů v dopravě, zavádění elektrických vozidel a dobíjecích stanic pro elektrická vozidla). Byly určeny vysoce prioritní investiční potřeby za účelem vytvoření udržitelné, inteligentní, bezpečné a intermodální transevropské dopravní sítě odolné vůči změně klimatu, a zejména s cílem: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D4DB3" w14:textId="2B3F0519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V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ybudovat a modernizovat hlavní železniční tratě transevropské dopravní sítě, zejména nedokončené/plánované úseky na čtyřech hlavních tranzitních koridorech, včetně interoperability, evropského systému řízení železničního provozu a modernizace standardů technické specifikace pro interoperabilitu,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A996D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Rozvoj a zkvalitnění dopravní infrastruktury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CDCCB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ii) rozvoje udržitelné, inteligentní, bezpečné a intermodální sítě TEN-T odolné vůči změnám klimatu;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F0455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72108B27" w14:textId="77777777" w:rsidTr="004C3902">
        <w:trPr>
          <w:trHeight w:val="192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7EF663AF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4D5B290F" w14:textId="5C1D671E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V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e spolupráci s ostatními zeměmi vybudovat chybějící části hlavní a komplexní silniční transevropské dopravní sítě a odstranit regionální rozdíly v přístupnosti transevropské dopravní sítě, zejména v jižní a severovýchodní části České republiky (pro vybrané úseky by mohlo být použito partnerství veřejného a soukromého sektoru).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D430149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Rozvoj a zkvalitnění dopravní infrastruktury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4E952962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ii) rozvoje udržitelné, inteligentní, bezpečné a intermodální sítě TEN-T odolné vůči změnám klimatu;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4B61629A" w14:textId="77777777" w:rsidR="00646F04" w:rsidRPr="00646F04" w:rsidRDefault="00646F04" w:rsidP="00646F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21C38966" w14:textId="77777777" w:rsidTr="004C3902">
        <w:trPr>
          <w:trHeight w:val="1920"/>
        </w:trPr>
        <w:tc>
          <w:tcPr>
            <w:tcW w:w="3271" w:type="dxa"/>
            <w:shd w:val="clear" w:color="auto" w:fill="auto"/>
            <w:vAlign w:val="center"/>
            <w:hideMark/>
          </w:tcPr>
          <w:p w14:paraId="7FB755DE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2. Byly určeny vysoce prioritní investiční potřeby za účelem podpory udržitelné multimodální městské mobility a vytvoření udržitelných, intermodálních, vnitrostátních, regionálních a místních forem dopravy, a zejména s cílem: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62BD9" w14:textId="6355C6AC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odporovat inteligentní, propojenější a čistější systémy dopravy odolné vůči změně klimatu,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CE398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Využívání vozidel s alternativním pohonem ve veřejné dopravě</w:t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  <w:t>Rozvoj bezmotorové dopravy</w:t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  <w:t>Efektivní využití multimodální nákladní dopravy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42E2A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iii) rozvoje udržitelné, inteligentní a intermodální celostátní, regionální a místní mobility odolné vůči změnám klimatu, včetně lepšího přístupu k síti TEN-T a přeshraniční mobility;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BC2F9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Prioritní potřeby</w:t>
            </w:r>
          </w:p>
        </w:tc>
      </w:tr>
      <w:tr w:rsidR="007B3286" w:rsidRPr="00F72BDF" w14:paraId="3ECE5C4B" w14:textId="77777777" w:rsidTr="004C3902">
        <w:trPr>
          <w:trHeight w:val="168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657AD7B5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4B229CC" w14:textId="485ADB2C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 xml:space="preserve">odporovat udržitelné a účinné městské dopravní systémy (jako součást příslušných integrovaných strategií územního rozvoje nebo na základě plánu udržitelné městské mobility) s cílem umožnit přechod na čistější kolektivní služby veřejné dopravy a aktivní 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mobilitu, včetně infrastruktury pro alternativní paliva ve městech,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1FA584B" w14:textId="77777777" w:rsidR="00646F04" w:rsidRPr="00646F04" w:rsidRDefault="00646F04" w:rsidP="00646F0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Využívání vozidel s alternativním pohonem ve veřejné dopravě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6C19FF46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iii) rozvoje udržitelné, inteligentní a intermodální celostátní, regionální a místní mobility odolné vůči změnám klimatu, včetně lepšího přístupu k síti TEN-T a přeshraniční mobility;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3C630BF4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Prioritní potřeby</w:t>
            </w:r>
          </w:p>
        </w:tc>
      </w:tr>
      <w:tr w:rsidR="00F72BDF" w:rsidRPr="00646F04" w14:paraId="36522A13" w14:textId="77777777" w:rsidTr="004C3902">
        <w:trPr>
          <w:trHeight w:val="1440"/>
        </w:trPr>
        <w:tc>
          <w:tcPr>
            <w:tcW w:w="3271" w:type="dxa"/>
            <w:shd w:val="clear" w:color="auto" w:fill="auto"/>
            <w:vAlign w:val="center"/>
            <w:hideMark/>
          </w:tcPr>
          <w:p w14:paraId="0DB77C1F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160B1" w14:textId="08133E2E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I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nvestovat do regionální a místní mobility řešící negativní externality z dopravy, například podporou multimodality v odvětví dopravy, učiněním celého odvětví šetrnějším k životnímu prostředí, bezpečnějším a nákladově efektivnějším.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BF360" w14:textId="77777777" w:rsidR="003B3DEC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Rozvoj a zlepšení integrace dopravy</w:t>
            </w:r>
          </w:p>
          <w:p w14:paraId="42873F51" w14:textId="4D0D4FD1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  <w:t>Zvýšení využití a dostupnosti alternativních paliv v dopravě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4D82C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iii) rozvoje udržitelné, inteligentní a intermodální celostátní, regionální a místní mobility odolné vůči změnám klimatu, včetně lepšího přístupu k síti TEN-T a přeshraniční mobility;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5F058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Prioritní potřeby</w:t>
            </w:r>
          </w:p>
        </w:tc>
      </w:tr>
      <w:tr w:rsidR="007B3286" w:rsidRPr="00F72BDF" w14:paraId="4E583D06" w14:textId="77777777" w:rsidTr="004C3902">
        <w:trPr>
          <w:trHeight w:val="144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0924E708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3. Mezi městskými a venkovskými oblastmi existuje hluboká digitální propast (pokrytí a využívání). Byly určeny investiční potřeby za účelem zlepšení digitální propojenosti, a zejména s cílem: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67BFE65C" w14:textId="2B5D2B75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avést meziuzlové sítě / páteřní sítě širokopásmové infrastruktury a podporovat opatření na straně poptávky podporující kabelová řešení pro vlastníky soukromých domů ve venkovských oblastech.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47F54A10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Zlepšení inovační schopnosti MSP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28271E35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zvýšení digitálního propojení;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7FBE9B49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Potřeby</w:t>
            </w:r>
          </w:p>
        </w:tc>
      </w:tr>
      <w:tr w:rsidR="00F72BDF" w:rsidRPr="00646F04" w14:paraId="06CFCEA9" w14:textId="77777777" w:rsidTr="004C3902">
        <w:trPr>
          <w:trHeight w:val="2395"/>
        </w:trPr>
        <w:tc>
          <w:tcPr>
            <w:tcW w:w="3271" w:type="dxa"/>
            <w:shd w:val="clear" w:color="auto" w:fill="auto"/>
            <w:vAlign w:val="center"/>
            <w:hideMark/>
          </w:tcPr>
          <w:p w14:paraId="2A29F29C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 xml:space="preserve">1. Některé skupiny obyvatelstva čelí strukturálním obtížím na trhu práce a budoucí průmyslové a demografické změny budou mít silný dopad na pracovní sílu. Proto byly určeny vysoce prioritní investiční potřeby za účelem podpory účasti žen na trhu práce, poskytování individualizovaných služeb zaměstnanosti a posilování </w:t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schopnosti pracovníků přizpůsobovat se, a zejména s cílem: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D25F0" w14:textId="1C8CFC69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odporovat pružné uspořádání pracovní doby, zvýšit počet míst v zařízeních péče o děti pro děti mladší 3 let, zlepšit dlouhodobou péči, včetně prostřednictvím rozvoje infrastruktury,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524CD" w14:textId="77777777" w:rsidR="00646F04" w:rsidRPr="00646F04" w:rsidRDefault="00646F04" w:rsidP="00646F0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Podpora rovných příležitostí a slaďování pracovního a osobního života</w:t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  <w:t>Klientsky orientované sociální služby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1CAA7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zlepšení efektivity trhů práce a přístupu ke kvalitnímu zaměstnání pomocí rozvoje sociální inovace a infrastruktury;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83E03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078738C3" w14:textId="77777777" w:rsidTr="004C3902">
        <w:trPr>
          <w:trHeight w:val="144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6D37ED80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159F4BFA" w14:textId="51139516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avést komplexní strategii pro dovednosti, podporovat celoživotní učení a uznávání dovedností, podporovat adaptabilitu pracovníků na budoucí požadavky prostřednictvím rozšiřování kvalifikace/rekvalifikace, včetně státních příslušníků třetích zemí,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1B326EB2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Fungující systém dalšího profesního vzdělávání</w:t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  <w:t>Zvýšení účasti znevýhodněných skupin na trhu práce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78CD50F7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zlepšení efektivity trhů práce a přístupu ke kvalitnímu zaměstnání pomocí rozvoje sociální inovace a infrastruktury;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77A81DAC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28D16414" w14:textId="77777777" w:rsidTr="004C3902">
        <w:trPr>
          <w:trHeight w:val="1020"/>
        </w:trPr>
        <w:tc>
          <w:tcPr>
            <w:tcW w:w="3271" w:type="dxa"/>
            <w:shd w:val="clear" w:color="auto" w:fill="auto"/>
            <w:vAlign w:val="center"/>
            <w:hideMark/>
          </w:tcPr>
          <w:p w14:paraId="69994C41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F5B64" w14:textId="3F5A0F5E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odernizovat instituce a služby trhu práce, včetně potřebné infrastruktury,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1D5E2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Modernizace institucí na trhu práce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70EAE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zlepšení efektivity trhů práce a přístupu ke kvalitnímu zaměstnání pomocí rozvoje sociální inovace a infrastruktury;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AD8F2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487ED1B0" w14:textId="77777777" w:rsidTr="004C3902">
        <w:trPr>
          <w:trHeight w:val="168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03F91488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059560E7" w14:textId="2630B191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odporovat zdravé pracovní prostředí přizpůsobené starším osobám a nové postupy organizace práce,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4EB339EF" w14:textId="77777777" w:rsidR="00646F04" w:rsidRPr="00646F04" w:rsidRDefault="00646F04" w:rsidP="00646F0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Zvýšení účasti znevýhodněných skupin na trhu práce</w:t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  <w:t>Podpora rovných příležitostí a slaďování pracovního a osobního života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4CC2729F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zlepšení efektivity trhů práce a přístupu ke kvalitnímu zaměstnání pomocí rozvoje sociální inovace a infrastruktury;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5AB40DB5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20E97931" w14:textId="77777777" w:rsidTr="004C3902">
        <w:trPr>
          <w:trHeight w:val="1200"/>
        </w:trPr>
        <w:tc>
          <w:tcPr>
            <w:tcW w:w="3271" w:type="dxa"/>
            <w:shd w:val="clear" w:color="auto" w:fill="auto"/>
            <w:vAlign w:val="center"/>
            <w:hideMark/>
          </w:tcPr>
          <w:p w14:paraId="443F2D38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6A6D8" w14:textId="726196AD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odporovat podnikatelské inkubátory, infrastrukturu a zařízení pro samostatnou výdělečnou činnost, mikropodniky a podniky / vytváření pracovních míst a sociální inovace, se zaměřením na sociální podniky.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B7CB7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Zlepšení inovační schopnosti MSP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C66EC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zlepšení efektivity trhů práce a přístupu ke kvalitnímu zaměstnání pomocí rozvoje sociální inovace a infrastruktury;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561E5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0CDC9467" w14:textId="77777777" w:rsidTr="004C3902">
        <w:trPr>
          <w:trHeight w:val="2254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37DB0EF7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2. Dopad socioekonomického zázemí na výsledky ve vzdělávání je vysoký a rozdíly mezi regiony rostou. Proto byly určeny vysoce prioritní investiční potřeby za účelem podpory začlenění a rovného přístupu ke kvalitnímu vzdělání a odborné přípravě a posílení jejich významu pro trh práce, zvláště v zaostávajících regionech, a zejména s cílem: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69D9DC1D" w14:textId="0ADE272A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osílit rovný přístup k vysoce kvalitnímu inkluzivní vzdělávání a odborné přípravě a jejich dokončení, včetně prostřednictvím vhodné infrastruktury a cílené podpory pro účastníky vzdělávání ze socioekonomicky znevýhodněných skupin, jako jsou např. lidé se zdravotním postižením nebo Romové,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65DE4230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Zajištění rovného přístupu ke vzdělání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1A9E1CBB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ii) zlepšení přístupu k inkluzivním a kvalitním službám v oblasti vzdělávání, odborné přípravy a celoživotního učení pomocí rozvoje infrastruktury;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3EC0FDFC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266A5ED7" w14:textId="77777777" w:rsidTr="004C3902">
        <w:trPr>
          <w:trHeight w:val="1690"/>
        </w:trPr>
        <w:tc>
          <w:tcPr>
            <w:tcW w:w="3271" w:type="dxa"/>
            <w:shd w:val="clear" w:color="auto" w:fill="auto"/>
            <w:vAlign w:val="center"/>
            <w:hideMark/>
          </w:tcPr>
          <w:p w14:paraId="0535DD75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D8128" w14:textId="3FADBC64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Ř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ešit nerovnosti v oblasti vzdělávání mezi školami a regiony a podporovat osvojování klíčových kompetencí, včetně digitálních dovedností, podporovat odpovídající odbornou přípravu učitelů a poskytnout odbornou přípravu pro výuku heterogenních skupin žáků;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0C974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Zajištění rovného přístupu ke vzdělání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D2C99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ii) zlepšení přístupu k inkluzivním a kvalitním službám v oblasti vzdělávání, odborné přípravy a celoživotního učení pomocí rozvoje infrastruktury;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4D209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7B3286" w:rsidRPr="00F72BDF" w14:paraId="04ACCD16" w14:textId="77777777" w:rsidTr="004C3902">
        <w:trPr>
          <w:trHeight w:val="1686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59C52117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7A935807" w14:textId="20213843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odporovat kapacity s cílem reagovat na potřeby trhu práce, zejména v oblasti odborného vzdělávání a přípravy, vzdělávání dospělých a vysokoškolského vzdělávání a podporovat excelenci v terciálním vzdělávání.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01A4FB3C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Zlepšení vzdělávacího systému s ohledem na moderní kompetence a potřeby trhu práce, mimo jiné s ohledem na digitalizaci průmyslu a společnosti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146D57C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ii) zlepšení přístupu k inkluzivním a kvalitním službám v oblasti vzdělávání, odborné přípravy a celoživotního učení pomocí rozvoje infrastruktury;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0578C1BB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Vysoce prioritní potřeby</w:t>
            </w:r>
          </w:p>
        </w:tc>
      </w:tr>
      <w:tr w:rsidR="00F72BDF" w:rsidRPr="00646F04" w14:paraId="7717B776" w14:textId="77777777" w:rsidTr="004C3902">
        <w:trPr>
          <w:trHeight w:val="2880"/>
        </w:trPr>
        <w:tc>
          <w:tcPr>
            <w:tcW w:w="3271" w:type="dxa"/>
            <w:shd w:val="clear" w:color="auto" w:fill="auto"/>
            <w:vAlign w:val="center"/>
            <w:hideMark/>
          </w:tcPr>
          <w:p w14:paraId="74446BEA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3. Rostou sociální problémy na regionální úrovni. Byly určeny vysoce prioritní investiční potřeby za účelem podpory socioekonomické integrace nejchudších osob a zlepšení přístupu k sociálním službám, službám zdravotní péče a službám dlouhodobé péče s cílem snížení nerovností v oblasti zdraví, včetně prostřednictvím rozvoje infrastruktury, a zejména s cílem: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CEAED" w14:textId="638FEEA9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ále podporovat koordinovaný přístup k socioekonomické integraci sociálně vyloučených osob, např. Romů, včetně prostřednictvím potravinové a základní materiální pomoci, přístupu k zaměstnání, zdravotním a sociálním službám, finančnímu poradenství, cílenému vzdělávání/odbornému vzdělávání, a opatření k řešení vyloučení z přístupu k bydlení,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D7285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Sociální začleňování</w:t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br/>
              <w:t>Sociální bydlení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F2BDD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iii) posílení sociálně-ekonomické integrace marginalizovaných komunit, migrantů a znevýhodněných skupin pomocí integrovaných opatření, včetně bydlení a sociálních služeb;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E28510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Prioritní potřeby</w:t>
            </w:r>
          </w:p>
        </w:tc>
      </w:tr>
      <w:tr w:rsidR="007B3286" w:rsidRPr="00F72BDF" w14:paraId="086EC2D8" w14:textId="77777777" w:rsidTr="004C3902">
        <w:trPr>
          <w:trHeight w:val="2112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63E6256C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0F368E4F" w14:textId="2898DF51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 xml:space="preserve">odporovat deinstitucionalizaci péče zejména pro děti mladší tří let, osoby se zdravotním postižením, starší osoby a osoby s mentálním postižením, podporovat spolupráci mezi zdravotními a sociálními službami, posílit a zlepšit přístup k primární péči, 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zejména pro zranitelné skupiny, integraci péče a prevence.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AFE19A8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Klientsky orientované sociální služby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412B1B45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iv) zajištění rovného přístupu ke zdravotní péči pomocí rozvoje infrastruktury, včetně primární péče;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2DC20CB8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Prioritní potřeby</w:t>
            </w:r>
          </w:p>
        </w:tc>
      </w:tr>
      <w:tr w:rsidR="00F72BDF" w:rsidRPr="00646F04" w14:paraId="384B454A" w14:textId="77777777" w:rsidTr="004C3902">
        <w:trPr>
          <w:trHeight w:val="3531"/>
        </w:trPr>
        <w:tc>
          <w:tcPr>
            <w:tcW w:w="3271" w:type="dxa"/>
            <w:shd w:val="clear" w:color="auto" w:fill="auto"/>
            <w:vAlign w:val="center"/>
            <w:hideMark/>
          </w:tcPr>
          <w:p w14:paraId="1C357D56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1. V některých regionech došlo ke konvergenci, avšak vnitřní rozdíly stále rostou. Investice politiky soudržnosti musí v plné míře využívat potenciál integrovaných územních nástrojů (integrované územní investice a komunitně vedený místní rozvoj) za účelem řešení problémů v oblasti územní soudržnosti a zajištění místně orientovaného přístupu. Byly určeny investiční potřeby s cílem posílit integrovaný sociální, hospodářský, kulturní a environmentální rozvoj, udržitelnou dopravu a dopravní propojení, zejména s cílem: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60DCE" w14:textId="7648DC7F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nížit nerovnosti mezi regiony a v rámci městských oblastí prostřednictvím rozvoje pilířů hospodářské činnosti a vytvořením nezbytných vazeb s okolními oblastmi v rámci integrovaných územních investic ve vybraných velkých městech a regionálních centrech, včetně vytváření vazeb s okolními oblastmi,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C6F34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Více specifických cílů prostřednictvím specifických územních přístupů (např. integrované nístroje, program Re:start, cílené výzvy aj.)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2EFC9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i) podpory integrovaného sociálního, hospodářského a environmentálního rozvoje, kulturního dědictví a bezpečnosti v městských oblastech;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15E050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Potřeby</w:t>
            </w:r>
          </w:p>
        </w:tc>
      </w:tr>
      <w:tr w:rsidR="007B3286" w:rsidRPr="00F72BDF" w14:paraId="315A3276" w14:textId="77777777" w:rsidTr="004C3902">
        <w:trPr>
          <w:trHeight w:val="1979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3AADF4C3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3E939E41" w14:textId="46ABD0C2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 xml:space="preserve">odporovat transformační úsilí se zvláštním zaměřením na regiony procházející procesem hospodářské restrukturalizace, na které se v současné době vztahuje iniciativa týkající se transformace uhelných regionů, kterou na národní 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úrovni představuje strategie orgánů České republiky nazvaná „RE:START“,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402AED0B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Více specifických cílů prostřednictvím specifických územních přístupů (např. integrované nístroje, program Re:start, cílené výzvy aj.)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49D49922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_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7C039AE5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Potřeby</w:t>
            </w:r>
          </w:p>
        </w:tc>
      </w:tr>
      <w:tr w:rsidR="00F72BDF" w:rsidRPr="00646F04" w14:paraId="73F34D2E" w14:textId="77777777" w:rsidTr="004C3902">
        <w:trPr>
          <w:trHeight w:val="720"/>
        </w:trPr>
        <w:tc>
          <w:tcPr>
            <w:tcW w:w="3271" w:type="dxa"/>
            <w:shd w:val="clear" w:color="auto" w:fill="auto"/>
            <w:vAlign w:val="center"/>
            <w:hideMark/>
          </w:tcPr>
          <w:p w14:paraId="6C4EA8AA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96CC2" w14:textId="1C24D2BA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odporovat inovace ve výkonnějších jižních regionech s cílem zabránit pasti středně vysokých příjmů,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E10A4" w14:textId="77777777" w:rsidR="00646F04" w:rsidRPr="00646F04" w:rsidRDefault="00646F04" w:rsidP="00646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_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125F6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_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A4C05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Potřeby</w:t>
            </w:r>
          </w:p>
        </w:tc>
      </w:tr>
      <w:tr w:rsidR="007B3286" w:rsidRPr="00F72BDF" w14:paraId="539F425D" w14:textId="77777777" w:rsidTr="004C3902">
        <w:trPr>
          <w:trHeight w:val="2400"/>
        </w:trPr>
        <w:tc>
          <w:tcPr>
            <w:tcW w:w="3271" w:type="dxa"/>
            <w:shd w:val="clear" w:color="DCE6F1" w:fill="DCE6F1"/>
            <w:vAlign w:val="center"/>
            <w:hideMark/>
          </w:tcPr>
          <w:p w14:paraId="57E4D718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011C9774" w14:textId="623E7E18" w:rsidR="00646F04" w:rsidRPr="00646F04" w:rsidRDefault="003155B1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646F04" w:rsidRPr="00646F04">
              <w:rPr>
                <w:rFonts w:ascii="Arial" w:eastAsia="Times New Roman" w:hAnsi="Arial" w:cs="Arial"/>
                <w:color w:val="000000"/>
                <w:lang w:eastAsia="cs-CZ"/>
              </w:rPr>
              <w:t>okud jde o venkovské oblasti, podporovat jejich rozvoj a poskytnout místním orgánům, místním zúčastněným stranám a organizacím působícím na místní úrovni podporu v oblasti budování kapacit (oblasti vzdálené od páteřní dopravní infrastruktury a regionálních center nebo venkovské oblasti v okolí velkých měst, investice do vybraných oblastí činností a na základě jejich integrovaných strategií územního rozvoje).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40EAE78D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 xml:space="preserve">Prostřednictvím specifických územních přístupů </w:t>
            </w:r>
          </w:p>
        </w:tc>
        <w:tc>
          <w:tcPr>
            <w:tcW w:w="0" w:type="auto"/>
            <w:shd w:val="clear" w:color="DCE6F1" w:fill="DCE6F1"/>
            <w:vAlign w:val="center"/>
            <w:hideMark/>
          </w:tcPr>
          <w:p w14:paraId="0EC1DEB9" w14:textId="77777777" w:rsidR="00646F04" w:rsidRPr="00646F04" w:rsidRDefault="00646F04" w:rsidP="004C3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ii) podpory integrovaného sociálního, hospodářského a environmentálního místního rozvoje, kulturního dědictví a bezpečnosti a v případě venkovských a pobřežních oblastí také prostřednictvím komunitně vedeného místního rozvoje.</w:t>
            </w:r>
          </w:p>
        </w:tc>
        <w:tc>
          <w:tcPr>
            <w:tcW w:w="0" w:type="auto"/>
            <w:shd w:val="clear" w:color="DCE6F1" w:fill="DCE6F1"/>
            <w:noWrap/>
            <w:vAlign w:val="center"/>
            <w:hideMark/>
          </w:tcPr>
          <w:p w14:paraId="3E8A1D9F" w14:textId="77777777" w:rsidR="00646F04" w:rsidRPr="00646F04" w:rsidRDefault="00646F04" w:rsidP="00646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46F04">
              <w:rPr>
                <w:rFonts w:ascii="Arial" w:eastAsia="Times New Roman" w:hAnsi="Arial" w:cs="Arial"/>
                <w:color w:val="000000"/>
                <w:lang w:eastAsia="cs-CZ"/>
              </w:rPr>
              <w:t>Potřeby</w:t>
            </w:r>
          </w:p>
        </w:tc>
      </w:tr>
    </w:tbl>
    <w:p w14:paraId="1FC1CF51" w14:textId="77777777" w:rsidR="00C450AC" w:rsidRDefault="00C450AC" w:rsidP="00646F04">
      <w:pPr>
        <w:jc w:val="both"/>
      </w:pPr>
    </w:p>
    <w:sectPr w:rsidR="00C450AC" w:rsidSect="00646F04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85589" w14:textId="77777777" w:rsidR="00ED5476" w:rsidRDefault="00ED5476" w:rsidP="007C4CE9">
      <w:pPr>
        <w:spacing w:after="0" w:line="240" w:lineRule="auto"/>
      </w:pPr>
      <w:r>
        <w:separator/>
      </w:r>
    </w:p>
  </w:endnote>
  <w:endnote w:type="continuationSeparator" w:id="0">
    <w:p w14:paraId="57763AF7" w14:textId="77777777" w:rsidR="00ED5476" w:rsidRDefault="00ED5476" w:rsidP="007C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70D35" w14:textId="77777777" w:rsidR="00D32240" w:rsidRDefault="00D322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ED5C" w14:textId="77777777" w:rsidR="00ED5476" w:rsidRDefault="00ED5476" w:rsidP="007C4CE9">
      <w:pPr>
        <w:spacing w:after="0" w:line="240" w:lineRule="auto"/>
      </w:pPr>
      <w:r>
        <w:separator/>
      </w:r>
    </w:p>
  </w:footnote>
  <w:footnote w:type="continuationSeparator" w:id="0">
    <w:p w14:paraId="513DA1E3" w14:textId="77777777" w:rsidR="00ED5476" w:rsidRDefault="00ED5476" w:rsidP="007C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D952" w14:textId="77777777" w:rsidR="00C450AC" w:rsidRDefault="00C450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A82CB12" wp14:editId="66B56AB2">
          <wp:simplePos x="0" y="0"/>
          <wp:positionH relativeFrom="column">
            <wp:posOffset>-563245</wp:posOffset>
          </wp:positionH>
          <wp:positionV relativeFrom="paragraph">
            <wp:posOffset>-43180</wp:posOffset>
          </wp:positionV>
          <wp:extent cx="7009130" cy="9914255"/>
          <wp:effectExtent l="0" t="0" r="1270" b="0"/>
          <wp:wrapNone/>
          <wp:docPr id="3" name="Obrázek 3" descr="G:\titulka12b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titulka12b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9130" cy="991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CC72" w14:textId="77777777" w:rsidR="00C450AC" w:rsidRPr="00D32240" w:rsidRDefault="00C450AC" w:rsidP="00D322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A37"/>
    <w:multiLevelType w:val="multilevel"/>
    <w:tmpl w:val="6FA8DD4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2060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944F79"/>
    <w:multiLevelType w:val="hybridMultilevel"/>
    <w:tmpl w:val="513243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02659A"/>
    <w:multiLevelType w:val="hybridMultilevel"/>
    <w:tmpl w:val="E288F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362F5"/>
    <w:multiLevelType w:val="hybridMultilevel"/>
    <w:tmpl w:val="335EF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B32A3"/>
    <w:multiLevelType w:val="hybridMultilevel"/>
    <w:tmpl w:val="CD5E4D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954FB2"/>
    <w:multiLevelType w:val="hybridMultilevel"/>
    <w:tmpl w:val="671E5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AE"/>
    <w:rsid w:val="000C7CA1"/>
    <w:rsid w:val="00177586"/>
    <w:rsid w:val="001A6FD7"/>
    <w:rsid w:val="001C4BEC"/>
    <w:rsid w:val="003155B1"/>
    <w:rsid w:val="003B3DEC"/>
    <w:rsid w:val="004C3902"/>
    <w:rsid w:val="00543CC5"/>
    <w:rsid w:val="00577EB1"/>
    <w:rsid w:val="005A7536"/>
    <w:rsid w:val="00646F04"/>
    <w:rsid w:val="006577CA"/>
    <w:rsid w:val="006A0279"/>
    <w:rsid w:val="00712FAE"/>
    <w:rsid w:val="00754FA8"/>
    <w:rsid w:val="007B3286"/>
    <w:rsid w:val="007C4CE9"/>
    <w:rsid w:val="00813840"/>
    <w:rsid w:val="008876FE"/>
    <w:rsid w:val="008B34AB"/>
    <w:rsid w:val="008C1BB5"/>
    <w:rsid w:val="00950770"/>
    <w:rsid w:val="00980FAA"/>
    <w:rsid w:val="00AC6B5A"/>
    <w:rsid w:val="00B96D24"/>
    <w:rsid w:val="00B974E0"/>
    <w:rsid w:val="00C35ADC"/>
    <w:rsid w:val="00C450AC"/>
    <w:rsid w:val="00D32240"/>
    <w:rsid w:val="00D767C3"/>
    <w:rsid w:val="00DF589D"/>
    <w:rsid w:val="00EA47C1"/>
    <w:rsid w:val="00ED5476"/>
    <w:rsid w:val="00F45CD8"/>
    <w:rsid w:val="00F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A42645"/>
  <w15:docId w15:val="{4CFBC58F-2E1F-4CED-B997-654B0119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CE9"/>
  </w:style>
  <w:style w:type="paragraph" w:styleId="Zpat">
    <w:name w:val="footer"/>
    <w:basedOn w:val="Normln"/>
    <w:link w:val="ZpatChar"/>
    <w:uiPriority w:val="99"/>
    <w:unhideWhenUsed/>
    <w:rsid w:val="007C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CE9"/>
  </w:style>
  <w:style w:type="paragraph" w:styleId="Textbubliny">
    <w:name w:val="Balloon Text"/>
    <w:basedOn w:val="Normln"/>
    <w:link w:val="TextbublinyChar"/>
    <w:uiPriority w:val="99"/>
    <w:semiHidden/>
    <w:unhideWhenUsed/>
    <w:rsid w:val="0098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F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1BB5"/>
    <w:pPr>
      <w:ind w:left="720"/>
      <w:contextualSpacing/>
    </w:pPr>
  </w:style>
  <w:style w:type="table" w:styleId="Mkatabulky">
    <w:name w:val="Table Grid"/>
    <w:basedOn w:val="Normlntabulka"/>
    <w:uiPriority w:val="39"/>
    <w:rsid w:val="00C45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95077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50770"/>
    <w:rPr>
      <w:rFonts w:eastAsiaTheme="minorEastAsia"/>
      <w:lang w:eastAsia="cs-CZ"/>
    </w:rPr>
  </w:style>
  <w:style w:type="table" w:styleId="Tabulkasmkou3zvraznn5">
    <w:name w:val="Grid Table 3 Accent 5"/>
    <w:basedOn w:val="Normlntabulka"/>
    <w:uiPriority w:val="48"/>
    <w:rsid w:val="00646F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NOK%20Tituln&#237;%20strana%20dokument&#36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5F2C64CE144BA0BF2D846CF1F0C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FF1F9-DA40-4449-AF26-EFBCDE0B9885}"/>
      </w:docPartPr>
      <w:docPartBody>
        <w:p w:rsidR="007019CC" w:rsidRDefault="00474524" w:rsidP="00474524">
          <w:pPr>
            <w:pStyle w:val="A95F2C64CE144BA0BF2D846CF1F0C98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[Název dokumentu]</w:t>
          </w:r>
        </w:p>
      </w:docPartBody>
    </w:docPart>
    <w:docPart>
      <w:docPartPr>
        <w:name w:val="C5BEAF161C804C2F9DE7C3FFBDE06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A58A4-AB95-42FA-AC8E-9CD5A0AF779E}"/>
      </w:docPartPr>
      <w:docPartBody>
        <w:p w:rsidR="007019CC" w:rsidRDefault="00474524" w:rsidP="00474524">
          <w:pPr>
            <w:pStyle w:val="C5BEAF161C804C2F9DE7C3FFBDE06A45"/>
          </w:pPr>
          <w:r>
            <w:rPr>
              <w:color w:val="2E74B5" w:themeColor="accent1" w:themeShade="BF"/>
              <w:sz w:val="24"/>
              <w:szCs w:val="24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24"/>
    <w:rsid w:val="00474524"/>
    <w:rsid w:val="0070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95F2C64CE144BA0BF2D846CF1F0C98A">
    <w:name w:val="A95F2C64CE144BA0BF2D846CF1F0C98A"/>
    <w:rsid w:val="00474524"/>
  </w:style>
  <w:style w:type="paragraph" w:customStyle="1" w:styleId="C5BEAF161C804C2F9DE7C3FFBDE06A45">
    <w:name w:val="C5BEAF161C804C2F9DE7C3FFBDE06A45"/>
    <w:rsid w:val="0047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F4FF732F663438DC7BBDE7D2A92A5" ma:contentTypeVersion="4" ma:contentTypeDescription="Vytvoří nový dokument" ma:contentTypeScope="" ma:versionID="a53418b6f6e518d13d38ca70e2ccc597">
  <xsd:schema xmlns:xsd="http://www.w3.org/2001/XMLSchema" xmlns:xs="http://www.w3.org/2001/XMLSchema" xmlns:p="http://schemas.microsoft.com/office/2006/metadata/properties" xmlns:ns2="a5dcb9bc-8d52-4d3e-a595-09c2d5420a48" xmlns:ns3="c21e7edb-b367-4ac7-a92d-02aa336f11bf" targetNamespace="http://schemas.microsoft.com/office/2006/metadata/properties" ma:root="true" ma:fieldsID="4a6f632d16916570da4a7416b5919e9d" ns2:_="" ns3:_="">
    <xsd:import namespace="a5dcb9bc-8d52-4d3e-a595-09c2d5420a48"/>
    <xsd:import namespace="c21e7edb-b367-4ac7-a92d-02aa336f1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cb9bc-8d52-4d3e-a595-09c2d5420a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7edb-b367-4ac7-a92d-02aa336f1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dcb9bc-8d52-4d3e-a595-09c2d5420a48">MMR22-929250655-69</_dlc_DocId>
    <_dlc_DocIdUrl xmlns="a5dcb9bc-8d52-4d3e-a595-09c2d5420a48">
      <Url>https://mmrcz.sharepoint.com/sites/22/224/_layouts/15/DocIdRedir.aspx?ID=MMR22-929250655-69</Url>
      <Description>MMR22-929250655-69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D51E-C851-4D68-B966-8CE7E3BC4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cb9bc-8d52-4d3e-a595-09c2d5420a48"/>
    <ds:schemaRef ds:uri="c21e7edb-b367-4ac7-a92d-02aa336f1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B7FA0-A49F-49A1-B81E-A21F2B2415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54D2B5-6ADD-4C98-9D39-2AD357CE1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01047-F3EF-45A4-9455-4F38AD13EF09}">
  <ds:schemaRefs>
    <ds:schemaRef ds:uri="http://schemas.microsoft.com/office/2006/documentManagement/types"/>
    <ds:schemaRef ds:uri="a5dcb9bc-8d52-4d3e-a595-09c2d5420a4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21e7edb-b367-4ac7-a92d-02aa336f11bf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81D5561-CDE6-490C-A8BA-14FE370B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 Titulní strana dokumentů</Template>
  <TotalTime>70</TotalTime>
  <Pages>15</Pages>
  <Words>3233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koncepce realizace politiky soudržnosti v ČR po roce 2020 -</vt:lpstr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koncepce realizace politiky soudržnosti v ČR po roce 2020 -</dc:title>
  <dc:subject>Příloha č. 4                                   Vztah specifických cílů NKR k procesu evropského semestru</dc:subject>
  <dc:creator>Krouzová  Lenka Kristýna</dc:creator>
  <cp:lastModifiedBy>Valenta Petr</cp:lastModifiedBy>
  <cp:revision>14</cp:revision>
  <dcterms:created xsi:type="dcterms:W3CDTF">2019-05-23T10:03:00Z</dcterms:created>
  <dcterms:modified xsi:type="dcterms:W3CDTF">2019-06-04T14:45:00Z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0x010100745F4FF732F663438DC7BBDE7D2A92A5</vt:lpwstr>
  </property>
  <property fmtid="{D5CDD505-2E9C-101B-9397-08002B2CF9AE}" pid="3" name="_dlc_DocIdItemGuid">
    <vt:lpwstr>20d05d5c-9a5e-430c-8b71-581be3d3bb27</vt:lpwstr>
  </property>
  <property fmtid="{D5CDD505-2E9C-101B-9397-08002B2CF9AE}" pid="4" name="Order">
    <vt:r8>6400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CopySource">
    <vt:lpwstr>https://mmrcz.sharepoint.com/sites/22/224/Sdilene dokumenty/Příloha NKR č. 4_Vztah specifických cílů NKR k procesu evropského semestru.docx</vt:lpwstr>
  </property>
</Properties>
</file>