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44AB7" w14:textId="77777777" w:rsidR="00980FAA" w:rsidRDefault="00980FAA">
      <w:bookmarkStart w:id="0" w:name="_GoBack"/>
      <w:bookmarkEnd w:id="0"/>
    </w:p>
    <w:p w14:paraId="7F244AB8" w14:textId="77777777" w:rsidR="00980FAA" w:rsidRDefault="00980FAA"/>
    <w:p w14:paraId="7F244AB9" w14:textId="77777777" w:rsidR="00980FAA" w:rsidRDefault="00980FAA"/>
    <w:p w14:paraId="7F244ABA" w14:textId="77777777" w:rsidR="00980FAA" w:rsidRDefault="00980FAA"/>
    <w:p w14:paraId="7F244ABB" w14:textId="77777777" w:rsidR="00980FAA" w:rsidRDefault="00980FAA"/>
    <w:p w14:paraId="7F244ABC" w14:textId="77777777" w:rsidR="00980FAA" w:rsidRDefault="00980FAA" w:rsidP="00C35ADC">
      <w:pPr>
        <w:jc w:val="right"/>
      </w:pPr>
    </w:p>
    <w:p w14:paraId="7F244ABD" w14:textId="77777777" w:rsidR="00980FAA" w:rsidRDefault="00980FAA"/>
    <w:p w14:paraId="7F244ABE" w14:textId="77777777" w:rsidR="00980FAA" w:rsidRDefault="00980FAA"/>
    <w:p w14:paraId="7F244ABF" w14:textId="77777777" w:rsidR="00980FAA" w:rsidRDefault="00980FAA"/>
    <w:p w14:paraId="7F244AC0" w14:textId="77777777" w:rsidR="00980FAA" w:rsidRDefault="00980FAA"/>
    <w:p w14:paraId="7F244AC1" w14:textId="77777777" w:rsidR="00980FAA" w:rsidRDefault="00980FAA"/>
    <w:p w14:paraId="7F244AC2" w14:textId="77777777" w:rsidR="00980FAA" w:rsidRDefault="00980FAA"/>
    <w:tbl>
      <w:tblPr>
        <w:tblpPr w:leftFromText="187" w:rightFromText="187" w:vertAnchor="page" w:horzAnchor="margin" w:tblpY="7781"/>
        <w:tblW w:w="4608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599"/>
      </w:tblGrid>
      <w:tr w:rsidR="00950770" w14:paraId="7F244AC4" w14:textId="77777777" w:rsidTr="00290E82">
        <w:trPr>
          <w:trHeight w:val="728"/>
        </w:trPr>
        <w:tc>
          <w:tcPr>
            <w:tcW w:w="8600" w:type="dxa"/>
          </w:tcPr>
          <w:p w14:paraId="7F244AC3" w14:textId="77777777" w:rsidR="00950770" w:rsidRDefault="009B2E35" w:rsidP="001E4737">
            <w:pPr>
              <w:pStyle w:val="Bezmezer"/>
              <w:spacing w:line="216" w:lineRule="auto"/>
              <w:rPr>
                <w:rFonts w:asciiTheme="majorHAnsi" w:eastAsiaTheme="majorEastAsia" w:hAnsiTheme="majorHAnsi" w:cstheme="majorBidi"/>
                <w:color w:val="5B9BD5" w:themeColor="accent1"/>
                <w:sz w:val="88"/>
                <w:szCs w:val="88"/>
              </w:rPr>
            </w:pPr>
            <w:sdt>
              <w:sdtPr>
                <w:rPr>
                  <w:rFonts w:ascii="Arial" w:eastAsia="Arial Unicode MS" w:hAnsi="Arial" w:cs="Arial"/>
                  <w:b/>
                  <w:sz w:val="34"/>
                  <w:szCs w:val="34"/>
                </w:rPr>
                <w:alias w:val="Název"/>
                <w:id w:val="13406919"/>
                <w:placeholder>
                  <w:docPart w:val="A95F2C64CE144BA0BF2D846CF1F0C98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A070F3">
                  <w:rPr>
                    <w:rFonts w:ascii="Arial" w:eastAsia="Arial Unicode MS" w:hAnsi="Arial" w:cs="Arial"/>
                    <w:b/>
                    <w:sz w:val="34"/>
                    <w:szCs w:val="34"/>
                  </w:rPr>
                  <w:t>Národní koncepce realizace politiky soudržnosti v ČR po roce 2020 -</w:t>
                </w:r>
              </w:sdtContent>
            </w:sdt>
          </w:p>
        </w:tc>
      </w:tr>
      <w:tr w:rsidR="00950770" w14:paraId="7F244AC6" w14:textId="77777777" w:rsidTr="00290E82">
        <w:trPr>
          <w:trHeight w:val="2013"/>
        </w:trPr>
        <w:tc>
          <w:tcPr>
            <w:tcW w:w="860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F244AC5" w14:textId="77777777" w:rsidR="00950770" w:rsidRDefault="009B2E35" w:rsidP="00A070F3">
            <w:pPr>
              <w:pStyle w:val="Bezmezer"/>
              <w:rPr>
                <w:color w:val="2E74B5" w:themeColor="accent1" w:themeShade="BF"/>
                <w:sz w:val="24"/>
              </w:rPr>
            </w:pPr>
            <w:sdt>
              <w:sdtPr>
                <w:rPr>
                  <w:rFonts w:ascii="Arial" w:eastAsia="Arial Unicode MS" w:hAnsi="Arial" w:cs="Arial"/>
                  <w:b/>
                  <w:sz w:val="42"/>
                  <w:szCs w:val="42"/>
                </w:rPr>
                <w:alias w:val="Podtitul"/>
                <w:id w:val="13406923"/>
                <w:placeholder>
                  <w:docPart w:val="C5BEAF161C804C2F9DE7C3FFBDE06A4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A070F3">
                  <w:rPr>
                    <w:rFonts w:ascii="Arial" w:eastAsia="Arial Unicode MS" w:hAnsi="Arial" w:cs="Arial"/>
                    <w:b/>
                    <w:sz w:val="42"/>
                    <w:szCs w:val="42"/>
                  </w:rPr>
                  <w:t xml:space="preserve">Příloha č. 2:                                </w:t>
                </w:r>
                <w:r w:rsidR="00290E82">
                  <w:rPr>
                    <w:rFonts w:ascii="Arial" w:eastAsia="Arial Unicode MS" w:hAnsi="Arial" w:cs="Arial"/>
                    <w:b/>
                    <w:sz w:val="42"/>
                    <w:szCs w:val="42"/>
                  </w:rPr>
                  <w:t xml:space="preserve">         </w:t>
                </w:r>
                <w:r w:rsidR="00A070F3">
                  <w:rPr>
                    <w:rFonts w:ascii="Arial" w:eastAsia="Arial Unicode MS" w:hAnsi="Arial" w:cs="Arial"/>
                    <w:b/>
                    <w:sz w:val="42"/>
                    <w:szCs w:val="42"/>
                  </w:rPr>
                  <w:t>Vazba tematických oblastí a </w:t>
                </w:r>
                <w:r w:rsidR="00A070F3" w:rsidRPr="00A070F3">
                  <w:rPr>
                    <w:rFonts w:ascii="Arial" w:eastAsia="Arial Unicode MS" w:hAnsi="Arial" w:cs="Arial"/>
                    <w:b/>
                    <w:sz w:val="42"/>
                    <w:szCs w:val="42"/>
                  </w:rPr>
                  <w:t>specifických cílů NKR na cíle politik EU</w:t>
                </w:r>
              </w:sdtContent>
            </w:sdt>
          </w:p>
        </w:tc>
      </w:tr>
    </w:tbl>
    <w:p w14:paraId="7F244AC7" w14:textId="77777777" w:rsidR="00980FAA" w:rsidRDefault="00980FAA"/>
    <w:p w14:paraId="7F244AC8" w14:textId="77777777" w:rsidR="00290E82" w:rsidRDefault="00290E82"/>
    <w:p w14:paraId="7F244AC9" w14:textId="77777777" w:rsidR="00950770" w:rsidRDefault="00950770"/>
    <w:p w14:paraId="7F244ACA" w14:textId="77777777" w:rsidR="00950770" w:rsidRDefault="00950770"/>
    <w:p w14:paraId="7F244ACB" w14:textId="77777777" w:rsidR="00980FAA" w:rsidRDefault="00980FAA"/>
    <w:p w14:paraId="7F244ACC" w14:textId="77777777" w:rsidR="00980FAA" w:rsidRDefault="00980FAA"/>
    <w:p w14:paraId="7F244ACD" w14:textId="77777777" w:rsidR="00980FAA" w:rsidRDefault="00980FAA"/>
    <w:p w14:paraId="7F244ACE" w14:textId="77777777" w:rsidR="00980FAA" w:rsidRDefault="00980FAA"/>
    <w:p w14:paraId="7F244ACF" w14:textId="77777777" w:rsidR="00980FAA" w:rsidRDefault="00980FAA"/>
    <w:p w14:paraId="7F244AD0" w14:textId="77777777" w:rsidR="00980FAA" w:rsidRDefault="00980FAA"/>
    <w:p w14:paraId="7F244AD1" w14:textId="77777777" w:rsidR="00980FAA" w:rsidRDefault="00980FAA"/>
    <w:p w14:paraId="7F244AD2" w14:textId="77777777" w:rsidR="00980FAA" w:rsidRDefault="00980FAA"/>
    <w:p w14:paraId="7F244AD3" w14:textId="77777777" w:rsidR="00980FAA" w:rsidRDefault="00980FAA"/>
    <w:p w14:paraId="7F244AD4" w14:textId="77777777" w:rsidR="00980FAA" w:rsidRDefault="00980FAA"/>
    <w:p w14:paraId="7F244AD5" w14:textId="77777777" w:rsidR="00980FAA" w:rsidRDefault="00980FAA"/>
    <w:p w14:paraId="7F244AD6" w14:textId="77777777" w:rsidR="00980FAA" w:rsidRDefault="00980FAA"/>
    <w:p w14:paraId="7F244AD7" w14:textId="77777777" w:rsidR="00980FAA" w:rsidRDefault="00980FAA"/>
    <w:p w14:paraId="7F244AD8" w14:textId="77777777" w:rsidR="00C35ADC" w:rsidRDefault="00C35ADC">
      <w:pPr>
        <w:sectPr w:rsidR="00C35AD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244AD9" w14:textId="77777777" w:rsidR="00E315B3" w:rsidRDefault="00E315B3" w:rsidP="0062528A">
      <w:pPr>
        <w:pStyle w:val="Nadpis2"/>
        <w:numPr>
          <w:ilvl w:val="0"/>
          <w:numId w:val="0"/>
        </w:numPr>
        <w:spacing w:line="240" w:lineRule="auto"/>
        <w:jc w:val="left"/>
      </w:pPr>
      <w:bookmarkStart w:id="1" w:name="_Toc9441701"/>
      <w:r>
        <w:lastRenderedPageBreak/>
        <w:t xml:space="preserve">Vazba tematických </w:t>
      </w:r>
      <w:r w:rsidRPr="00362FA7">
        <w:t xml:space="preserve">oblastí </w:t>
      </w:r>
      <w:r>
        <w:t xml:space="preserve">a specifických cílů </w:t>
      </w:r>
      <w:r w:rsidRPr="00362FA7">
        <w:t>NKR na cíle politik EU</w:t>
      </w:r>
      <w:bookmarkEnd w:id="1"/>
    </w:p>
    <w:p w14:paraId="7F244ADA" w14:textId="77777777" w:rsidR="00E315B3" w:rsidRDefault="00E315B3" w:rsidP="0062528A">
      <w:r>
        <w:t>Níže u</w:t>
      </w:r>
      <w:r w:rsidRPr="00E33E94">
        <w:t>vedené vazby reflektují současné nastavení cílů politik EU tak, jak jsou definovány v návrhu nařízení pro EU fondy. Na základě vyjednávání mezi ČR a EK může dojít k rozšíření cílů politik, pod které mohou být zahrnuty další tematické (pod)oblasti.</w:t>
      </w:r>
    </w:p>
    <w:p w14:paraId="7F244ADB" w14:textId="77777777" w:rsidR="00E315B3" w:rsidRPr="00E33E94" w:rsidRDefault="00E315B3" w:rsidP="0062528A"/>
    <w:tbl>
      <w:tblPr>
        <w:tblStyle w:val="Mkatabulky"/>
        <w:tblW w:w="5000" w:type="pct"/>
        <w:tblInd w:w="113" w:type="dxa"/>
        <w:tblLook w:val="0400" w:firstRow="0" w:lastRow="0" w:firstColumn="0" w:lastColumn="0" w:noHBand="0" w:noVBand="1"/>
      </w:tblPr>
      <w:tblGrid>
        <w:gridCol w:w="1696"/>
        <w:gridCol w:w="2933"/>
        <w:gridCol w:w="2474"/>
        <w:gridCol w:w="2185"/>
      </w:tblGrid>
      <w:tr w:rsidR="00E315B3" w:rsidRPr="001D4C20" w14:paraId="7F244AE0" w14:textId="77777777" w:rsidTr="00711189">
        <w:trPr>
          <w:trHeight w:val="567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244ADC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bCs/>
                <w:sz w:val="22"/>
                <w:szCs w:val="22"/>
              </w:rPr>
              <w:t>Cíle politik EU</w:t>
            </w:r>
            <w:r w:rsidRPr="001D4C2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244ADD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bCs/>
                <w:sz w:val="22"/>
                <w:szCs w:val="22"/>
              </w:rPr>
              <w:t>Specifické cíle politik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244ADE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Specifické cíle NKR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244ADF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Tematické oblasti NKR</w:t>
            </w:r>
          </w:p>
        </w:tc>
      </w:tr>
      <w:tr w:rsidR="00E315B3" w:rsidRPr="001D4C20" w14:paraId="7F244AE5" w14:textId="77777777" w:rsidTr="00711189">
        <w:trPr>
          <w:trHeight w:val="539"/>
        </w:trPr>
        <w:tc>
          <w:tcPr>
            <w:tcW w:w="913" w:type="pct"/>
            <w:vMerge w:val="restart"/>
            <w:tcBorders>
              <w:top w:val="single" w:sz="4" w:space="0" w:color="auto"/>
            </w:tcBorders>
          </w:tcPr>
          <w:p w14:paraId="7F244AE1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CP1: Inteligentnější Evropa</w:t>
            </w:r>
          </w:p>
        </w:tc>
        <w:tc>
          <w:tcPr>
            <w:tcW w:w="1579" w:type="pct"/>
            <w:vMerge w:val="restart"/>
            <w:tcBorders>
              <w:top w:val="single" w:sz="4" w:space="0" w:color="auto"/>
            </w:tcBorders>
          </w:tcPr>
          <w:p w14:paraId="7F244AE2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posílení výzkumných a inovačních kapacit a zavádění pokročilých technologií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14:paraId="7F244AE3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1D4C20">
              <w:rPr>
                <w:rFonts w:ascii="Arial" w:hAnsi="Arial" w:cs="Arial"/>
                <w:iCs/>
                <w:sz w:val="22"/>
                <w:szCs w:val="22"/>
              </w:rPr>
              <w:t>Podpora inovace prostřednictvím aplikovaného výzkumu a experimentálního vývoje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</w:tcBorders>
          </w:tcPr>
          <w:p w14:paraId="7F244AE4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Výzkumný a inovační systém</w:t>
            </w:r>
          </w:p>
        </w:tc>
      </w:tr>
      <w:tr w:rsidR="00E315B3" w:rsidRPr="001D4C20" w14:paraId="7F244AEA" w14:textId="77777777" w:rsidTr="00711189">
        <w:trPr>
          <w:trHeight w:val="539"/>
        </w:trPr>
        <w:tc>
          <w:tcPr>
            <w:tcW w:w="913" w:type="pct"/>
            <w:vMerge/>
          </w:tcPr>
          <w:p w14:paraId="7F244AE6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AE7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  <w:tcBorders>
              <w:top w:val="single" w:sz="4" w:space="0" w:color="auto"/>
            </w:tcBorders>
          </w:tcPr>
          <w:p w14:paraId="7F244AE8" w14:textId="77777777" w:rsidR="00E315B3" w:rsidRPr="001D4C20" w:rsidDel="00441E14" w:rsidRDefault="00E315B3" w:rsidP="007A78EF">
            <w:pPr>
              <w:spacing w:before="40" w:after="60" w:line="252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1D4C20">
              <w:rPr>
                <w:rFonts w:ascii="Arial" w:hAnsi="Arial" w:cs="Arial"/>
                <w:iCs/>
                <w:sz w:val="22"/>
                <w:szCs w:val="22"/>
              </w:rPr>
              <w:t>Rozvoj zázemí pro kvalitní a relevantní výzkum</w:t>
            </w:r>
          </w:p>
        </w:tc>
        <w:tc>
          <w:tcPr>
            <w:tcW w:w="1176" w:type="pct"/>
            <w:vMerge/>
          </w:tcPr>
          <w:p w14:paraId="7F244AE9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15B3" w:rsidRPr="001D4C20" w14:paraId="7F244AEF" w14:textId="77777777" w:rsidTr="00711189">
        <w:trPr>
          <w:trHeight w:val="539"/>
        </w:trPr>
        <w:tc>
          <w:tcPr>
            <w:tcW w:w="913" w:type="pct"/>
            <w:vMerge/>
          </w:tcPr>
          <w:p w14:paraId="7F244AEB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AEC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  <w:tcBorders>
              <w:top w:val="single" w:sz="4" w:space="0" w:color="auto"/>
            </w:tcBorders>
          </w:tcPr>
          <w:p w14:paraId="7F244AED" w14:textId="77777777" w:rsidR="00E315B3" w:rsidRPr="001D4C20" w:rsidDel="00441E14" w:rsidRDefault="00E315B3" w:rsidP="007A78EF">
            <w:pPr>
              <w:spacing w:before="40" w:after="60" w:line="252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1D4C20">
              <w:rPr>
                <w:rFonts w:ascii="Arial" w:hAnsi="Arial" w:cs="Arial"/>
                <w:iCs/>
                <w:sz w:val="22"/>
                <w:szCs w:val="22"/>
              </w:rPr>
              <w:t xml:space="preserve">Zkvalitnění strategického řízení </w:t>
            </w:r>
            <w:proofErr w:type="spellStart"/>
            <w:r w:rsidRPr="001D4C20">
              <w:rPr>
                <w:rFonts w:ascii="Arial" w:hAnsi="Arial" w:cs="Arial"/>
                <w:iCs/>
                <w:sz w:val="22"/>
                <w:szCs w:val="22"/>
              </w:rPr>
              <w:t>VaVaI</w:t>
            </w:r>
            <w:proofErr w:type="spellEnd"/>
          </w:p>
        </w:tc>
        <w:tc>
          <w:tcPr>
            <w:tcW w:w="1176" w:type="pct"/>
            <w:vMerge/>
          </w:tcPr>
          <w:p w14:paraId="7F244AEE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15B3" w:rsidRPr="001D4C20" w14:paraId="7F244AF4" w14:textId="77777777" w:rsidTr="00711189">
        <w:trPr>
          <w:trHeight w:val="567"/>
        </w:trPr>
        <w:tc>
          <w:tcPr>
            <w:tcW w:w="913" w:type="pct"/>
            <w:vMerge/>
          </w:tcPr>
          <w:p w14:paraId="7F244AF0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AF1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  <w:tcBorders>
              <w:top w:val="single" w:sz="4" w:space="0" w:color="auto"/>
            </w:tcBorders>
          </w:tcPr>
          <w:p w14:paraId="7F244AF2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Zvýšení přidané hodnoty výrobků a služeb podniků v produkčním řetězci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</w:tcBorders>
          </w:tcPr>
          <w:p w14:paraId="7F244AF3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Podpora podnikání a průmyslu</w:t>
            </w:r>
          </w:p>
        </w:tc>
      </w:tr>
      <w:tr w:rsidR="00E315B3" w:rsidRPr="001D4C20" w14:paraId="7F244AF9" w14:textId="77777777" w:rsidTr="00711189">
        <w:trPr>
          <w:trHeight w:val="567"/>
        </w:trPr>
        <w:tc>
          <w:tcPr>
            <w:tcW w:w="913" w:type="pct"/>
            <w:vMerge/>
          </w:tcPr>
          <w:p w14:paraId="7F244AF5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</w:tcPr>
          <w:p w14:paraId="7F244AF6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využití přínosů digitalizace pro občany, podniky a vlády</w:t>
            </w:r>
          </w:p>
        </w:tc>
        <w:tc>
          <w:tcPr>
            <w:tcW w:w="1332" w:type="pct"/>
          </w:tcPr>
          <w:p w14:paraId="7F244AF7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Zvýšení přidané hodnoty výrobků a služeb podniků v produkčním řetězci</w:t>
            </w:r>
          </w:p>
        </w:tc>
        <w:tc>
          <w:tcPr>
            <w:tcW w:w="1176" w:type="pct"/>
            <w:vMerge/>
          </w:tcPr>
          <w:p w14:paraId="7F244AF8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15B3" w:rsidRPr="001D4C20" w14:paraId="7F244AFE" w14:textId="77777777" w:rsidTr="00711189">
        <w:trPr>
          <w:trHeight w:val="567"/>
        </w:trPr>
        <w:tc>
          <w:tcPr>
            <w:tcW w:w="913" w:type="pct"/>
            <w:vMerge/>
          </w:tcPr>
          <w:p w14:paraId="7F244AFA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</w:tcPr>
          <w:p w14:paraId="7F244AFB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posílení růstu a konkurenceschopnosti malých a středních podniků</w:t>
            </w:r>
          </w:p>
        </w:tc>
        <w:tc>
          <w:tcPr>
            <w:tcW w:w="1332" w:type="pct"/>
          </w:tcPr>
          <w:p w14:paraId="7F244AFC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1D4C20">
              <w:rPr>
                <w:rFonts w:ascii="Arial" w:hAnsi="Arial" w:cs="Arial"/>
                <w:iCs/>
                <w:sz w:val="22"/>
                <w:szCs w:val="22"/>
              </w:rPr>
              <w:t>Zlepšení inovační schopnosti MSP</w:t>
            </w:r>
          </w:p>
        </w:tc>
        <w:tc>
          <w:tcPr>
            <w:tcW w:w="1176" w:type="pct"/>
            <w:vMerge/>
          </w:tcPr>
          <w:p w14:paraId="7F244AFD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15B3" w:rsidRPr="001D4C20" w14:paraId="7F244B03" w14:textId="77777777" w:rsidTr="00711189">
        <w:trPr>
          <w:trHeight w:val="567"/>
        </w:trPr>
        <w:tc>
          <w:tcPr>
            <w:tcW w:w="913" w:type="pct"/>
            <w:vMerge/>
          </w:tcPr>
          <w:p w14:paraId="7F244AFF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</w:tcPr>
          <w:p w14:paraId="7F244B00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rozvoj dovedností pro inteligentní specializaci, průmyslovou transformaci a podnikání</w:t>
            </w:r>
          </w:p>
        </w:tc>
        <w:tc>
          <w:tcPr>
            <w:tcW w:w="1332" w:type="pct"/>
          </w:tcPr>
          <w:p w14:paraId="7F244B01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iCs/>
                <w:sz w:val="22"/>
                <w:szCs w:val="22"/>
              </w:rPr>
              <w:t>Zavedení principů digitální ekonomiky a průmyslu 4.0 ve firmách</w:t>
            </w:r>
          </w:p>
        </w:tc>
        <w:tc>
          <w:tcPr>
            <w:tcW w:w="1176" w:type="pct"/>
            <w:vMerge/>
          </w:tcPr>
          <w:p w14:paraId="7F244B02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5B3" w:rsidRPr="001D4C20" w14:paraId="7F244B08" w14:textId="77777777" w:rsidTr="00711189">
        <w:trPr>
          <w:trHeight w:val="567"/>
        </w:trPr>
        <w:tc>
          <w:tcPr>
            <w:tcW w:w="913" w:type="pct"/>
            <w:vMerge/>
          </w:tcPr>
          <w:p w14:paraId="7F244B04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</w:tcPr>
          <w:p w14:paraId="7F244B05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využití přínosů digitalizace pro občany, podniky a vlády</w:t>
            </w:r>
          </w:p>
        </w:tc>
        <w:tc>
          <w:tcPr>
            <w:tcW w:w="1332" w:type="pct"/>
          </w:tcPr>
          <w:p w14:paraId="7F244B06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Zvýšení přidané hodnoty výrobků a služeb podniků v produkčním řetězci</w:t>
            </w:r>
          </w:p>
        </w:tc>
        <w:tc>
          <w:tcPr>
            <w:tcW w:w="1176" w:type="pct"/>
            <w:vMerge/>
          </w:tcPr>
          <w:p w14:paraId="7F244B07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5B3" w:rsidRPr="001D4C20" w14:paraId="7F244B0D" w14:textId="77777777" w:rsidTr="00711189">
        <w:trPr>
          <w:trHeight w:val="462"/>
        </w:trPr>
        <w:tc>
          <w:tcPr>
            <w:tcW w:w="913" w:type="pct"/>
            <w:vMerge/>
          </w:tcPr>
          <w:p w14:paraId="7F244B09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0A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0B" w14:textId="77777777" w:rsidR="00E315B3" w:rsidRPr="001D4C20" w:rsidRDefault="00E315B3" w:rsidP="007A78EF">
            <w:pPr>
              <w:pStyle w:val="Textkomente"/>
              <w:spacing w:before="40" w:after="60"/>
              <w:rPr>
                <w:sz w:val="22"/>
                <w:szCs w:val="22"/>
              </w:rPr>
            </w:pPr>
            <w:r w:rsidRPr="001D4C20">
              <w:rPr>
                <w:sz w:val="22"/>
                <w:szCs w:val="22"/>
              </w:rPr>
              <w:t>Elektronizace výkonu veřejné správy a zavedení související infrastruktury</w:t>
            </w:r>
          </w:p>
        </w:tc>
        <w:tc>
          <w:tcPr>
            <w:tcW w:w="1176" w:type="pct"/>
            <w:vMerge w:val="restart"/>
          </w:tcPr>
          <w:p w14:paraId="7F244B0C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bCs/>
                <w:sz w:val="22"/>
                <w:szCs w:val="22"/>
              </w:rPr>
              <w:t>Veřejná správa a bezpečnost</w:t>
            </w:r>
          </w:p>
        </w:tc>
      </w:tr>
      <w:tr w:rsidR="00E315B3" w:rsidRPr="001D4C20" w14:paraId="7F244B12" w14:textId="77777777" w:rsidTr="00711189">
        <w:trPr>
          <w:trHeight w:val="462"/>
        </w:trPr>
        <w:tc>
          <w:tcPr>
            <w:tcW w:w="913" w:type="pct"/>
            <w:vMerge/>
          </w:tcPr>
          <w:p w14:paraId="7F244B0E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0F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10" w14:textId="77777777" w:rsidR="00E315B3" w:rsidRPr="001D4C20" w:rsidRDefault="00E315B3" w:rsidP="007A78EF">
            <w:pPr>
              <w:pStyle w:val="Textkomente"/>
              <w:spacing w:before="40" w:after="60"/>
              <w:rPr>
                <w:sz w:val="22"/>
                <w:szCs w:val="22"/>
              </w:rPr>
            </w:pPr>
            <w:r w:rsidRPr="001D4C20">
              <w:rPr>
                <w:sz w:val="22"/>
                <w:szCs w:val="22"/>
              </w:rPr>
              <w:t>Digitalizace územního plánování (elektronizace a digitalizace agend stavebního právy)</w:t>
            </w:r>
          </w:p>
        </w:tc>
        <w:tc>
          <w:tcPr>
            <w:tcW w:w="1176" w:type="pct"/>
            <w:vMerge/>
          </w:tcPr>
          <w:p w14:paraId="7F244B11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5B3" w:rsidRPr="001D4C20" w14:paraId="7F244B17" w14:textId="77777777" w:rsidTr="00711189">
        <w:trPr>
          <w:trHeight w:val="457"/>
        </w:trPr>
        <w:tc>
          <w:tcPr>
            <w:tcW w:w="913" w:type="pct"/>
            <w:vMerge/>
          </w:tcPr>
          <w:p w14:paraId="7F244B13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14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15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Účinné zabezpečení informačních a komunikačních systémů veřejné správy včetně složek IZS a adekvátní reakce na rostoucí kybernetické hrozby</w:t>
            </w:r>
          </w:p>
        </w:tc>
        <w:tc>
          <w:tcPr>
            <w:tcW w:w="1176" w:type="pct"/>
            <w:vMerge/>
          </w:tcPr>
          <w:p w14:paraId="7F244B16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5B3" w:rsidRPr="001D4C20" w14:paraId="7F244B1D" w14:textId="77777777" w:rsidTr="00711189">
        <w:trPr>
          <w:trHeight w:val="567"/>
        </w:trPr>
        <w:tc>
          <w:tcPr>
            <w:tcW w:w="913" w:type="pct"/>
            <w:vMerge w:val="restart"/>
          </w:tcPr>
          <w:p w14:paraId="7F244B18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CP2: Zelenější, nízkouhlíková Evropa</w:t>
            </w:r>
          </w:p>
        </w:tc>
        <w:tc>
          <w:tcPr>
            <w:tcW w:w="1579" w:type="pct"/>
          </w:tcPr>
          <w:p w14:paraId="7F244B19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podpora opatření v oblasti energetické účinnosti</w:t>
            </w:r>
          </w:p>
        </w:tc>
        <w:tc>
          <w:tcPr>
            <w:tcW w:w="1332" w:type="pct"/>
          </w:tcPr>
          <w:p w14:paraId="7F244B1A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Zvýšení energetické účinnosti a úspory energie</w:t>
            </w:r>
          </w:p>
        </w:tc>
        <w:tc>
          <w:tcPr>
            <w:tcW w:w="1176" w:type="pct"/>
            <w:vMerge w:val="restart"/>
          </w:tcPr>
          <w:p w14:paraId="7F244B1B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Posun k nízkouhlíkovému hospodářství</w:t>
            </w:r>
          </w:p>
          <w:p w14:paraId="7F244B1C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5B3" w:rsidRPr="001D4C20" w14:paraId="7F244B22" w14:textId="77777777" w:rsidTr="00711189">
        <w:trPr>
          <w:trHeight w:val="567"/>
        </w:trPr>
        <w:tc>
          <w:tcPr>
            <w:tcW w:w="913" w:type="pct"/>
            <w:vMerge/>
          </w:tcPr>
          <w:p w14:paraId="7F244B1E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</w:tcPr>
          <w:p w14:paraId="7F244B1F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podpora energie z obnovitelných zdrojů</w:t>
            </w:r>
          </w:p>
        </w:tc>
        <w:tc>
          <w:tcPr>
            <w:tcW w:w="1332" w:type="pct"/>
          </w:tcPr>
          <w:p w14:paraId="7F244B20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Podpora vzniku a zavádění inovativních nízkouhlíkových technologií a efektivní a šetrné využívání obnovitelných zdrojů energie</w:t>
            </w:r>
          </w:p>
        </w:tc>
        <w:tc>
          <w:tcPr>
            <w:tcW w:w="1176" w:type="pct"/>
            <w:vMerge/>
          </w:tcPr>
          <w:p w14:paraId="7F244B21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5B3" w:rsidRPr="001D4C20" w14:paraId="7F244B28" w14:textId="77777777" w:rsidTr="00711189">
        <w:trPr>
          <w:trHeight w:val="1406"/>
        </w:trPr>
        <w:tc>
          <w:tcPr>
            <w:tcW w:w="913" w:type="pct"/>
            <w:vMerge/>
          </w:tcPr>
          <w:p w14:paraId="7F244B23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</w:tcPr>
          <w:p w14:paraId="7F244B24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rozvoj inteligentních energetických systémů, sítí a skladování na místní úrovni</w:t>
            </w:r>
          </w:p>
        </w:tc>
        <w:tc>
          <w:tcPr>
            <w:tcW w:w="1332" w:type="pct"/>
          </w:tcPr>
          <w:p w14:paraId="7F244B25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Modernizace a zefektivnění výroby, přenosu, přepravy, distribuce a akumulace energie</w:t>
            </w:r>
          </w:p>
          <w:p w14:paraId="7F244B26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pct"/>
            <w:vMerge w:val="restart"/>
          </w:tcPr>
          <w:p w14:paraId="7F244B27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Posun k nízkouhlíkovému hospodářství</w:t>
            </w:r>
          </w:p>
        </w:tc>
      </w:tr>
      <w:tr w:rsidR="00E315B3" w:rsidRPr="001D4C20" w14:paraId="7F244B2D" w14:textId="77777777" w:rsidTr="00711189">
        <w:trPr>
          <w:trHeight w:val="1406"/>
        </w:trPr>
        <w:tc>
          <w:tcPr>
            <w:tcW w:w="913" w:type="pct"/>
            <w:vMerge/>
          </w:tcPr>
          <w:p w14:paraId="7F244B29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2A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2B" w14:textId="77777777" w:rsidR="00E315B3" w:rsidRPr="001D4C20" w:rsidDel="00E00A86" w:rsidRDefault="00E315B3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Zavedení moderních a vysoce účinných způsobů výroby, distribuce a akumulace teplené energie</w:t>
            </w:r>
          </w:p>
        </w:tc>
        <w:tc>
          <w:tcPr>
            <w:tcW w:w="1176" w:type="pct"/>
            <w:vMerge/>
          </w:tcPr>
          <w:p w14:paraId="7F244B2C" w14:textId="77777777" w:rsidR="00E315B3" w:rsidRPr="001D4C20" w:rsidRDefault="00E315B3" w:rsidP="007A78EF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32" w14:textId="77777777" w:rsidTr="00711189">
        <w:trPr>
          <w:trHeight w:val="567"/>
        </w:trPr>
        <w:tc>
          <w:tcPr>
            <w:tcW w:w="913" w:type="pct"/>
            <w:vMerge/>
          </w:tcPr>
          <w:p w14:paraId="7F244B2E" w14:textId="77777777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</w:tcPr>
          <w:p w14:paraId="36070721" w14:textId="77777777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podpora přizpůsobení se změně klimatu, prevence rizik a odolnosti vůči katastrofám</w:t>
            </w:r>
          </w:p>
          <w:p w14:paraId="7F244B2F" w14:textId="4C570F1C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30" w14:textId="77777777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Ochrana a péče o přírodu a krajinu</w:t>
            </w:r>
          </w:p>
        </w:tc>
        <w:tc>
          <w:tcPr>
            <w:tcW w:w="1176" w:type="pct"/>
            <w:vMerge w:val="restart"/>
          </w:tcPr>
          <w:p w14:paraId="7F244B31" w14:textId="77777777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Ochrana životního prostředí a oběhové hospodářství</w:t>
            </w:r>
          </w:p>
        </w:tc>
      </w:tr>
      <w:tr w:rsidR="00711189" w:rsidRPr="001D4C20" w14:paraId="7F244B37" w14:textId="77777777" w:rsidTr="00711189">
        <w:trPr>
          <w:trHeight w:val="567"/>
        </w:trPr>
        <w:tc>
          <w:tcPr>
            <w:tcW w:w="913" w:type="pct"/>
            <w:vMerge/>
          </w:tcPr>
          <w:p w14:paraId="7F244B33" w14:textId="77777777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34" w14:textId="24594677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35" w14:textId="77777777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Ochrana a zlepšení stavu vody a vodního hospodářství</w:t>
            </w:r>
          </w:p>
        </w:tc>
        <w:tc>
          <w:tcPr>
            <w:tcW w:w="1176" w:type="pct"/>
            <w:vMerge/>
          </w:tcPr>
          <w:p w14:paraId="7F244B36" w14:textId="77777777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3C" w14:textId="77777777" w:rsidTr="00711189">
        <w:trPr>
          <w:trHeight w:val="101"/>
        </w:trPr>
        <w:tc>
          <w:tcPr>
            <w:tcW w:w="913" w:type="pct"/>
            <w:vMerge/>
          </w:tcPr>
          <w:p w14:paraId="7F244B38" w14:textId="77777777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39" w14:textId="7F18949C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3A" w14:textId="77777777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Zlepšení kvality ovzduší</w:t>
            </w:r>
          </w:p>
        </w:tc>
        <w:tc>
          <w:tcPr>
            <w:tcW w:w="1176" w:type="pct"/>
            <w:vMerge/>
          </w:tcPr>
          <w:p w14:paraId="7F244B3B" w14:textId="77777777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41" w14:textId="77777777" w:rsidTr="00711189">
        <w:trPr>
          <w:trHeight w:val="101"/>
        </w:trPr>
        <w:tc>
          <w:tcPr>
            <w:tcW w:w="913" w:type="pct"/>
            <w:vMerge/>
          </w:tcPr>
          <w:p w14:paraId="7F244B3D" w14:textId="77777777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3E" w14:textId="5AC7DD73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3F" w14:textId="77777777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Ochrana obyvatelstva</w:t>
            </w:r>
          </w:p>
        </w:tc>
        <w:tc>
          <w:tcPr>
            <w:tcW w:w="1176" w:type="pct"/>
          </w:tcPr>
          <w:p w14:paraId="7F244B40" w14:textId="77777777" w:rsidR="00711189" w:rsidRPr="001D4C20" w:rsidRDefault="00711189" w:rsidP="007A78EF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bCs/>
                <w:sz w:val="22"/>
                <w:szCs w:val="22"/>
              </w:rPr>
              <w:t>Veřejná správa a bezpečnost</w:t>
            </w:r>
          </w:p>
        </w:tc>
      </w:tr>
      <w:tr w:rsidR="00711189" w:rsidRPr="001D4C20" w14:paraId="486BBA47" w14:textId="77777777" w:rsidTr="00711189">
        <w:trPr>
          <w:trHeight w:val="101"/>
        </w:trPr>
        <w:tc>
          <w:tcPr>
            <w:tcW w:w="913" w:type="pct"/>
            <w:vMerge/>
          </w:tcPr>
          <w:p w14:paraId="15C6FD9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</w:rPr>
            </w:pPr>
          </w:p>
        </w:tc>
        <w:tc>
          <w:tcPr>
            <w:tcW w:w="1579" w:type="pct"/>
            <w:vMerge/>
          </w:tcPr>
          <w:p w14:paraId="0DFAB0EB" w14:textId="41CA44EC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6561E9E8" w14:textId="5E537880" w:rsidR="00711189" w:rsidRPr="00711189" w:rsidRDefault="00711189" w:rsidP="00711189">
            <w:pPr>
              <w:spacing w:before="40" w:after="60" w:line="252" w:lineRule="auto"/>
            </w:pPr>
            <w:r w:rsidRPr="00711189">
              <w:rPr>
                <w:rFonts w:ascii="Arial" w:hAnsi="Arial" w:cs="Arial"/>
                <w:sz w:val="22"/>
                <w:szCs w:val="22"/>
              </w:rPr>
              <w:t>Udržitelný cestovní ruch</w:t>
            </w:r>
          </w:p>
        </w:tc>
        <w:tc>
          <w:tcPr>
            <w:tcW w:w="1176" w:type="pct"/>
          </w:tcPr>
          <w:p w14:paraId="78574E82" w14:textId="168A9A70" w:rsidR="00711189" w:rsidRPr="00711189" w:rsidRDefault="00711189" w:rsidP="00711189">
            <w:pPr>
              <w:spacing w:before="40" w:after="60" w:line="252" w:lineRule="auto"/>
            </w:pPr>
            <w:r w:rsidRPr="00711189">
              <w:rPr>
                <w:rFonts w:ascii="Arial" w:hAnsi="Arial" w:cs="Arial"/>
                <w:b/>
                <w:bCs/>
                <w:sz w:val="22"/>
                <w:szCs w:val="22"/>
              </w:rPr>
              <w:t>Cestovní ruch</w:t>
            </w:r>
          </w:p>
        </w:tc>
      </w:tr>
      <w:tr w:rsidR="00711189" w:rsidRPr="001D4C20" w14:paraId="7F244B46" w14:textId="77777777" w:rsidTr="00711189">
        <w:trPr>
          <w:trHeight w:val="567"/>
        </w:trPr>
        <w:tc>
          <w:tcPr>
            <w:tcW w:w="913" w:type="pct"/>
            <w:vMerge/>
          </w:tcPr>
          <w:p w14:paraId="7F244B4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</w:tcPr>
          <w:p w14:paraId="7F244B4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podpora udržitelného hospodaření s vodou</w:t>
            </w:r>
          </w:p>
        </w:tc>
        <w:tc>
          <w:tcPr>
            <w:tcW w:w="1332" w:type="pct"/>
          </w:tcPr>
          <w:p w14:paraId="7F244B4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Ochrana a zlepšení stavu vody a vodního hospodářství</w:t>
            </w:r>
          </w:p>
        </w:tc>
        <w:tc>
          <w:tcPr>
            <w:tcW w:w="1176" w:type="pct"/>
            <w:vMerge w:val="restart"/>
          </w:tcPr>
          <w:p w14:paraId="7F244B4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Ochrana životního prostředí a oběhové hospodářství</w:t>
            </w:r>
          </w:p>
        </w:tc>
      </w:tr>
      <w:tr w:rsidR="00711189" w:rsidRPr="001D4C20" w14:paraId="7F244B4B" w14:textId="77777777" w:rsidTr="00711189">
        <w:trPr>
          <w:trHeight w:val="567"/>
        </w:trPr>
        <w:tc>
          <w:tcPr>
            <w:tcW w:w="913" w:type="pct"/>
            <w:vMerge/>
          </w:tcPr>
          <w:p w14:paraId="7F244B4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</w:tcPr>
          <w:p w14:paraId="7F244B4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podpora přechodu k oběhovému hospodářství</w:t>
            </w:r>
          </w:p>
        </w:tc>
        <w:tc>
          <w:tcPr>
            <w:tcW w:w="1332" w:type="pct"/>
          </w:tcPr>
          <w:p w14:paraId="7F244B4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Oběhové hospodářství, odpady a účinné využívání zdrojů</w:t>
            </w:r>
          </w:p>
        </w:tc>
        <w:tc>
          <w:tcPr>
            <w:tcW w:w="1176" w:type="pct"/>
            <w:vMerge/>
          </w:tcPr>
          <w:p w14:paraId="7F244B4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B51" w14:textId="77777777" w:rsidTr="00711189">
        <w:trPr>
          <w:trHeight w:val="567"/>
        </w:trPr>
        <w:tc>
          <w:tcPr>
            <w:tcW w:w="913" w:type="pct"/>
            <w:vMerge/>
          </w:tcPr>
          <w:p w14:paraId="7F244B4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</w:tcPr>
          <w:p w14:paraId="7F244B4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posílení biologické rozmanitosti, zelené infrastruktury v městském prostředí a snížení znečištění</w:t>
            </w:r>
          </w:p>
        </w:tc>
        <w:tc>
          <w:tcPr>
            <w:tcW w:w="1332" w:type="pct"/>
          </w:tcPr>
          <w:p w14:paraId="7F244B4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Ochrana a péče o přírodu a krajinu</w:t>
            </w:r>
          </w:p>
          <w:p w14:paraId="7F244B4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7F244B5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B56" w14:textId="77777777" w:rsidTr="00711189">
        <w:trPr>
          <w:trHeight w:val="567"/>
        </w:trPr>
        <w:tc>
          <w:tcPr>
            <w:tcW w:w="913" w:type="pct"/>
            <w:vMerge/>
          </w:tcPr>
          <w:p w14:paraId="7F244B5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5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5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 xml:space="preserve">Sanace míst s ekologickou zátěží a revitalizace </w:t>
            </w:r>
            <w:proofErr w:type="spellStart"/>
            <w:r w:rsidRPr="001D4C20">
              <w:rPr>
                <w:rFonts w:ascii="Arial" w:hAnsi="Arial" w:cs="Arial"/>
                <w:sz w:val="22"/>
                <w:szCs w:val="22"/>
              </w:rPr>
              <w:t>brownfieldů</w:t>
            </w:r>
            <w:proofErr w:type="spellEnd"/>
          </w:p>
        </w:tc>
        <w:tc>
          <w:tcPr>
            <w:tcW w:w="1176" w:type="pct"/>
            <w:vMerge/>
          </w:tcPr>
          <w:p w14:paraId="7F244B5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5B" w14:textId="77777777" w:rsidTr="00711189">
        <w:trPr>
          <w:trHeight w:val="567"/>
        </w:trPr>
        <w:tc>
          <w:tcPr>
            <w:tcW w:w="913" w:type="pct"/>
            <w:vMerge/>
          </w:tcPr>
          <w:p w14:paraId="7F244B5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5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5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Vytvoření zázemí pro vzdělávání pro udržitelný rozvoj</w:t>
            </w:r>
          </w:p>
        </w:tc>
        <w:tc>
          <w:tcPr>
            <w:tcW w:w="1176" w:type="pct"/>
            <w:vMerge/>
          </w:tcPr>
          <w:p w14:paraId="7F244B5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61" w14:textId="77777777" w:rsidTr="00711189">
        <w:trPr>
          <w:trHeight w:val="1144"/>
        </w:trPr>
        <w:tc>
          <w:tcPr>
            <w:tcW w:w="913" w:type="pct"/>
            <w:vMerge w:val="restart"/>
          </w:tcPr>
          <w:p w14:paraId="7F244B5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CP3: Propojenější Evropa</w:t>
            </w:r>
          </w:p>
        </w:tc>
        <w:tc>
          <w:tcPr>
            <w:tcW w:w="1579" w:type="pct"/>
          </w:tcPr>
          <w:p w14:paraId="7F244B5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zvýšení digitálního propojení</w:t>
            </w:r>
          </w:p>
        </w:tc>
        <w:tc>
          <w:tcPr>
            <w:tcW w:w="1332" w:type="pct"/>
          </w:tcPr>
          <w:p w14:paraId="7F244B5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Účinné zabezpečení informačních a komunikačních systémů veřejné správy včetně složek IZS a adekvátní reakce na rostoucí kybernetické hrozby</w:t>
            </w:r>
          </w:p>
        </w:tc>
        <w:tc>
          <w:tcPr>
            <w:tcW w:w="1176" w:type="pct"/>
          </w:tcPr>
          <w:p w14:paraId="7F244B5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Veřejná správa a bezpečnost</w:t>
            </w:r>
          </w:p>
          <w:p w14:paraId="7F244B6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B66" w14:textId="77777777" w:rsidTr="00711189">
        <w:trPr>
          <w:trHeight w:val="567"/>
        </w:trPr>
        <w:tc>
          <w:tcPr>
            <w:tcW w:w="913" w:type="pct"/>
            <w:vMerge/>
          </w:tcPr>
          <w:p w14:paraId="7F244B6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</w:tcPr>
          <w:p w14:paraId="7F244B6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rozvoj udržitelné, inteligentní, bezpečné a intermodální sítě TEN-T odolné vůči změnám klimatu</w:t>
            </w:r>
          </w:p>
        </w:tc>
        <w:tc>
          <w:tcPr>
            <w:tcW w:w="1332" w:type="pct"/>
          </w:tcPr>
          <w:p w14:paraId="7F244B6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Rozvoj a zkvalitnění dopravní infrastruktury</w:t>
            </w:r>
          </w:p>
        </w:tc>
        <w:tc>
          <w:tcPr>
            <w:tcW w:w="1176" w:type="pct"/>
            <w:vMerge w:val="restart"/>
          </w:tcPr>
          <w:p w14:paraId="7F244B6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Doprava</w:t>
            </w:r>
          </w:p>
        </w:tc>
      </w:tr>
      <w:tr w:rsidR="00711189" w:rsidRPr="001D4C20" w14:paraId="7F244B6B" w14:textId="77777777" w:rsidTr="00711189">
        <w:trPr>
          <w:trHeight w:val="567"/>
        </w:trPr>
        <w:tc>
          <w:tcPr>
            <w:tcW w:w="913" w:type="pct"/>
            <w:vMerge/>
          </w:tcPr>
          <w:p w14:paraId="7F244B6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6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6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Zavedení moderních technologií pro organizaci dopravy a snížení dopravní zátěže</w:t>
            </w:r>
          </w:p>
        </w:tc>
        <w:tc>
          <w:tcPr>
            <w:tcW w:w="1176" w:type="pct"/>
            <w:vMerge/>
          </w:tcPr>
          <w:p w14:paraId="7F244B6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70" w14:textId="77777777" w:rsidTr="00711189">
        <w:trPr>
          <w:trHeight w:val="567"/>
        </w:trPr>
        <w:tc>
          <w:tcPr>
            <w:tcW w:w="913" w:type="pct"/>
            <w:vMerge/>
          </w:tcPr>
          <w:p w14:paraId="7F244B6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6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6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Efektivní využití multimodální nákladní dopravy</w:t>
            </w:r>
          </w:p>
        </w:tc>
        <w:tc>
          <w:tcPr>
            <w:tcW w:w="1176" w:type="pct"/>
            <w:vMerge/>
          </w:tcPr>
          <w:p w14:paraId="7F244B6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75" w14:textId="77777777" w:rsidTr="00711189">
        <w:trPr>
          <w:trHeight w:val="567"/>
        </w:trPr>
        <w:tc>
          <w:tcPr>
            <w:tcW w:w="913" w:type="pct"/>
            <w:vMerge/>
          </w:tcPr>
          <w:p w14:paraId="7F244B7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7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7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Zvýšení využití a dostupnosti alternativních paliv v dopravě</w:t>
            </w:r>
          </w:p>
        </w:tc>
        <w:tc>
          <w:tcPr>
            <w:tcW w:w="1176" w:type="pct"/>
            <w:vMerge/>
          </w:tcPr>
          <w:p w14:paraId="7F244B7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7B" w14:textId="77777777" w:rsidTr="00711189">
        <w:trPr>
          <w:trHeight w:val="567"/>
        </w:trPr>
        <w:tc>
          <w:tcPr>
            <w:tcW w:w="913" w:type="pct"/>
            <w:vMerge/>
          </w:tcPr>
          <w:p w14:paraId="7F244B7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</w:tcPr>
          <w:p w14:paraId="7F244B7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rozvoj udržitelné, inteligentní a intermodální celostátní, regionální a místní mobility odolné vůči změnám klimatu, včetně lepšího přístupu k síti TEN-T a přeshraniční mobility</w:t>
            </w:r>
          </w:p>
          <w:p w14:paraId="7F244B7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7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Rozvoj a zkvalitnění dopravní infrastruktury</w:t>
            </w:r>
          </w:p>
        </w:tc>
        <w:tc>
          <w:tcPr>
            <w:tcW w:w="1176" w:type="pct"/>
            <w:vMerge/>
          </w:tcPr>
          <w:p w14:paraId="7F244B7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B80" w14:textId="77777777" w:rsidTr="00711189">
        <w:trPr>
          <w:trHeight w:val="567"/>
        </w:trPr>
        <w:tc>
          <w:tcPr>
            <w:tcW w:w="913" w:type="pct"/>
            <w:vMerge/>
          </w:tcPr>
          <w:p w14:paraId="7F244B7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7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7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Zavedení moderních technologií pro organizaci dopravy a snížení dopravní zátěže</w:t>
            </w:r>
          </w:p>
        </w:tc>
        <w:tc>
          <w:tcPr>
            <w:tcW w:w="1176" w:type="pct"/>
            <w:vMerge/>
          </w:tcPr>
          <w:p w14:paraId="7F244B7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B85" w14:textId="77777777" w:rsidTr="00711189">
        <w:trPr>
          <w:trHeight w:val="1066"/>
        </w:trPr>
        <w:tc>
          <w:tcPr>
            <w:tcW w:w="913" w:type="pct"/>
            <w:vMerge/>
            <w:tcBorders>
              <w:bottom w:val="single" w:sz="4" w:space="0" w:color="auto"/>
            </w:tcBorders>
          </w:tcPr>
          <w:p w14:paraId="7F244B8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  <w:tcBorders>
              <w:bottom w:val="single" w:sz="4" w:space="0" w:color="auto"/>
            </w:tcBorders>
          </w:tcPr>
          <w:p w14:paraId="7F244B8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</w:tcPr>
          <w:p w14:paraId="7F244B8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Efektivní využití multimodální nákladní dopravy</w:t>
            </w:r>
          </w:p>
        </w:tc>
        <w:tc>
          <w:tcPr>
            <w:tcW w:w="1176" w:type="pct"/>
            <w:vMerge/>
            <w:tcBorders>
              <w:bottom w:val="single" w:sz="4" w:space="0" w:color="auto"/>
            </w:tcBorders>
          </w:tcPr>
          <w:p w14:paraId="7F244B8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B8A" w14:textId="77777777" w:rsidTr="00711189">
        <w:trPr>
          <w:trHeight w:val="1066"/>
        </w:trPr>
        <w:tc>
          <w:tcPr>
            <w:tcW w:w="913" w:type="pct"/>
            <w:vMerge/>
            <w:tcBorders>
              <w:bottom w:val="single" w:sz="4" w:space="0" w:color="auto"/>
            </w:tcBorders>
          </w:tcPr>
          <w:p w14:paraId="7F244B8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  <w:tcBorders>
              <w:bottom w:val="single" w:sz="4" w:space="0" w:color="auto"/>
            </w:tcBorders>
          </w:tcPr>
          <w:p w14:paraId="7F244B8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</w:tcPr>
          <w:p w14:paraId="7F244B8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Využívání vozidel s alternativním pohonem ve veřejné dopravě</w:t>
            </w:r>
          </w:p>
        </w:tc>
        <w:tc>
          <w:tcPr>
            <w:tcW w:w="1176" w:type="pct"/>
            <w:vMerge/>
            <w:tcBorders>
              <w:bottom w:val="single" w:sz="4" w:space="0" w:color="auto"/>
            </w:tcBorders>
          </w:tcPr>
          <w:p w14:paraId="7F244B8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B8F" w14:textId="77777777" w:rsidTr="00711189">
        <w:trPr>
          <w:trHeight w:val="567"/>
        </w:trPr>
        <w:tc>
          <w:tcPr>
            <w:tcW w:w="913" w:type="pct"/>
            <w:vMerge/>
          </w:tcPr>
          <w:p w14:paraId="7F244B8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8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8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Zvýšení využití a dostupnosti alternativních paliv v dopravě</w:t>
            </w:r>
          </w:p>
        </w:tc>
        <w:tc>
          <w:tcPr>
            <w:tcW w:w="1176" w:type="pct"/>
            <w:vMerge/>
          </w:tcPr>
          <w:p w14:paraId="7F244B8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B94" w14:textId="77777777" w:rsidTr="00711189">
        <w:trPr>
          <w:trHeight w:val="567"/>
        </w:trPr>
        <w:tc>
          <w:tcPr>
            <w:tcW w:w="913" w:type="pct"/>
            <w:vMerge/>
          </w:tcPr>
          <w:p w14:paraId="7F244B9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</w:tcPr>
          <w:p w14:paraId="7F244B9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podpora udržitelné multimodální městské mobility</w:t>
            </w:r>
          </w:p>
        </w:tc>
        <w:tc>
          <w:tcPr>
            <w:tcW w:w="1332" w:type="pct"/>
          </w:tcPr>
          <w:p w14:paraId="7F244B9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Rozvoj a zlepšení integrace dopravy</w:t>
            </w:r>
          </w:p>
        </w:tc>
        <w:tc>
          <w:tcPr>
            <w:tcW w:w="1176" w:type="pct"/>
            <w:vMerge/>
          </w:tcPr>
          <w:p w14:paraId="7F244B9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B99" w14:textId="77777777" w:rsidTr="00711189">
        <w:trPr>
          <w:trHeight w:val="567"/>
        </w:trPr>
        <w:tc>
          <w:tcPr>
            <w:tcW w:w="913" w:type="pct"/>
            <w:vMerge/>
          </w:tcPr>
          <w:p w14:paraId="7F244B9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9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9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Využívání vozidel s alternativním pohonem ve veřejné dopravě</w:t>
            </w:r>
          </w:p>
        </w:tc>
        <w:tc>
          <w:tcPr>
            <w:tcW w:w="1176" w:type="pct"/>
            <w:vMerge/>
          </w:tcPr>
          <w:p w14:paraId="7F244B9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B9E" w14:textId="77777777" w:rsidTr="00711189">
        <w:trPr>
          <w:trHeight w:val="567"/>
        </w:trPr>
        <w:tc>
          <w:tcPr>
            <w:tcW w:w="913" w:type="pct"/>
            <w:vMerge/>
          </w:tcPr>
          <w:p w14:paraId="7F244B9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9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9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 Zvýšení využití a dostupnosti alternativních paliv v dopravě</w:t>
            </w:r>
          </w:p>
        </w:tc>
        <w:tc>
          <w:tcPr>
            <w:tcW w:w="1176" w:type="pct"/>
            <w:vMerge/>
          </w:tcPr>
          <w:p w14:paraId="7F244B9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BA3" w14:textId="77777777" w:rsidTr="00711189">
        <w:trPr>
          <w:trHeight w:val="567"/>
        </w:trPr>
        <w:tc>
          <w:tcPr>
            <w:tcW w:w="913" w:type="pct"/>
            <w:vMerge/>
          </w:tcPr>
          <w:p w14:paraId="7F244B9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A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A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Rozvoj a zkvalitnění dopravní infrastruktury</w:t>
            </w:r>
          </w:p>
        </w:tc>
        <w:tc>
          <w:tcPr>
            <w:tcW w:w="1176" w:type="pct"/>
            <w:vMerge/>
          </w:tcPr>
          <w:p w14:paraId="7F244BA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BA8" w14:textId="77777777" w:rsidTr="00711189">
        <w:trPr>
          <w:trHeight w:val="145"/>
        </w:trPr>
        <w:tc>
          <w:tcPr>
            <w:tcW w:w="913" w:type="pct"/>
            <w:vMerge/>
          </w:tcPr>
          <w:p w14:paraId="7F244BA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A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A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Rozvoj bezmotorové dopravy</w:t>
            </w:r>
          </w:p>
        </w:tc>
        <w:tc>
          <w:tcPr>
            <w:tcW w:w="1176" w:type="pct"/>
            <w:vMerge/>
          </w:tcPr>
          <w:p w14:paraId="7F244BA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BAE" w14:textId="77777777" w:rsidTr="00711189">
        <w:trPr>
          <w:trHeight w:val="567"/>
        </w:trPr>
        <w:tc>
          <w:tcPr>
            <w:tcW w:w="913" w:type="pct"/>
            <w:vMerge w:val="restart"/>
          </w:tcPr>
          <w:p w14:paraId="7F244BA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CP4: Sociálnější Evropa</w:t>
            </w:r>
          </w:p>
        </w:tc>
        <w:tc>
          <w:tcPr>
            <w:tcW w:w="1579" w:type="pct"/>
          </w:tcPr>
          <w:p w14:paraId="7F244BA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zlepšit přístup k zaměstnání pro všechny uchazeče o zaměstnání, zejména mladé lidi a dlouhodobě nezaměstnané a neaktivní osoby, podporovat samostatně výdělečné činnosti a sociální ekonomiku</w:t>
            </w:r>
          </w:p>
        </w:tc>
        <w:tc>
          <w:tcPr>
            <w:tcW w:w="1332" w:type="pct"/>
          </w:tcPr>
          <w:p w14:paraId="7F244BA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 xml:space="preserve">Zvýšení účasti znevýhodněných skupin na trhu práce </w:t>
            </w:r>
          </w:p>
        </w:tc>
        <w:tc>
          <w:tcPr>
            <w:tcW w:w="1176" w:type="pct"/>
            <w:vMerge w:val="restart"/>
          </w:tcPr>
          <w:p w14:paraId="7F244BA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Trh práce a zaměstnanost</w:t>
            </w:r>
          </w:p>
          <w:p w14:paraId="7F244BA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B3" w14:textId="77777777" w:rsidTr="00711189">
        <w:trPr>
          <w:trHeight w:val="567"/>
        </w:trPr>
        <w:tc>
          <w:tcPr>
            <w:tcW w:w="913" w:type="pct"/>
            <w:vMerge/>
          </w:tcPr>
          <w:p w14:paraId="7F244BA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</w:tcPr>
          <w:p w14:paraId="7F244BB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modernizovat instituce a služby trhu práce s cílem posoudit a předvídat potřeby dovedností a zajistit včasnou, individuálně uzpůsobenou pomoc i podporu při vytváření souladu mezi nabídkou a poptávkou na trhu práce, jakož i během přechodů mezi zaměstnáními a během mobility</w:t>
            </w:r>
          </w:p>
        </w:tc>
        <w:tc>
          <w:tcPr>
            <w:tcW w:w="1332" w:type="pct"/>
          </w:tcPr>
          <w:p w14:paraId="7F244BB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Modernizace institucí na trhu práce</w:t>
            </w:r>
          </w:p>
        </w:tc>
        <w:tc>
          <w:tcPr>
            <w:tcW w:w="1176" w:type="pct"/>
            <w:vMerge/>
          </w:tcPr>
          <w:p w14:paraId="7F244BB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B8" w14:textId="77777777" w:rsidTr="00711189">
        <w:trPr>
          <w:trHeight w:val="567"/>
        </w:trPr>
        <w:tc>
          <w:tcPr>
            <w:tcW w:w="913" w:type="pct"/>
            <w:vMerge/>
          </w:tcPr>
          <w:p w14:paraId="7F244BB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B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B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Podpora a využití pracovní mobility</w:t>
            </w:r>
          </w:p>
        </w:tc>
        <w:tc>
          <w:tcPr>
            <w:tcW w:w="1176" w:type="pct"/>
            <w:vMerge/>
          </w:tcPr>
          <w:p w14:paraId="7F244BB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BE" w14:textId="77777777" w:rsidTr="00711189">
        <w:trPr>
          <w:trHeight w:val="567"/>
        </w:trPr>
        <w:tc>
          <w:tcPr>
            <w:tcW w:w="913" w:type="pct"/>
            <w:vMerge/>
          </w:tcPr>
          <w:p w14:paraId="7F244BB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</w:tcPr>
          <w:p w14:paraId="7F244BB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 xml:space="preserve">prosazovat účast žen na trhu práce, lepší rovnováhu mezi prací a osobním životem – včetně přístupu k péči o děti, zdravého a přiměřeného pracovního prostředí s ohledem na zdravotní rizika a přizpůsobení pracovníků, </w:t>
            </w:r>
            <w:r w:rsidRPr="001D4C20">
              <w:rPr>
                <w:rFonts w:ascii="Arial" w:hAnsi="Arial" w:cs="Arial"/>
                <w:sz w:val="22"/>
                <w:szCs w:val="22"/>
              </w:rPr>
              <w:lastRenderedPageBreak/>
              <w:t xml:space="preserve">podniků a podnikatelů změnám – a aktivní a zdravé stárnutí; </w:t>
            </w:r>
          </w:p>
          <w:p w14:paraId="7F244BB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B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lastRenderedPageBreak/>
              <w:t xml:space="preserve">Podpora rovných příležitostí a slaďování pracovního a osobního života </w:t>
            </w:r>
          </w:p>
        </w:tc>
        <w:tc>
          <w:tcPr>
            <w:tcW w:w="1176" w:type="pct"/>
            <w:vMerge/>
          </w:tcPr>
          <w:p w14:paraId="7F244BB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C3" w14:textId="77777777" w:rsidTr="00711189">
        <w:trPr>
          <w:trHeight w:val="567"/>
        </w:trPr>
        <w:tc>
          <w:tcPr>
            <w:tcW w:w="913" w:type="pct"/>
            <w:vMerge/>
          </w:tcPr>
          <w:p w14:paraId="7F244BB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C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C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Fungující systém dalšího profesního vzdělávání</w:t>
            </w:r>
          </w:p>
        </w:tc>
        <w:tc>
          <w:tcPr>
            <w:tcW w:w="1176" w:type="pct"/>
            <w:vMerge/>
          </w:tcPr>
          <w:p w14:paraId="7F244BC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CC" w14:textId="77777777" w:rsidTr="00711189">
        <w:trPr>
          <w:trHeight w:val="567"/>
        </w:trPr>
        <w:tc>
          <w:tcPr>
            <w:tcW w:w="913" w:type="pct"/>
            <w:vMerge/>
          </w:tcPr>
          <w:p w14:paraId="7F244BC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</w:tcPr>
          <w:p w14:paraId="7F244BC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zvýšit kvalitu, účinnost a relevantnost systémů vzdělávání a odborné přípravy na trhu práce, aby se podpořilo získávání klíčových kompetencí včetně digitálních dovedností</w:t>
            </w:r>
          </w:p>
          <w:p w14:paraId="7F244BC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C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  <w:p w14:paraId="7F244BC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Zvýšení kompetencí a kvality pracovníků ve vzdělávání</w:t>
            </w:r>
          </w:p>
        </w:tc>
        <w:tc>
          <w:tcPr>
            <w:tcW w:w="1176" w:type="pct"/>
            <w:vMerge w:val="restart"/>
          </w:tcPr>
          <w:p w14:paraId="7F244BC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Vzdělávání</w:t>
            </w:r>
          </w:p>
          <w:p w14:paraId="7F244BC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244BC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D1" w14:textId="77777777" w:rsidTr="00711189">
        <w:trPr>
          <w:trHeight w:val="567"/>
        </w:trPr>
        <w:tc>
          <w:tcPr>
            <w:tcW w:w="913" w:type="pct"/>
            <w:vMerge/>
          </w:tcPr>
          <w:p w14:paraId="7F244BC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C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CF" w14:textId="77777777" w:rsidR="00711189" w:rsidRPr="001D4C20" w:rsidDel="0001797C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Zlepšení vzdělávacího systému s ohledem na moderní kompetence a potřeby trhu práce, mimo jiné s ohledem na digitalizaci průmyslu a společnosti</w:t>
            </w:r>
          </w:p>
        </w:tc>
        <w:tc>
          <w:tcPr>
            <w:tcW w:w="1176" w:type="pct"/>
            <w:vMerge/>
          </w:tcPr>
          <w:p w14:paraId="7F244BD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D6" w14:textId="77777777" w:rsidTr="00711189">
        <w:trPr>
          <w:trHeight w:val="4704"/>
        </w:trPr>
        <w:tc>
          <w:tcPr>
            <w:tcW w:w="913" w:type="pct"/>
            <w:vMerge/>
          </w:tcPr>
          <w:p w14:paraId="7F244BD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  <w:tcBorders>
              <w:bottom w:val="single" w:sz="4" w:space="0" w:color="auto"/>
            </w:tcBorders>
          </w:tcPr>
          <w:p w14:paraId="7F244BD3" w14:textId="77777777" w:rsidR="00711189" w:rsidRPr="001D4C20" w:rsidRDefault="00711189" w:rsidP="00711189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podporovat rovný přístup ke kvalitnímu a inkluzivnímu vzdělávání a odborné přípravě a jejich úspěšnému ukončení, a to zejména pro znevýhodněné skupiny, od předškolního vzdělávání a péče, přes všeobecné vzdělávání a odborné vzdělávání a přípravu až po terciární úroveň, jakož i vzdělávání a studium dospělých, včetně usnadnění vzdělávací mobility pro všechny;</w:t>
            </w:r>
          </w:p>
        </w:tc>
        <w:tc>
          <w:tcPr>
            <w:tcW w:w="1332" w:type="pct"/>
            <w:tcBorders>
              <w:bottom w:val="single" w:sz="4" w:space="0" w:color="auto"/>
            </w:tcBorders>
          </w:tcPr>
          <w:p w14:paraId="7F244BD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Zvýšení kompetencí a kvality pracovníků ve vzdělávání</w:t>
            </w:r>
          </w:p>
        </w:tc>
        <w:tc>
          <w:tcPr>
            <w:tcW w:w="1176" w:type="pct"/>
            <w:vMerge/>
            <w:tcBorders>
              <w:bottom w:val="single" w:sz="4" w:space="0" w:color="auto"/>
            </w:tcBorders>
          </w:tcPr>
          <w:p w14:paraId="7F244BD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BDB" w14:textId="77777777" w:rsidTr="00711189">
        <w:trPr>
          <w:trHeight w:val="567"/>
        </w:trPr>
        <w:tc>
          <w:tcPr>
            <w:tcW w:w="913" w:type="pct"/>
            <w:vMerge/>
          </w:tcPr>
          <w:p w14:paraId="7F244BD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D8" w14:textId="77777777" w:rsidR="00711189" w:rsidRPr="001D4C20" w:rsidRDefault="00711189" w:rsidP="00711189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D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Zajištění rovného přístupu ke vzdělání</w:t>
            </w:r>
          </w:p>
        </w:tc>
        <w:tc>
          <w:tcPr>
            <w:tcW w:w="1176" w:type="pct"/>
            <w:vMerge/>
          </w:tcPr>
          <w:p w14:paraId="7F244BD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BE0" w14:textId="77777777" w:rsidTr="00711189">
        <w:trPr>
          <w:trHeight w:val="3695"/>
        </w:trPr>
        <w:tc>
          <w:tcPr>
            <w:tcW w:w="913" w:type="pct"/>
            <w:vMerge/>
          </w:tcPr>
          <w:p w14:paraId="7F244BD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</w:tcPr>
          <w:p w14:paraId="7F244BDD" w14:textId="77777777" w:rsidR="00711189" w:rsidRPr="001D4C20" w:rsidRDefault="00711189" w:rsidP="00711189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 xml:space="preserve">posílit aktivní začleňování občanů, a podpořit tak jejich rovné příležitosti a aktivní účast a nabídnout jim lepší zaměstnatelnost; </w:t>
            </w:r>
          </w:p>
        </w:tc>
        <w:tc>
          <w:tcPr>
            <w:tcW w:w="1332" w:type="pct"/>
          </w:tcPr>
          <w:p w14:paraId="7F244BD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Klientsky orientované sociální služby</w:t>
            </w:r>
          </w:p>
        </w:tc>
        <w:tc>
          <w:tcPr>
            <w:tcW w:w="1176" w:type="pct"/>
            <w:vMerge w:val="restart"/>
          </w:tcPr>
          <w:p w14:paraId="7F244BD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Sociální začleňování, boj s chudobou a péče o zdraví</w:t>
            </w:r>
          </w:p>
        </w:tc>
      </w:tr>
      <w:tr w:rsidR="00711189" w:rsidRPr="001D4C20" w14:paraId="7F244BE5" w14:textId="77777777" w:rsidTr="00711189">
        <w:trPr>
          <w:trHeight w:val="1469"/>
        </w:trPr>
        <w:tc>
          <w:tcPr>
            <w:tcW w:w="913" w:type="pct"/>
            <w:vMerge/>
          </w:tcPr>
          <w:p w14:paraId="7F244BE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</w:tcPr>
          <w:p w14:paraId="7F244BE2" w14:textId="77777777" w:rsidR="00711189" w:rsidRPr="001D4C20" w:rsidDel="00236B49" w:rsidRDefault="00711189" w:rsidP="00711189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 xml:space="preserve">podporovat sociálně-ekonomickou integraci státních příslušníků třetích zemí a </w:t>
            </w:r>
            <w:proofErr w:type="spellStart"/>
            <w:r w:rsidRPr="001D4C20">
              <w:rPr>
                <w:rFonts w:ascii="Arial" w:hAnsi="Arial" w:cs="Arial"/>
                <w:sz w:val="22"/>
                <w:szCs w:val="22"/>
              </w:rPr>
              <w:t>marginalizovaných</w:t>
            </w:r>
            <w:proofErr w:type="spellEnd"/>
            <w:r w:rsidRPr="001D4C20">
              <w:rPr>
                <w:rFonts w:ascii="Arial" w:hAnsi="Arial" w:cs="Arial"/>
                <w:sz w:val="22"/>
                <w:szCs w:val="22"/>
              </w:rPr>
              <w:t xml:space="preserve"> komunit, jako jsou Romové; </w:t>
            </w:r>
          </w:p>
        </w:tc>
        <w:tc>
          <w:tcPr>
            <w:tcW w:w="1332" w:type="pct"/>
          </w:tcPr>
          <w:p w14:paraId="7F244BE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Sociální začleňování</w:t>
            </w:r>
          </w:p>
        </w:tc>
        <w:tc>
          <w:tcPr>
            <w:tcW w:w="1176" w:type="pct"/>
            <w:vMerge/>
          </w:tcPr>
          <w:p w14:paraId="7F244BE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EA" w14:textId="77777777" w:rsidTr="00711189">
        <w:trPr>
          <w:trHeight w:val="883"/>
        </w:trPr>
        <w:tc>
          <w:tcPr>
            <w:tcW w:w="913" w:type="pct"/>
            <w:vMerge/>
          </w:tcPr>
          <w:p w14:paraId="7F244BE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</w:tcPr>
          <w:p w14:paraId="7F244BE7" w14:textId="77777777" w:rsidR="00711189" w:rsidRPr="001D4C20" w:rsidRDefault="00711189" w:rsidP="00711189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zvyšovat rovný a včasný přístup ke kvalitním, udržitelným a cenově dostupným službám; modernizovat systémy sociální ochrany včetně podpory přístupu k sociální ochraně;</w:t>
            </w:r>
          </w:p>
        </w:tc>
        <w:tc>
          <w:tcPr>
            <w:tcW w:w="1332" w:type="pct"/>
          </w:tcPr>
          <w:p w14:paraId="7F244BE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Klientsky orientované sociální služby</w:t>
            </w:r>
          </w:p>
        </w:tc>
        <w:tc>
          <w:tcPr>
            <w:tcW w:w="1176" w:type="pct"/>
            <w:vMerge/>
          </w:tcPr>
          <w:p w14:paraId="7F244BE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EF" w14:textId="77777777" w:rsidTr="00711189">
        <w:trPr>
          <w:trHeight w:val="883"/>
        </w:trPr>
        <w:tc>
          <w:tcPr>
            <w:tcW w:w="913" w:type="pct"/>
            <w:vMerge/>
          </w:tcPr>
          <w:p w14:paraId="7F244BE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EC" w14:textId="77777777" w:rsidR="00711189" w:rsidRPr="001D4C20" w:rsidRDefault="00711189" w:rsidP="00711189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E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Sociální bydlení</w:t>
            </w:r>
          </w:p>
        </w:tc>
        <w:tc>
          <w:tcPr>
            <w:tcW w:w="1176" w:type="pct"/>
            <w:vMerge/>
          </w:tcPr>
          <w:p w14:paraId="7F244BE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F4" w14:textId="77777777" w:rsidTr="00711189">
        <w:trPr>
          <w:trHeight w:val="1150"/>
        </w:trPr>
        <w:tc>
          <w:tcPr>
            <w:tcW w:w="913" w:type="pct"/>
            <w:vMerge/>
          </w:tcPr>
          <w:p w14:paraId="7F244BF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</w:tcPr>
          <w:p w14:paraId="7F244BF1" w14:textId="77777777" w:rsidR="00711189" w:rsidRPr="001D4C20" w:rsidRDefault="00711189" w:rsidP="00711189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zlepšit dostupnost, účinnost a odolnost systémů zdravotní péče a služeb dlouhodobé zdravotní péče;</w:t>
            </w:r>
          </w:p>
        </w:tc>
        <w:tc>
          <w:tcPr>
            <w:tcW w:w="1332" w:type="pct"/>
          </w:tcPr>
          <w:p w14:paraId="7F244BF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Kvalitní a dostupná zdravotní péče</w:t>
            </w:r>
          </w:p>
        </w:tc>
        <w:tc>
          <w:tcPr>
            <w:tcW w:w="1176" w:type="pct"/>
            <w:vMerge/>
          </w:tcPr>
          <w:p w14:paraId="7F244BF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F9" w14:textId="77777777" w:rsidTr="00711189">
        <w:trPr>
          <w:trHeight w:val="550"/>
        </w:trPr>
        <w:tc>
          <w:tcPr>
            <w:tcW w:w="913" w:type="pct"/>
            <w:vMerge/>
          </w:tcPr>
          <w:p w14:paraId="7F244BF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</w:tcPr>
          <w:p w14:paraId="7F244BF6" w14:textId="77777777" w:rsidR="00711189" w:rsidRPr="001D4C20" w:rsidRDefault="00711189" w:rsidP="00711189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 xml:space="preserve">podporovat sociální začlenění osob ohrožených chudobou nebo sociálním vyloučením včetně nejchudších osob a dětí; </w:t>
            </w:r>
          </w:p>
        </w:tc>
        <w:tc>
          <w:tcPr>
            <w:tcW w:w="1332" w:type="pct"/>
          </w:tcPr>
          <w:p w14:paraId="7F244BF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Sociální začleňování</w:t>
            </w:r>
          </w:p>
        </w:tc>
        <w:tc>
          <w:tcPr>
            <w:tcW w:w="1176" w:type="pct"/>
            <w:vMerge/>
          </w:tcPr>
          <w:p w14:paraId="7F244BF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BFE" w14:textId="77777777" w:rsidTr="00711189">
        <w:trPr>
          <w:trHeight w:val="550"/>
        </w:trPr>
        <w:tc>
          <w:tcPr>
            <w:tcW w:w="913" w:type="pct"/>
            <w:vMerge/>
          </w:tcPr>
          <w:p w14:paraId="7F244BF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BFB" w14:textId="77777777" w:rsidR="00711189" w:rsidRPr="001D4C20" w:rsidRDefault="00711189" w:rsidP="00711189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BF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Sociální bydlení</w:t>
            </w:r>
          </w:p>
        </w:tc>
        <w:tc>
          <w:tcPr>
            <w:tcW w:w="1176" w:type="pct"/>
            <w:vMerge/>
          </w:tcPr>
          <w:p w14:paraId="7F244BF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03" w14:textId="77777777" w:rsidTr="00711189">
        <w:trPr>
          <w:trHeight w:val="673"/>
        </w:trPr>
        <w:tc>
          <w:tcPr>
            <w:tcW w:w="913" w:type="pct"/>
            <w:vMerge/>
          </w:tcPr>
          <w:p w14:paraId="7F244BF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</w:tcPr>
          <w:p w14:paraId="7F244C00" w14:textId="77777777" w:rsidR="00711189" w:rsidRPr="001D4C20" w:rsidRDefault="00711189" w:rsidP="00711189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řešit materiální deprivaci poskytnutím potravinové a/nebo základní materiální pomoci nejchudším osobám, včetně doprovodných opatření.</w:t>
            </w:r>
          </w:p>
        </w:tc>
        <w:tc>
          <w:tcPr>
            <w:tcW w:w="1332" w:type="pct"/>
          </w:tcPr>
          <w:p w14:paraId="7F244C0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Sociální bydlení</w:t>
            </w:r>
          </w:p>
        </w:tc>
        <w:tc>
          <w:tcPr>
            <w:tcW w:w="1176" w:type="pct"/>
            <w:vMerge/>
          </w:tcPr>
          <w:p w14:paraId="7F244C0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08" w14:textId="77777777" w:rsidTr="00711189">
        <w:trPr>
          <w:trHeight w:val="672"/>
        </w:trPr>
        <w:tc>
          <w:tcPr>
            <w:tcW w:w="913" w:type="pct"/>
            <w:vMerge/>
          </w:tcPr>
          <w:p w14:paraId="7F244C0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05" w14:textId="77777777" w:rsidR="00711189" w:rsidRPr="001D4C20" w:rsidRDefault="00711189" w:rsidP="00711189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0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Sociální začleňování</w:t>
            </w:r>
          </w:p>
        </w:tc>
        <w:tc>
          <w:tcPr>
            <w:tcW w:w="1176" w:type="pct"/>
            <w:vMerge/>
          </w:tcPr>
          <w:p w14:paraId="7F244C0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0A" w14:textId="77777777" w:rsidTr="007A78EF">
        <w:trPr>
          <w:trHeight w:val="448"/>
        </w:trPr>
        <w:tc>
          <w:tcPr>
            <w:tcW w:w="5000" w:type="pct"/>
            <w:gridSpan w:val="4"/>
          </w:tcPr>
          <w:p w14:paraId="7F244C0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Níže uvedený výčet je průnikem specifických cílů politik pro CP5 a oblastí z CP1 až CP4, </w:t>
            </w:r>
            <w:r w:rsidRPr="001D4C20">
              <w:rPr>
                <w:rFonts w:ascii="Arial" w:hAnsi="Arial" w:cs="Arial"/>
                <w:b/>
                <w:sz w:val="22"/>
                <w:szCs w:val="22"/>
              </w:rPr>
              <w:t xml:space="preserve">kde lze vidět vysoký regionální charakter oblastí. Níže uvedený výčet </w:t>
            </w:r>
            <w:r w:rsidRPr="001D4C20">
              <w:rPr>
                <w:rFonts w:ascii="Arial" w:hAnsi="Arial" w:cs="Arial"/>
                <w:b/>
                <w:bCs/>
                <w:sz w:val="22"/>
                <w:szCs w:val="22"/>
              </w:rPr>
              <w:t>je pouze indikativní.</w:t>
            </w:r>
          </w:p>
        </w:tc>
      </w:tr>
      <w:tr w:rsidR="00711189" w:rsidRPr="001D4C20" w14:paraId="7F244C0F" w14:textId="77777777" w:rsidTr="00711189">
        <w:trPr>
          <w:trHeight w:val="448"/>
        </w:trPr>
        <w:tc>
          <w:tcPr>
            <w:tcW w:w="913" w:type="pct"/>
            <w:vMerge w:val="restart"/>
          </w:tcPr>
          <w:p w14:paraId="7F244C0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CP5: Evropa bližší občanům</w:t>
            </w:r>
            <w:r w:rsidRPr="001D4C2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579" w:type="pct"/>
            <w:vMerge w:val="restart"/>
          </w:tcPr>
          <w:p w14:paraId="7F244C0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 xml:space="preserve">podpora </w:t>
            </w:r>
            <w:r w:rsidRPr="001D4C20">
              <w:rPr>
                <w:rFonts w:ascii="Arial" w:hAnsi="Arial" w:cs="Arial"/>
                <w:sz w:val="22"/>
                <w:szCs w:val="22"/>
                <w:u w:val="single"/>
              </w:rPr>
              <w:t>integrovaného</w:t>
            </w:r>
            <w:r w:rsidRPr="001D4C20">
              <w:rPr>
                <w:rFonts w:ascii="Arial" w:hAnsi="Arial" w:cs="Arial"/>
                <w:sz w:val="22"/>
                <w:szCs w:val="22"/>
              </w:rPr>
              <w:t xml:space="preserve"> sociálního, hospodářského a environmentálního rozvoje, kulturního dědictví a bezpečnosti v </w:t>
            </w:r>
            <w:r w:rsidRPr="001D4C20">
              <w:rPr>
                <w:rFonts w:ascii="Arial" w:hAnsi="Arial" w:cs="Arial"/>
                <w:b/>
                <w:sz w:val="22"/>
                <w:szCs w:val="22"/>
              </w:rPr>
              <w:t>městských</w:t>
            </w:r>
            <w:r w:rsidRPr="001D4C20">
              <w:rPr>
                <w:rFonts w:ascii="Arial" w:hAnsi="Arial" w:cs="Arial"/>
                <w:sz w:val="22"/>
                <w:szCs w:val="22"/>
              </w:rPr>
              <w:t xml:space="preserve"> oblastech</w:t>
            </w:r>
          </w:p>
        </w:tc>
        <w:tc>
          <w:tcPr>
            <w:tcW w:w="1332" w:type="pct"/>
          </w:tcPr>
          <w:p w14:paraId="7F244C0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Rozvoj a zlepšení integrace dopravy</w:t>
            </w:r>
          </w:p>
        </w:tc>
        <w:tc>
          <w:tcPr>
            <w:tcW w:w="1176" w:type="pct"/>
            <w:vMerge w:val="restart"/>
          </w:tcPr>
          <w:p w14:paraId="7F244C0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Doprava</w:t>
            </w:r>
          </w:p>
        </w:tc>
      </w:tr>
      <w:tr w:rsidR="00711189" w:rsidRPr="001D4C20" w14:paraId="7F244C14" w14:textId="77777777" w:rsidTr="00711189">
        <w:trPr>
          <w:trHeight w:val="235"/>
        </w:trPr>
        <w:tc>
          <w:tcPr>
            <w:tcW w:w="913" w:type="pct"/>
            <w:vMerge/>
          </w:tcPr>
          <w:p w14:paraId="7F244C1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1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1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Zavedení moderních technologií pro organizaci dopravy a snížení dopravní zátěže</w:t>
            </w:r>
          </w:p>
        </w:tc>
        <w:tc>
          <w:tcPr>
            <w:tcW w:w="1176" w:type="pct"/>
            <w:vMerge/>
          </w:tcPr>
          <w:p w14:paraId="7F244C1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19" w14:textId="77777777" w:rsidTr="00711189">
        <w:trPr>
          <w:trHeight w:val="594"/>
        </w:trPr>
        <w:tc>
          <w:tcPr>
            <w:tcW w:w="913" w:type="pct"/>
            <w:vMerge/>
          </w:tcPr>
          <w:p w14:paraId="7F244C1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1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1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Zvýšení využití a dostupnosti alternativních paliv v dopravě</w:t>
            </w:r>
          </w:p>
        </w:tc>
        <w:tc>
          <w:tcPr>
            <w:tcW w:w="1176" w:type="pct"/>
            <w:vMerge/>
          </w:tcPr>
          <w:p w14:paraId="7F244C1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1E" w14:textId="77777777" w:rsidTr="00711189">
        <w:trPr>
          <w:trHeight w:val="670"/>
        </w:trPr>
        <w:tc>
          <w:tcPr>
            <w:tcW w:w="913" w:type="pct"/>
            <w:vMerge/>
          </w:tcPr>
          <w:p w14:paraId="7F244C1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1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1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Využívání vozidel s alternativním pohonem ve veřejné dopravě</w:t>
            </w:r>
          </w:p>
        </w:tc>
        <w:tc>
          <w:tcPr>
            <w:tcW w:w="1176" w:type="pct"/>
            <w:vMerge/>
          </w:tcPr>
          <w:p w14:paraId="7F244C1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24" w14:textId="77777777" w:rsidTr="00711189">
        <w:trPr>
          <w:trHeight w:val="670"/>
        </w:trPr>
        <w:tc>
          <w:tcPr>
            <w:tcW w:w="913" w:type="pct"/>
            <w:vMerge/>
          </w:tcPr>
          <w:p w14:paraId="7F244C1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2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2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Sociální začleňování</w:t>
            </w:r>
          </w:p>
        </w:tc>
        <w:tc>
          <w:tcPr>
            <w:tcW w:w="1176" w:type="pct"/>
            <w:vMerge w:val="restart"/>
          </w:tcPr>
          <w:p w14:paraId="7F244C2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 xml:space="preserve">Sociální začleňování, boj </w:t>
            </w:r>
            <w:r w:rsidRPr="001D4C20">
              <w:rPr>
                <w:rFonts w:ascii="Arial" w:hAnsi="Arial" w:cs="Arial"/>
                <w:b/>
                <w:sz w:val="22"/>
                <w:szCs w:val="22"/>
              </w:rPr>
              <w:lastRenderedPageBreak/>
              <w:t>s chudobou a péče o zdraví</w:t>
            </w:r>
          </w:p>
          <w:p w14:paraId="7F244C2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29" w14:textId="77777777" w:rsidTr="00711189">
        <w:trPr>
          <w:trHeight w:val="670"/>
        </w:trPr>
        <w:tc>
          <w:tcPr>
            <w:tcW w:w="913" w:type="pct"/>
            <w:vMerge/>
          </w:tcPr>
          <w:p w14:paraId="7F244C2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2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2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Sociální bydlení</w:t>
            </w:r>
          </w:p>
        </w:tc>
        <w:tc>
          <w:tcPr>
            <w:tcW w:w="1176" w:type="pct"/>
            <w:vMerge/>
          </w:tcPr>
          <w:p w14:paraId="7F244C2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2E" w14:textId="77777777" w:rsidTr="00711189">
        <w:trPr>
          <w:trHeight w:val="670"/>
        </w:trPr>
        <w:tc>
          <w:tcPr>
            <w:tcW w:w="913" w:type="pct"/>
            <w:vMerge/>
          </w:tcPr>
          <w:p w14:paraId="7F244C2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2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2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Kvalitní a dostupná zdravotní péče</w:t>
            </w:r>
          </w:p>
        </w:tc>
        <w:tc>
          <w:tcPr>
            <w:tcW w:w="1176" w:type="pct"/>
            <w:vMerge/>
          </w:tcPr>
          <w:p w14:paraId="7F244C2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1D4C20" w14:paraId="7F244C34" w14:textId="77777777" w:rsidTr="00711189">
        <w:trPr>
          <w:trHeight w:val="670"/>
        </w:trPr>
        <w:tc>
          <w:tcPr>
            <w:tcW w:w="913" w:type="pct"/>
            <w:vMerge/>
          </w:tcPr>
          <w:p w14:paraId="7F244C2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3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3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Podpora a využití pracovní mobility</w:t>
            </w:r>
          </w:p>
        </w:tc>
        <w:tc>
          <w:tcPr>
            <w:tcW w:w="1176" w:type="pct"/>
            <w:vMerge w:val="restart"/>
          </w:tcPr>
          <w:p w14:paraId="7F244C3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Trh práce a zaměstnanost</w:t>
            </w:r>
          </w:p>
          <w:p w14:paraId="7F244C3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39" w14:textId="77777777" w:rsidTr="00711189">
        <w:trPr>
          <w:trHeight w:val="237"/>
        </w:trPr>
        <w:tc>
          <w:tcPr>
            <w:tcW w:w="913" w:type="pct"/>
            <w:vMerge/>
          </w:tcPr>
          <w:p w14:paraId="7F244C3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3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3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Fungující systém dalšího profesního vzdělávání</w:t>
            </w:r>
          </w:p>
        </w:tc>
        <w:tc>
          <w:tcPr>
            <w:tcW w:w="1176" w:type="pct"/>
            <w:vMerge/>
          </w:tcPr>
          <w:p w14:paraId="7F244C3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3E" w14:textId="77777777" w:rsidTr="00711189">
        <w:trPr>
          <w:trHeight w:val="200"/>
        </w:trPr>
        <w:tc>
          <w:tcPr>
            <w:tcW w:w="913" w:type="pct"/>
            <w:vMerge/>
          </w:tcPr>
          <w:p w14:paraId="7F244C3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3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3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Zajištění rovného přístupu ke vzdělání</w:t>
            </w:r>
          </w:p>
        </w:tc>
        <w:tc>
          <w:tcPr>
            <w:tcW w:w="1176" w:type="pct"/>
          </w:tcPr>
          <w:p w14:paraId="7F244C3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Vzdělávání</w:t>
            </w:r>
          </w:p>
        </w:tc>
      </w:tr>
      <w:tr w:rsidR="00711189" w:rsidRPr="001D4C20" w14:paraId="7F244C44" w14:textId="77777777" w:rsidTr="00711189">
        <w:trPr>
          <w:trHeight w:val="200"/>
        </w:trPr>
        <w:tc>
          <w:tcPr>
            <w:tcW w:w="913" w:type="pct"/>
            <w:vMerge/>
          </w:tcPr>
          <w:p w14:paraId="7F244C3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4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4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Elektronizace výkonu veřejné správy a zavedení související infrastruktury</w:t>
            </w:r>
          </w:p>
        </w:tc>
        <w:tc>
          <w:tcPr>
            <w:tcW w:w="1176" w:type="pct"/>
            <w:vMerge w:val="restart"/>
          </w:tcPr>
          <w:p w14:paraId="7F244C4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Veřejná správa a bezpečnost</w:t>
            </w:r>
          </w:p>
          <w:p w14:paraId="7F244C4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49" w14:textId="77777777" w:rsidTr="00711189">
        <w:trPr>
          <w:trHeight w:val="200"/>
        </w:trPr>
        <w:tc>
          <w:tcPr>
            <w:tcW w:w="913" w:type="pct"/>
            <w:vMerge/>
          </w:tcPr>
          <w:p w14:paraId="7F244C4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4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4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Ochrana obyvatelstva</w:t>
            </w:r>
          </w:p>
        </w:tc>
        <w:tc>
          <w:tcPr>
            <w:tcW w:w="1176" w:type="pct"/>
            <w:vMerge/>
          </w:tcPr>
          <w:p w14:paraId="7F244C4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4E" w14:textId="77777777" w:rsidTr="00711189">
        <w:trPr>
          <w:trHeight w:val="460"/>
        </w:trPr>
        <w:tc>
          <w:tcPr>
            <w:tcW w:w="913" w:type="pct"/>
            <w:vMerge/>
          </w:tcPr>
          <w:p w14:paraId="7F244C4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4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4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iCs/>
                <w:sz w:val="22"/>
                <w:szCs w:val="22"/>
              </w:rPr>
              <w:t>Zlepšení inovační schopnosti MSP</w:t>
            </w:r>
          </w:p>
        </w:tc>
        <w:tc>
          <w:tcPr>
            <w:tcW w:w="1176" w:type="pct"/>
          </w:tcPr>
          <w:p w14:paraId="7F244C4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Podpora podnikání a průmyslu</w:t>
            </w:r>
          </w:p>
        </w:tc>
      </w:tr>
      <w:tr w:rsidR="00711189" w:rsidRPr="001D4C20" w14:paraId="7F244C53" w14:textId="77777777" w:rsidTr="00711189">
        <w:trPr>
          <w:trHeight w:val="460"/>
        </w:trPr>
        <w:tc>
          <w:tcPr>
            <w:tcW w:w="913" w:type="pct"/>
            <w:vMerge/>
          </w:tcPr>
          <w:p w14:paraId="7F244C4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5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5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Ochrana, rozvoj a podpora kulturního dědictví</w:t>
            </w:r>
          </w:p>
        </w:tc>
        <w:tc>
          <w:tcPr>
            <w:tcW w:w="1176" w:type="pct"/>
          </w:tcPr>
          <w:p w14:paraId="7F244C5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bCs/>
                <w:sz w:val="22"/>
                <w:szCs w:val="22"/>
              </w:rPr>
              <w:t>Kultura</w:t>
            </w:r>
          </w:p>
        </w:tc>
      </w:tr>
      <w:tr w:rsidR="00711189" w:rsidRPr="001D4C20" w14:paraId="7F244C58" w14:textId="77777777" w:rsidTr="00711189">
        <w:trPr>
          <w:trHeight w:val="460"/>
        </w:trPr>
        <w:tc>
          <w:tcPr>
            <w:tcW w:w="913" w:type="pct"/>
            <w:vMerge/>
          </w:tcPr>
          <w:p w14:paraId="7F244C5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5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5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 xml:space="preserve">Zkvalitňování veřejných prostranství a rozvoj zelené infrastruktury </w:t>
            </w:r>
          </w:p>
        </w:tc>
        <w:tc>
          <w:tcPr>
            <w:tcW w:w="1176" w:type="pct"/>
            <w:vMerge w:val="restart"/>
          </w:tcPr>
          <w:p w14:paraId="7F244C5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Ochrana životního prostředí a oběhové hospodářství</w:t>
            </w:r>
          </w:p>
        </w:tc>
      </w:tr>
      <w:tr w:rsidR="00711189" w:rsidRPr="001D4C20" w14:paraId="7F244C5D" w14:textId="77777777" w:rsidTr="00711189">
        <w:trPr>
          <w:trHeight w:val="460"/>
        </w:trPr>
        <w:tc>
          <w:tcPr>
            <w:tcW w:w="913" w:type="pct"/>
            <w:vMerge/>
          </w:tcPr>
          <w:p w14:paraId="7F244C5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5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5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Ochrana a zlepšení stavu vody a vodního hospodářství</w:t>
            </w:r>
          </w:p>
        </w:tc>
        <w:tc>
          <w:tcPr>
            <w:tcW w:w="1176" w:type="pct"/>
            <w:vMerge/>
          </w:tcPr>
          <w:p w14:paraId="7F244C5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11189" w:rsidRPr="001D4C20" w14:paraId="7F244C62" w14:textId="77777777" w:rsidTr="00711189">
        <w:trPr>
          <w:trHeight w:val="460"/>
        </w:trPr>
        <w:tc>
          <w:tcPr>
            <w:tcW w:w="913" w:type="pct"/>
            <w:vMerge/>
          </w:tcPr>
          <w:p w14:paraId="7F244C5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5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6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Zlepšení kvality ovzduší</w:t>
            </w:r>
          </w:p>
        </w:tc>
        <w:tc>
          <w:tcPr>
            <w:tcW w:w="1176" w:type="pct"/>
            <w:vMerge/>
          </w:tcPr>
          <w:p w14:paraId="7F244C6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11189" w:rsidRPr="001D4C20" w14:paraId="7F244C67" w14:textId="77777777" w:rsidTr="00711189">
        <w:trPr>
          <w:trHeight w:val="460"/>
        </w:trPr>
        <w:tc>
          <w:tcPr>
            <w:tcW w:w="913" w:type="pct"/>
            <w:vMerge/>
          </w:tcPr>
          <w:p w14:paraId="7F244C6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6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6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Oběhové hospodářství, odpady a účinné využívání zdrojů</w:t>
            </w:r>
          </w:p>
        </w:tc>
        <w:tc>
          <w:tcPr>
            <w:tcW w:w="1176" w:type="pct"/>
            <w:vMerge/>
          </w:tcPr>
          <w:p w14:paraId="7F244C6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11189" w:rsidRPr="001D4C20" w14:paraId="7F244C6C" w14:textId="77777777" w:rsidTr="00711189">
        <w:trPr>
          <w:trHeight w:val="1053"/>
        </w:trPr>
        <w:tc>
          <w:tcPr>
            <w:tcW w:w="913" w:type="pct"/>
            <w:vMerge/>
          </w:tcPr>
          <w:p w14:paraId="7F244C6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6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6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 xml:space="preserve">Sanace míst s ekologickou zátěží a revitalizace </w:t>
            </w:r>
            <w:proofErr w:type="spellStart"/>
            <w:r w:rsidRPr="001D4C20">
              <w:rPr>
                <w:rFonts w:ascii="Arial" w:hAnsi="Arial" w:cs="Arial"/>
                <w:sz w:val="22"/>
                <w:szCs w:val="22"/>
              </w:rPr>
              <w:t>brownfieldů</w:t>
            </w:r>
            <w:proofErr w:type="spellEnd"/>
            <w:r w:rsidRPr="001D4C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76" w:type="pct"/>
            <w:vMerge/>
          </w:tcPr>
          <w:p w14:paraId="7F244C6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11189" w:rsidRPr="001D4C20" w14:paraId="7F244C71" w14:textId="77777777" w:rsidTr="00711189">
        <w:trPr>
          <w:trHeight w:val="567"/>
        </w:trPr>
        <w:tc>
          <w:tcPr>
            <w:tcW w:w="913" w:type="pct"/>
            <w:vMerge/>
          </w:tcPr>
          <w:p w14:paraId="7F244C6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6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6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Zavedení moderních a vysoce účinných způsobů výroby, distribuce a akumulace teplené energie</w:t>
            </w:r>
          </w:p>
        </w:tc>
        <w:tc>
          <w:tcPr>
            <w:tcW w:w="1176" w:type="pct"/>
          </w:tcPr>
          <w:p w14:paraId="7F244C70" w14:textId="77777777" w:rsidR="00711189" w:rsidRPr="001D4C20" w:rsidDel="00C648A2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Posun k nízkouhlíkovému hospodářství</w:t>
            </w:r>
          </w:p>
        </w:tc>
      </w:tr>
      <w:tr w:rsidR="00711189" w:rsidRPr="001D4C20" w14:paraId="7F244C77" w14:textId="77777777" w:rsidTr="00711189">
        <w:trPr>
          <w:trHeight w:val="1160"/>
        </w:trPr>
        <w:tc>
          <w:tcPr>
            <w:tcW w:w="913" w:type="pct"/>
            <w:vMerge/>
          </w:tcPr>
          <w:p w14:paraId="7F244C7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7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7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Udržitelný cestovní ruch</w:t>
            </w:r>
          </w:p>
          <w:p w14:paraId="7F244C7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pct"/>
          </w:tcPr>
          <w:p w14:paraId="7F244C7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Cestovní ruch</w:t>
            </w:r>
          </w:p>
        </w:tc>
      </w:tr>
      <w:tr w:rsidR="00711189" w:rsidRPr="001D4C20" w14:paraId="7F244C7D" w14:textId="77777777" w:rsidTr="00711189">
        <w:trPr>
          <w:trHeight w:val="567"/>
        </w:trPr>
        <w:tc>
          <w:tcPr>
            <w:tcW w:w="913" w:type="pct"/>
            <w:vMerge/>
          </w:tcPr>
          <w:p w14:paraId="7F244C7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</w:tcPr>
          <w:p w14:paraId="7F244C7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 xml:space="preserve">podpora </w:t>
            </w:r>
            <w:r w:rsidRPr="001D4C20">
              <w:rPr>
                <w:rFonts w:ascii="Arial" w:hAnsi="Arial" w:cs="Arial"/>
                <w:sz w:val="22"/>
                <w:szCs w:val="22"/>
                <w:u w:val="single"/>
              </w:rPr>
              <w:t xml:space="preserve">integrovaného </w:t>
            </w:r>
            <w:r w:rsidRPr="001D4C20">
              <w:rPr>
                <w:rFonts w:ascii="Arial" w:hAnsi="Arial" w:cs="Arial"/>
                <w:sz w:val="22"/>
                <w:szCs w:val="22"/>
              </w:rPr>
              <w:t xml:space="preserve">sociálního, hospodářského a environmentálního místního rozvoje, kulturního dědictví a bezpečnosti a v případě </w:t>
            </w:r>
            <w:r w:rsidRPr="001D4C20">
              <w:rPr>
                <w:rFonts w:ascii="Arial" w:hAnsi="Arial" w:cs="Arial"/>
                <w:b/>
                <w:sz w:val="22"/>
                <w:szCs w:val="22"/>
              </w:rPr>
              <w:t>venkovských</w:t>
            </w:r>
            <w:r w:rsidRPr="001D4C20">
              <w:rPr>
                <w:rFonts w:ascii="Arial" w:hAnsi="Arial" w:cs="Arial"/>
                <w:sz w:val="22"/>
                <w:szCs w:val="22"/>
              </w:rPr>
              <w:t xml:space="preserve"> a pobřežních oblastí také prostřednictvím </w:t>
            </w:r>
            <w:r w:rsidRPr="001D4C20">
              <w:rPr>
                <w:rFonts w:ascii="Arial" w:hAnsi="Arial" w:cs="Arial"/>
                <w:sz w:val="22"/>
                <w:szCs w:val="22"/>
                <w:u w:val="single"/>
              </w:rPr>
              <w:t>komunitně vedeného místního rozvoje</w:t>
            </w:r>
          </w:p>
        </w:tc>
        <w:tc>
          <w:tcPr>
            <w:tcW w:w="1332" w:type="pct"/>
          </w:tcPr>
          <w:p w14:paraId="7F244C7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Elektronizace výkonu veřejné správy a zavedení související infrastruktury</w:t>
            </w:r>
          </w:p>
        </w:tc>
        <w:tc>
          <w:tcPr>
            <w:tcW w:w="1176" w:type="pct"/>
            <w:vMerge w:val="restart"/>
          </w:tcPr>
          <w:p w14:paraId="7F244C7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Veřejná správa a bezpečnost</w:t>
            </w:r>
          </w:p>
          <w:p w14:paraId="7F244C7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82" w14:textId="77777777" w:rsidTr="00711189">
        <w:trPr>
          <w:trHeight w:val="740"/>
        </w:trPr>
        <w:tc>
          <w:tcPr>
            <w:tcW w:w="913" w:type="pct"/>
            <w:vMerge/>
          </w:tcPr>
          <w:p w14:paraId="7F244C7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7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8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Ochrana obyvatelstva</w:t>
            </w:r>
          </w:p>
        </w:tc>
        <w:tc>
          <w:tcPr>
            <w:tcW w:w="1176" w:type="pct"/>
            <w:vMerge/>
          </w:tcPr>
          <w:p w14:paraId="7F244C8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87" w14:textId="77777777" w:rsidTr="00711189">
        <w:trPr>
          <w:trHeight w:val="410"/>
        </w:trPr>
        <w:tc>
          <w:tcPr>
            <w:tcW w:w="913" w:type="pct"/>
            <w:vMerge/>
          </w:tcPr>
          <w:p w14:paraId="7F244C8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8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8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Sociální začleňování</w:t>
            </w:r>
          </w:p>
        </w:tc>
        <w:tc>
          <w:tcPr>
            <w:tcW w:w="1176" w:type="pct"/>
            <w:vMerge w:val="restart"/>
          </w:tcPr>
          <w:p w14:paraId="7F244C8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Sociální začleňování, boj s chudobou a péče o zdraví</w:t>
            </w:r>
          </w:p>
        </w:tc>
      </w:tr>
      <w:tr w:rsidR="00711189" w:rsidRPr="001D4C20" w14:paraId="7F244C8C" w14:textId="77777777" w:rsidTr="00711189">
        <w:trPr>
          <w:trHeight w:val="740"/>
        </w:trPr>
        <w:tc>
          <w:tcPr>
            <w:tcW w:w="913" w:type="pct"/>
            <w:vMerge/>
          </w:tcPr>
          <w:p w14:paraId="7F244C8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8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8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Sociální bydlení</w:t>
            </w:r>
          </w:p>
        </w:tc>
        <w:tc>
          <w:tcPr>
            <w:tcW w:w="1176" w:type="pct"/>
            <w:vMerge/>
          </w:tcPr>
          <w:p w14:paraId="7F244C8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91" w14:textId="77777777" w:rsidTr="00711189">
        <w:trPr>
          <w:trHeight w:val="236"/>
        </w:trPr>
        <w:tc>
          <w:tcPr>
            <w:tcW w:w="913" w:type="pct"/>
            <w:vMerge/>
          </w:tcPr>
          <w:p w14:paraId="7F244C8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8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8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Kvalitní a dostupná zdravotní péče</w:t>
            </w:r>
          </w:p>
        </w:tc>
        <w:tc>
          <w:tcPr>
            <w:tcW w:w="1176" w:type="pct"/>
            <w:vMerge/>
          </w:tcPr>
          <w:p w14:paraId="7F244C9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97" w14:textId="77777777" w:rsidTr="00711189">
        <w:trPr>
          <w:trHeight w:val="740"/>
        </w:trPr>
        <w:tc>
          <w:tcPr>
            <w:tcW w:w="913" w:type="pct"/>
            <w:vMerge/>
          </w:tcPr>
          <w:p w14:paraId="7F244C9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9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9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Podpora a využití pracovní mobility</w:t>
            </w:r>
          </w:p>
        </w:tc>
        <w:tc>
          <w:tcPr>
            <w:tcW w:w="1176" w:type="pct"/>
            <w:vMerge w:val="restart"/>
          </w:tcPr>
          <w:p w14:paraId="7F244C9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Trh práce a zaměstnanost</w:t>
            </w:r>
          </w:p>
          <w:p w14:paraId="7F244C9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9C" w14:textId="77777777" w:rsidTr="00711189">
        <w:trPr>
          <w:trHeight w:val="322"/>
        </w:trPr>
        <w:tc>
          <w:tcPr>
            <w:tcW w:w="913" w:type="pct"/>
            <w:vMerge/>
          </w:tcPr>
          <w:p w14:paraId="7F244C9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9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9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Fungující systém dalšího profesního vzdělávání</w:t>
            </w:r>
          </w:p>
        </w:tc>
        <w:tc>
          <w:tcPr>
            <w:tcW w:w="1176" w:type="pct"/>
            <w:vMerge/>
          </w:tcPr>
          <w:p w14:paraId="7F244C9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A1" w14:textId="77777777" w:rsidTr="00711189">
        <w:trPr>
          <w:trHeight w:val="740"/>
        </w:trPr>
        <w:tc>
          <w:tcPr>
            <w:tcW w:w="913" w:type="pct"/>
            <w:vMerge/>
          </w:tcPr>
          <w:p w14:paraId="7F244C9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9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9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Zajištění rovného přístupu ke vzdělání</w:t>
            </w:r>
          </w:p>
        </w:tc>
        <w:tc>
          <w:tcPr>
            <w:tcW w:w="1176" w:type="pct"/>
          </w:tcPr>
          <w:p w14:paraId="7F244CA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Vzdělávání</w:t>
            </w:r>
          </w:p>
        </w:tc>
      </w:tr>
      <w:tr w:rsidR="00711189" w:rsidRPr="001D4C20" w14:paraId="7F244CA6" w14:textId="77777777" w:rsidTr="00711189">
        <w:trPr>
          <w:trHeight w:val="740"/>
        </w:trPr>
        <w:tc>
          <w:tcPr>
            <w:tcW w:w="913" w:type="pct"/>
            <w:vMerge/>
          </w:tcPr>
          <w:p w14:paraId="7F244CA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A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A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iCs/>
                <w:sz w:val="22"/>
                <w:szCs w:val="22"/>
              </w:rPr>
              <w:t>Zlepšení inovační schopnosti MSP</w:t>
            </w:r>
          </w:p>
        </w:tc>
        <w:tc>
          <w:tcPr>
            <w:tcW w:w="1176" w:type="pct"/>
          </w:tcPr>
          <w:p w14:paraId="7F244CA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Podpora podnikání a průmyslu</w:t>
            </w:r>
          </w:p>
        </w:tc>
      </w:tr>
      <w:tr w:rsidR="00711189" w:rsidRPr="001D4C20" w14:paraId="7F244CAB" w14:textId="77777777" w:rsidTr="00711189">
        <w:trPr>
          <w:trHeight w:val="740"/>
        </w:trPr>
        <w:tc>
          <w:tcPr>
            <w:tcW w:w="913" w:type="pct"/>
            <w:vMerge/>
          </w:tcPr>
          <w:p w14:paraId="7F244CA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A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A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Ochrana, rozvoj a podpora kulturního dědictví</w:t>
            </w:r>
          </w:p>
        </w:tc>
        <w:tc>
          <w:tcPr>
            <w:tcW w:w="1176" w:type="pct"/>
          </w:tcPr>
          <w:p w14:paraId="7F244CA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Kultura</w:t>
            </w:r>
          </w:p>
        </w:tc>
      </w:tr>
      <w:tr w:rsidR="00711189" w:rsidRPr="001D4C20" w14:paraId="7F244CB0" w14:textId="77777777" w:rsidTr="00711189">
        <w:trPr>
          <w:trHeight w:val="740"/>
        </w:trPr>
        <w:tc>
          <w:tcPr>
            <w:tcW w:w="913" w:type="pct"/>
            <w:vMerge/>
          </w:tcPr>
          <w:p w14:paraId="7F244CA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A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A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 xml:space="preserve">Ochrana a péče o přírodu </w:t>
            </w:r>
            <w:r w:rsidRPr="001D4C20">
              <w:rPr>
                <w:rFonts w:ascii="Arial" w:hAnsi="Arial" w:cs="Arial"/>
                <w:sz w:val="22"/>
                <w:szCs w:val="22"/>
              </w:rPr>
              <w:br/>
              <w:t>a krajinu</w:t>
            </w:r>
          </w:p>
        </w:tc>
        <w:tc>
          <w:tcPr>
            <w:tcW w:w="1176" w:type="pct"/>
            <w:vMerge w:val="restart"/>
          </w:tcPr>
          <w:p w14:paraId="7F244CA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Ochrana životního prostředí a oběhové hospodářství</w:t>
            </w:r>
          </w:p>
        </w:tc>
      </w:tr>
      <w:tr w:rsidR="00711189" w:rsidRPr="001D4C20" w14:paraId="7F244CB5" w14:textId="77777777" w:rsidTr="00711189">
        <w:trPr>
          <w:trHeight w:val="740"/>
        </w:trPr>
        <w:tc>
          <w:tcPr>
            <w:tcW w:w="913" w:type="pct"/>
            <w:vMerge/>
          </w:tcPr>
          <w:p w14:paraId="7F244CB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B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B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Ochrana a zlepšení stavu vody a vodního hospodářství</w:t>
            </w:r>
          </w:p>
        </w:tc>
        <w:tc>
          <w:tcPr>
            <w:tcW w:w="1176" w:type="pct"/>
            <w:vMerge/>
          </w:tcPr>
          <w:p w14:paraId="7F244CB4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BA" w14:textId="77777777" w:rsidTr="00711189">
        <w:trPr>
          <w:trHeight w:val="740"/>
        </w:trPr>
        <w:tc>
          <w:tcPr>
            <w:tcW w:w="913" w:type="pct"/>
            <w:vMerge/>
          </w:tcPr>
          <w:p w14:paraId="7F244CB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B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B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Zlepšení kvality ovzduší</w:t>
            </w:r>
          </w:p>
        </w:tc>
        <w:tc>
          <w:tcPr>
            <w:tcW w:w="1176" w:type="pct"/>
            <w:vMerge/>
          </w:tcPr>
          <w:p w14:paraId="7F244CB9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BF" w14:textId="77777777" w:rsidTr="00711189">
        <w:trPr>
          <w:trHeight w:val="374"/>
        </w:trPr>
        <w:tc>
          <w:tcPr>
            <w:tcW w:w="913" w:type="pct"/>
            <w:vMerge/>
          </w:tcPr>
          <w:p w14:paraId="7F244CB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B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BD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Oběhové hospodářství, odpady a účinné využívání zdrojů</w:t>
            </w:r>
          </w:p>
        </w:tc>
        <w:tc>
          <w:tcPr>
            <w:tcW w:w="1176" w:type="pct"/>
            <w:vMerge/>
          </w:tcPr>
          <w:p w14:paraId="7F244CBE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C4" w14:textId="77777777" w:rsidTr="00711189">
        <w:trPr>
          <w:trHeight w:val="373"/>
        </w:trPr>
        <w:tc>
          <w:tcPr>
            <w:tcW w:w="913" w:type="pct"/>
            <w:vMerge/>
          </w:tcPr>
          <w:p w14:paraId="7F244CC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C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C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 xml:space="preserve">Sanace míst s ekologickou zátěží a revitalizace </w:t>
            </w:r>
            <w:proofErr w:type="spellStart"/>
            <w:r w:rsidRPr="001D4C20">
              <w:rPr>
                <w:rFonts w:ascii="Arial" w:hAnsi="Arial" w:cs="Arial"/>
                <w:sz w:val="22"/>
                <w:szCs w:val="22"/>
              </w:rPr>
              <w:lastRenderedPageBreak/>
              <w:t>brownfieldů</w:t>
            </w:r>
            <w:proofErr w:type="spellEnd"/>
          </w:p>
        </w:tc>
        <w:tc>
          <w:tcPr>
            <w:tcW w:w="1176" w:type="pct"/>
            <w:vMerge/>
          </w:tcPr>
          <w:p w14:paraId="7F244CC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C9" w14:textId="77777777" w:rsidTr="00711189">
        <w:trPr>
          <w:trHeight w:val="1490"/>
        </w:trPr>
        <w:tc>
          <w:tcPr>
            <w:tcW w:w="913" w:type="pct"/>
            <w:vMerge/>
          </w:tcPr>
          <w:p w14:paraId="7F244CC5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C6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C7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Zkvalitňování veřejných prostranství a rozvoj zelené infrastruktury</w:t>
            </w:r>
          </w:p>
        </w:tc>
        <w:tc>
          <w:tcPr>
            <w:tcW w:w="1176" w:type="pct"/>
            <w:vMerge/>
          </w:tcPr>
          <w:p w14:paraId="7F244CC8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189" w:rsidRPr="001D4C20" w14:paraId="7F244CCE" w14:textId="77777777" w:rsidTr="00711189">
        <w:trPr>
          <w:trHeight w:val="740"/>
        </w:trPr>
        <w:tc>
          <w:tcPr>
            <w:tcW w:w="913" w:type="pct"/>
            <w:vMerge/>
          </w:tcPr>
          <w:p w14:paraId="7F244CCA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CB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CC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Podpora vzniku a zavádění inovativních nízkouhlíkových technologií a efektivní a šetrné využívání obnovitelných zdrojů energie</w:t>
            </w:r>
          </w:p>
        </w:tc>
        <w:tc>
          <w:tcPr>
            <w:tcW w:w="1176" w:type="pct"/>
          </w:tcPr>
          <w:p w14:paraId="7F244CCD" w14:textId="77777777" w:rsidR="00711189" w:rsidRPr="001D4C20" w:rsidDel="00D0220D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Posun k nízkouhlíkovému hospodářství</w:t>
            </w:r>
          </w:p>
        </w:tc>
      </w:tr>
      <w:tr w:rsidR="00711189" w:rsidRPr="001D4C20" w14:paraId="7F244CD4" w14:textId="77777777" w:rsidTr="00711189">
        <w:trPr>
          <w:trHeight w:val="956"/>
        </w:trPr>
        <w:tc>
          <w:tcPr>
            <w:tcW w:w="913" w:type="pct"/>
            <w:vMerge/>
          </w:tcPr>
          <w:p w14:paraId="7F244CCF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pct"/>
            <w:vMerge/>
          </w:tcPr>
          <w:p w14:paraId="7F244CD0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pct"/>
          </w:tcPr>
          <w:p w14:paraId="7F244CD1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  <w:r w:rsidRPr="001D4C20">
              <w:rPr>
                <w:rFonts w:ascii="Arial" w:hAnsi="Arial" w:cs="Arial"/>
                <w:sz w:val="22"/>
                <w:szCs w:val="22"/>
              </w:rPr>
              <w:t>Udržitelný cestovní ruch</w:t>
            </w:r>
          </w:p>
          <w:p w14:paraId="7F244CD2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pct"/>
          </w:tcPr>
          <w:p w14:paraId="7F244CD3" w14:textId="77777777" w:rsidR="00711189" w:rsidRPr="001D4C20" w:rsidRDefault="00711189" w:rsidP="00711189">
            <w:pPr>
              <w:spacing w:before="40" w:after="60"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D4C20">
              <w:rPr>
                <w:rFonts w:ascii="Arial" w:hAnsi="Arial" w:cs="Arial"/>
                <w:b/>
                <w:sz w:val="22"/>
                <w:szCs w:val="22"/>
              </w:rPr>
              <w:t>Cestovní ruch</w:t>
            </w:r>
          </w:p>
        </w:tc>
      </w:tr>
    </w:tbl>
    <w:p w14:paraId="7F244CD5" w14:textId="77777777" w:rsidR="00E315B3" w:rsidRPr="007A78EF" w:rsidRDefault="00E315B3" w:rsidP="0062528A">
      <w:pPr>
        <w:rPr>
          <w:sz w:val="18"/>
          <w:szCs w:val="18"/>
        </w:rPr>
      </w:pPr>
      <w:r w:rsidRPr="00A31406">
        <w:rPr>
          <w:sz w:val="18"/>
          <w:szCs w:val="18"/>
        </w:rPr>
        <w:t>* jedná se o zkrácené názvy</w:t>
      </w:r>
      <w:r>
        <w:rPr>
          <w:sz w:val="18"/>
          <w:szCs w:val="18"/>
        </w:rPr>
        <w:t>. Ú</w:t>
      </w:r>
      <w:r w:rsidRPr="00A31406">
        <w:rPr>
          <w:sz w:val="18"/>
          <w:szCs w:val="18"/>
        </w:rPr>
        <w:t xml:space="preserve">plné názvy jsou uvedeny v návrhu obecného nařízení EK COM (2018) 375 </w:t>
      </w:r>
      <w:proofErr w:type="spellStart"/>
      <w:r w:rsidRPr="00A31406">
        <w:rPr>
          <w:sz w:val="18"/>
          <w:szCs w:val="18"/>
        </w:rPr>
        <w:t>Final</w:t>
      </w:r>
      <w:proofErr w:type="spellEnd"/>
      <w:r w:rsidRPr="00A31406">
        <w:rPr>
          <w:sz w:val="18"/>
          <w:szCs w:val="18"/>
        </w:rPr>
        <w:t xml:space="preserve"> nebo výše</w:t>
      </w:r>
    </w:p>
    <w:p w14:paraId="7F244CD6" w14:textId="77777777" w:rsidR="00E315B3" w:rsidRDefault="00E315B3"/>
    <w:p w14:paraId="7F244CD7" w14:textId="77777777" w:rsidR="00C450AC" w:rsidRDefault="00C450AC" w:rsidP="00A070F3">
      <w:pPr>
        <w:jc w:val="both"/>
      </w:pPr>
    </w:p>
    <w:sectPr w:rsidR="00C450AC" w:rsidSect="00536A06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4CDA" w14:textId="77777777" w:rsidR="00ED5476" w:rsidRDefault="00ED5476" w:rsidP="007C4CE9">
      <w:pPr>
        <w:spacing w:after="0" w:line="240" w:lineRule="auto"/>
      </w:pPr>
      <w:r>
        <w:separator/>
      </w:r>
    </w:p>
  </w:endnote>
  <w:endnote w:type="continuationSeparator" w:id="0">
    <w:p w14:paraId="7F244CDB" w14:textId="77777777" w:rsidR="00ED5476" w:rsidRDefault="00ED5476" w:rsidP="007C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4CDE" w14:textId="77777777" w:rsidR="00D32240" w:rsidRDefault="00D32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4CDF" w14:textId="77777777" w:rsidR="00D32240" w:rsidRDefault="00D322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4CE1" w14:textId="77777777" w:rsidR="00D32240" w:rsidRDefault="00D322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44CD8" w14:textId="77777777" w:rsidR="00ED5476" w:rsidRDefault="00ED5476" w:rsidP="007C4CE9">
      <w:pPr>
        <w:spacing w:after="0" w:line="240" w:lineRule="auto"/>
      </w:pPr>
      <w:r>
        <w:separator/>
      </w:r>
    </w:p>
  </w:footnote>
  <w:footnote w:type="continuationSeparator" w:id="0">
    <w:p w14:paraId="7F244CD9" w14:textId="77777777" w:rsidR="00ED5476" w:rsidRDefault="00ED5476" w:rsidP="007C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4CDC" w14:textId="77777777" w:rsidR="00D32240" w:rsidRDefault="00D322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4CDD" w14:textId="77777777" w:rsidR="00C450AC" w:rsidRDefault="00C450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F244CE7" wp14:editId="7F244CE8">
          <wp:simplePos x="0" y="0"/>
          <wp:positionH relativeFrom="column">
            <wp:posOffset>-563245</wp:posOffset>
          </wp:positionH>
          <wp:positionV relativeFrom="paragraph">
            <wp:posOffset>-43180</wp:posOffset>
          </wp:positionV>
          <wp:extent cx="7009130" cy="9914255"/>
          <wp:effectExtent l="0" t="0" r="1270" b="0"/>
          <wp:wrapNone/>
          <wp:docPr id="6" name="Obrázek 6" descr="G:\titulka12b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titulka12b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9130" cy="991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4CE0" w14:textId="77777777" w:rsidR="00D32240" w:rsidRDefault="00D3224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5D1E67" w14:paraId="7F244CE5" w14:textId="77777777" w:rsidTr="54923E25">
      <w:tc>
        <w:tcPr>
          <w:tcW w:w="3024" w:type="dxa"/>
        </w:tcPr>
        <w:p w14:paraId="7F244CE2" w14:textId="77777777" w:rsidR="005D1E67" w:rsidRDefault="009B2E35" w:rsidP="54923E25">
          <w:pPr>
            <w:pStyle w:val="Zhlav"/>
            <w:ind w:left="-115"/>
          </w:pPr>
        </w:p>
      </w:tc>
      <w:tc>
        <w:tcPr>
          <w:tcW w:w="3024" w:type="dxa"/>
        </w:tcPr>
        <w:p w14:paraId="7F244CE3" w14:textId="77777777" w:rsidR="005D1E67" w:rsidRDefault="009B2E35" w:rsidP="54923E25">
          <w:pPr>
            <w:pStyle w:val="Zhlav"/>
            <w:jc w:val="center"/>
          </w:pPr>
        </w:p>
      </w:tc>
      <w:tc>
        <w:tcPr>
          <w:tcW w:w="3024" w:type="dxa"/>
        </w:tcPr>
        <w:p w14:paraId="7F244CE4" w14:textId="77777777" w:rsidR="005D1E67" w:rsidRDefault="009B2E35" w:rsidP="54923E25">
          <w:pPr>
            <w:pStyle w:val="Zhlav"/>
            <w:ind w:right="-115"/>
            <w:jc w:val="right"/>
          </w:pPr>
        </w:p>
      </w:tc>
    </w:tr>
  </w:tbl>
  <w:p w14:paraId="7F244CE6" w14:textId="77777777" w:rsidR="005D1E67" w:rsidRDefault="009B2E35" w:rsidP="54923E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A37"/>
    <w:multiLevelType w:val="multilevel"/>
    <w:tmpl w:val="6FA8DD4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2060"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0196A"/>
    <w:multiLevelType w:val="multilevel"/>
    <w:tmpl w:val="B0AE7694"/>
    <w:lvl w:ilvl="0">
      <w:start w:val="1"/>
      <w:numFmt w:val="decimal"/>
      <w:pStyle w:val="Nadpis1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999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pStyle w:val="Nadpis3"/>
      <w:lvlText w:val="%1.%2.%3."/>
      <w:lvlJc w:val="left"/>
      <w:pPr>
        <w:ind w:left="788" w:hanging="50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Nadpis4"/>
      <w:lvlText w:val="%1.%2.%3.%4."/>
      <w:lvlJc w:val="left"/>
      <w:pPr>
        <w:ind w:left="64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A944F79"/>
    <w:multiLevelType w:val="hybridMultilevel"/>
    <w:tmpl w:val="513243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02659A"/>
    <w:multiLevelType w:val="hybridMultilevel"/>
    <w:tmpl w:val="E288F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362F5"/>
    <w:multiLevelType w:val="hybridMultilevel"/>
    <w:tmpl w:val="335EF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B32A3"/>
    <w:multiLevelType w:val="hybridMultilevel"/>
    <w:tmpl w:val="CD5E4D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954FB2"/>
    <w:multiLevelType w:val="hybridMultilevel"/>
    <w:tmpl w:val="671E5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AE"/>
    <w:rsid w:val="000C7CA1"/>
    <w:rsid w:val="00177586"/>
    <w:rsid w:val="001A6FD7"/>
    <w:rsid w:val="001D4C20"/>
    <w:rsid w:val="00290E82"/>
    <w:rsid w:val="00543CC5"/>
    <w:rsid w:val="00577EB1"/>
    <w:rsid w:val="005A7536"/>
    <w:rsid w:val="006A0279"/>
    <w:rsid w:val="00711189"/>
    <w:rsid w:val="00712FAE"/>
    <w:rsid w:val="00754FA8"/>
    <w:rsid w:val="007C4CE9"/>
    <w:rsid w:val="00813840"/>
    <w:rsid w:val="008876FE"/>
    <w:rsid w:val="008B34AB"/>
    <w:rsid w:val="008C1BB5"/>
    <w:rsid w:val="00950770"/>
    <w:rsid w:val="00980FAA"/>
    <w:rsid w:val="009B2E35"/>
    <w:rsid w:val="00A070F3"/>
    <w:rsid w:val="00AC6B5A"/>
    <w:rsid w:val="00B946DC"/>
    <w:rsid w:val="00B974E0"/>
    <w:rsid w:val="00C35ADC"/>
    <w:rsid w:val="00C450AC"/>
    <w:rsid w:val="00D32240"/>
    <w:rsid w:val="00D767C3"/>
    <w:rsid w:val="00DF589D"/>
    <w:rsid w:val="00E315B3"/>
    <w:rsid w:val="00EA47C1"/>
    <w:rsid w:val="00ED5476"/>
    <w:rsid w:val="00F45CD8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244AB7"/>
  <w15:docId w15:val="{4CFBC58F-2E1F-4CED-B997-654B0119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15B3"/>
    <w:pPr>
      <w:keepNext/>
      <w:keepLines/>
      <w:numPr>
        <w:numId w:val="7"/>
      </w:numPr>
      <w:spacing w:before="480" w:after="240" w:line="276" w:lineRule="auto"/>
      <w:jc w:val="both"/>
      <w:outlineLvl w:val="0"/>
    </w:pPr>
    <w:rPr>
      <w:rFonts w:ascii="Arial" w:eastAsia="Times New Roman" w:hAnsi="Arial" w:cs="Arial"/>
      <w:b/>
      <w:bCs/>
      <w:color w:val="002060"/>
      <w:sz w:val="36"/>
      <w:szCs w:val="32"/>
      <w:u w:color="000000"/>
    </w:rPr>
  </w:style>
  <w:style w:type="paragraph" w:styleId="Nadpis2">
    <w:name w:val="heading 2"/>
    <w:basedOn w:val="Nadpis1"/>
    <w:next w:val="Normln"/>
    <w:link w:val="Nadpis2Char"/>
    <w:uiPriority w:val="9"/>
    <w:qFormat/>
    <w:rsid w:val="00E315B3"/>
    <w:pPr>
      <w:numPr>
        <w:ilvl w:val="1"/>
      </w:numPr>
      <w:spacing w:before="240" w:after="12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E315B3"/>
    <w:pPr>
      <w:keepNext/>
      <w:numPr>
        <w:ilvl w:val="2"/>
        <w:numId w:val="7"/>
      </w:numPr>
      <w:tabs>
        <w:tab w:val="left" w:pos="1985"/>
      </w:tabs>
      <w:spacing w:after="240" w:line="276" w:lineRule="auto"/>
      <w:jc w:val="both"/>
      <w:outlineLvl w:val="2"/>
    </w:pPr>
    <w:rPr>
      <w:rFonts w:ascii="Arial" w:eastAsia="Calibri" w:hAnsi="Arial" w:cs="Arial"/>
      <w:b/>
      <w:color w:val="002060"/>
      <w:sz w:val="20"/>
      <w:szCs w:val="20"/>
      <w:u w:color="000000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E315B3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="Arial" w:eastAsiaTheme="majorEastAsia" w:hAnsi="Arial" w:cs="Arial"/>
      <w:b/>
      <w:bCs/>
      <w:i/>
      <w:iCs/>
      <w:color w:val="323E4F" w:themeColor="text2" w:themeShade="BF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CE9"/>
  </w:style>
  <w:style w:type="paragraph" w:styleId="Zpat">
    <w:name w:val="footer"/>
    <w:basedOn w:val="Normln"/>
    <w:link w:val="ZpatChar"/>
    <w:uiPriority w:val="99"/>
    <w:unhideWhenUsed/>
    <w:rsid w:val="007C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CE9"/>
  </w:style>
  <w:style w:type="paragraph" w:styleId="Textbubliny">
    <w:name w:val="Balloon Text"/>
    <w:basedOn w:val="Normln"/>
    <w:link w:val="TextbublinyChar"/>
    <w:uiPriority w:val="99"/>
    <w:semiHidden/>
    <w:unhideWhenUsed/>
    <w:rsid w:val="0098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F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1BB5"/>
    <w:pPr>
      <w:ind w:left="720"/>
      <w:contextualSpacing/>
    </w:pPr>
  </w:style>
  <w:style w:type="table" w:styleId="Mkatabulky">
    <w:name w:val="Table Grid"/>
    <w:basedOn w:val="Normlntabulka"/>
    <w:uiPriority w:val="39"/>
    <w:rsid w:val="00C45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950770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50770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15B3"/>
    <w:rPr>
      <w:rFonts w:ascii="Arial" w:eastAsia="Times New Roman" w:hAnsi="Arial" w:cs="Arial"/>
      <w:b/>
      <w:bCs/>
      <w:color w:val="002060"/>
      <w:sz w:val="36"/>
      <w:szCs w:val="32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rsid w:val="00E315B3"/>
    <w:rPr>
      <w:rFonts w:ascii="Arial" w:eastAsia="Times New Roman" w:hAnsi="Arial" w:cs="Arial"/>
      <w:b/>
      <w:bCs/>
      <w:color w:val="002060"/>
      <w:sz w:val="28"/>
      <w:szCs w:val="28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rsid w:val="00E315B3"/>
    <w:rPr>
      <w:rFonts w:ascii="Arial" w:eastAsia="Calibri" w:hAnsi="Arial" w:cs="Arial"/>
      <w:b/>
      <w:color w:val="002060"/>
      <w:sz w:val="20"/>
      <w:szCs w:val="20"/>
      <w:u w:color="000000"/>
    </w:rPr>
  </w:style>
  <w:style w:type="character" w:customStyle="1" w:styleId="Nadpis4Char">
    <w:name w:val="Nadpis 4 Char"/>
    <w:basedOn w:val="Standardnpsmoodstavce"/>
    <w:link w:val="Nadpis4"/>
    <w:uiPriority w:val="9"/>
    <w:rsid w:val="00E315B3"/>
    <w:rPr>
      <w:rFonts w:ascii="Arial" w:eastAsiaTheme="majorEastAsia" w:hAnsi="Arial" w:cs="Arial"/>
      <w:b/>
      <w:bCs/>
      <w:i/>
      <w:iCs/>
      <w:color w:val="323E4F" w:themeColor="text2" w:themeShade="BF"/>
      <w:u w:color="000000"/>
    </w:rPr>
  </w:style>
  <w:style w:type="paragraph" w:styleId="Textkomente">
    <w:name w:val="annotation text"/>
    <w:basedOn w:val="Normln"/>
    <w:link w:val="TextkomenteChar"/>
    <w:uiPriority w:val="99"/>
    <w:rsid w:val="00E315B3"/>
    <w:pPr>
      <w:spacing w:after="0" w:line="240" w:lineRule="auto"/>
    </w:pPr>
    <w:rPr>
      <w:rFonts w:ascii="Arial" w:eastAsia="Times New Roman" w:hAnsi="Arial" w:cs="Arial"/>
      <w:sz w:val="20"/>
      <w:szCs w:val="20"/>
      <w:u w:color="00000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15B3"/>
    <w:rPr>
      <w:rFonts w:ascii="Arial" w:eastAsia="Times New Roman" w:hAnsi="Arial" w:cs="Arial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NOK%20Tituln&#237;%20strana%20dokument&#36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5F2C64CE144BA0BF2D846CF1F0C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FF1F9-DA40-4449-AF26-EFBCDE0B9885}"/>
      </w:docPartPr>
      <w:docPartBody>
        <w:p w:rsidR="000E6615" w:rsidRDefault="00474524" w:rsidP="00474524">
          <w:pPr>
            <w:pStyle w:val="A95F2C64CE144BA0BF2D846CF1F0C98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[Název dokumentu]</w:t>
          </w:r>
        </w:p>
      </w:docPartBody>
    </w:docPart>
    <w:docPart>
      <w:docPartPr>
        <w:name w:val="C5BEAF161C804C2F9DE7C3FFBDE06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A58A4-AB95-42FA-AC8E-9CD5A0AF779E}"/>
      </w:docPartPr>
      <w:docPartBody>
        <w:p w:rsidR="000E6615" w:rsidRDefault="00474524" w:rsidP="00474524">
          <w:pPr>
            <w:pStyle w:val="C5BEAF161C804C2F9DE7C3FFBDE06A45"/>
          </w:pPr>
          <w:r>
            <w:rPr>
              <w:color w:val="2E74B5" w:themeColor="accent1" w:themeShade="BF"/>
              <w:sz w:val="24"/>
              <w:szCs w:val="24"/>
            </w:rPr>
            <w:t>[Podtitul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24"/>
    <w:rsid w:val="000E6615"/>
    <w:rsid w:val="0047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95F2C64CE144BA0BF2D846CF1F0C98A">
    <w:name w:val="A95F2C64CE144BA0BF2D846CF1F0C98A"/>
    <w:rsid w:val="00474524"/>
  </w:style>
  <w:style w:type="paragraph" w:customStyle="1" w:styleId="C5BEAF161C804C2F9DE7C3FFBDE06A45">
    <w:name w:val="C5BEAF161C804C2F9DE7C3FFBDE06A45"/>
    <w:rsid w:val="0047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dcb9bc-8d52-4d3e-a595-09c2d5420a48">MMR22-929250655-67</_dlc_DocId>
    <_dlc_DocIdUrl xmlns="a5dcb9bc-8d52-4d3e-a595-09c2d5420a48">
      <Url>https://mmrcz.sharepoint.com/sites/22/224/_layouts/15/DocIdRedir.aspx?ID=MMR22-929250655-67</Url>
      <Description>MMR22-929250655-67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F4FF732F663438DC7BBDE7D2A92A5" ma:contentTypeVersion="4" ma:contentTypeDescription="Vytvoří nový dokument" ma:contentTypeScope="" ma:versionID="a53418b6f6e518d13d38ca70e2ccc597">
  <xsd:schema xmlns:xsd="http://www.w3.org/2001/XMLSchema" xmlns:xs="http://www.w3.org/2001/XMLSchema" xmlns:p="http://schemas.microsoft.com/office/2006/metadata/properties" xmlns:ns2="a5dcb9bc-8d52-4d3e-a595-09c2d5420a48" xmlns:ns3="c21e7edb-b367-4ac7-a92d-02aa336f11bf" targetNamespace="http://schemas.microsoft.com/office/2006/metadata/properties" ma:root="true" ma:fieldsID="4a6f632d16916570da4a7416b5919e9d" ns2:_="" ns3:_="">
    <xsd:import namespace="a5dcb9bc-8d52-4d3e-a595-09c2d5420a48"/>
    <xsd:import namespace="c21e7edb-b367-4ac7-a92d-02aa336f1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cb9bc-8d52-4d3e-a595-09c2d5420a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7edb-b367-4ac7-a92d-02aa336f1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9707-D2D8-4866-8419-0C69E27A283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5dcb9bc-8d52-4d3e-a595-09c2d5420a4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21e7edb-b367-4ac7-a92d-02aa336f11b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74A641-D357-4B09-BC0A-2A6A531F3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4124A-296A-4259-8F09-3C07CDF0C6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7EA25E-53F6-42A1-8C79-8DA8D7894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cb9bc-8d52-4d3e-a595-09c2d5420a48"/>
    <ds:schemaRef ds:uri="c21e7edb-b367-4ac7-a92d-02aa336f1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E736E6-C9F9-42A7-AA58-1D11C7FA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NOK Titulní strana dokumentů</Template>
  <TotalTime>29</TotalTime>
  <Pages>10</Pages>
  <Words>1577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koncepce realizace politiky soudržnosti v ČR po roce 2020 -</vt:lpstr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koncepce realizace politiky soudržnosti v ČR po roce 2020 -</dc:title>
  <dc:subject>Příloha č. 2:                                         Vazba tematických oblastí a specifických cílů NKR na cíle politik EU</dc:subject>
  <dc:creator>Krouzová  Lenka Kristýna</dc:creator>
  <cp:lastModifiedBy>Valenta Petr</cp:lastModifiedBy>
  <cp:revision>15</cp:revision>
  <dcterms:created xsi:type="dcterms:W3CDTF">2019-05-23T10:03:00Z</dcterms:created>
  <dcterms:modified xsi:type="dcterms:W3CDTF">2019-06-04T14:44:00Z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0x010100745F4FF732F663438DC7BBDE7D2A92A5</vt:lpwstr>
  </property>
  <property fmtid="{D5CDD505-2E9C-101B-9397-08002B2CF9AE}" pid="3" name="_dlc_DocIdItemGuid">
    <vt:lpwstr>35629bde-2202-402a-a376-6207b4681dd3</vt:lpwstr>
  </property>
  <property fmtid="{D5CDD505-2E9C-101B-9397-08002B2CF9AE}" pid="4" name="Order">
    <vt:r8>6200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CopySource">
    <vt:lpwstr>https://mmrcz.sharepoint.com/sites/22/224/Sdilene dokumenty/02 Příloha NKR č. 2_Vazba tematických oblastí a specifických cílů NKR na cíle politik EU.docx</vt:lpwstr>
  </property>
</Properties>
</file>